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版本号：南采NC【2026】14号.1B120260806001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南郑区大河坎中学学生宿舍空调采购项目(二次)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南采NC【2026】14号.1B1</w:t>
      </w:r>
      <w:r>
        <w:br/>
      </w:r>
      <w:r>
        <w:br/>
      </w:r>
      <w:r>
        <w:br/>
      </w:r>
    </w:p>
    <w:p>
      <w:pPr>
        <w:pStyle w:val="null3"/>
        <w:jc w:val="center"/>
        <w:outlineLvl w:val="2"/>
      </w:pPr>
      <w:r>
        <w:rPr>
          <w:rFonts w:ascii="仿宋_GB2312" w:hAnsi="仿宋_GB2312" w:cs="仿宋_GB2312" w:eastAsia="仿宋_GB2312"/>
          <w:sz w:val="28"/>
          <w:b/>
        </w:rPr>
        <w:t>汉中市南郑区大河坎中学</w:t>
      </w:r>
    </w:p>
    <w:p>
      <w:pPr>
        <w:pStyle w:val="null3"/>
        <w:jc w:val="center"/>
        <w:outlineLvl w:val="2"/>
      </w:pPr>
      <w:r>
        <w:rPr>
          <w:rFonts w:ascii="仿宋_GB2312" w:hAnsi="仿宋_GB2312" w:cs="仿宋_GB2312" w:eastAsia="仿宋_GB2312"/>
          <w:sz w:val="28"/>
          <w:b/>
        </w:rPr>
        <w:t>南郑区政府采购中心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南郑区政府采购中心</w:t>
      </w:r>
      <w:r>
        <w:rPr>
          <w:rFonts w:ascii="仿宋_GB2312" w:hAnsi="仿宋_GB2312" w:cs="仿宋_GB2312" w:eastAsia="仿宋_GB2312"/>
        </w:rPr>
        <w:t>（以下简称“代理机构”）受</w:t>
      </w:r>
      <w:r>
        <w:rPr>
          <w:rFonts w:ascii="仿宋_GB2312" w:hAnsi="仿宋_GB2312" w:cs="仿宋_GB2312" w:eastAsia="仿宋_GB2312"/>
        </w:rPr>
        <w:t>汉中市南郑区大河坎中学</w:t>
      </w:r>
      <w:r>
        <w:rPr>
          <w:rFonts w:ascii="仿宋_GB2312" w:hAnsi="仿宋_GB2312" w:cs="仿宋_GB2312" w:eastAsia="仿宋_GB2312"/>
        </w:rPr>
        <w:t>委托，拟对</w:t>
      </w:r>
      <w:r>
        <w:rPr>
          <w:rFonts w:ascii="仿宋_GB2312" w:hAnsi="仿宋_GB2312" w:cs="仿宋_GB2312" w:eastAsia="仿宋_GB2312"/>
        </w:rPr>
        <w:t>南郑区大河坎中学学生宿舍空调采购项目(二次)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南采NC【2026】14号.1B1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南郑区大河坎中学学生宿舍空调采购项目(二次)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为改善办学条件，解决学生宿舍夏季降温、冬季取暖的问题，学校争取上级资金39万元，为221间学生宿舍安装1.5匹冷暖空调，为学生提供舒适的住宿环境。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3、法定代表人证明书及授权书：法定代表人证明书及授权书法定代表人（负责人）委托授权书 法定代表人（负责人）委托代理人参加征集活动时，应提供法定代表人（负责人）委托授权书；法定代表人（负责人）亲自参加征集活动时，应提供法定代表人（负责人）身份证复印件。 如法人的分支机构参与征集活动的，除提供《法定代表人授权委托书》外，还须同时提供法人给分支机构出具的授权书，并加盖公章。法人只能授权一家分支机构参与征集活动，且不能与分支机构同时参与征集活动。</w:t>
      </w:r>
    </w:p>
    <w:p>
      <w:pPr>
        <w:pStyle w:val="null3"/>
      </w:pPr>
      <w:r>
        <w:rPr>
          <w:rFonts w:ascii="仿宋_GB2312" w:hAnsi="仿宋_GB2312" w:cs="仿宋_GB2312" w:eastAsia="仿宋_GB2312"/>
        </w:rPr>
        <w:t>4、 其他要求：本项目不接受联合体投标，供应商需提供非联合体书面声明。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汉中市南郑区大河坎中学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陕西省汉中市南郑区大河坎镇南大街122号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汉中市南郑区大河坎中学经办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13309160821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南郑区政府采购中心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汉中市南郑区县城南大街区绩效评价中心五楼区政府采购中心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南郑区政府采购中心业务股经办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0916-2995592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是</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汉中市南郑区大河坎中学</w:t>
      </w:r>
      <w:r>
        <w:rPr>
          <w:rFonts w:ascii="仿宋_GB2312" w:hAnsi="仿宋_GB2312" w:cs="仿宋_GB2312" w:eastAsia="仿宋_GB2312"/>
        </w:rPr>
        <w:t>和</w:t>
      </w:r>
      <w:r>
        <w:rPr>
          <w:rFonts w:ascii="仿宋_GB2312" w:hAnsi="仿宋_GB2312" w:cs="仿宋_GB2312" w:eastAsia="仿宋_GB2312"/>
        </w:rPr>
        <w:t>南郑区政府采购中心</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汉中市南郑区大河坎中学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南郑区政府采购中心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汉中市南郑区大河坎中学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南郑区政府采购中心</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四、构成本谈判文件的各组成部分，未经采购人书面同意，供应商不得擅自复印或用于非本谈判项目所需的其他目的。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按照谈判文件及采购合同约定的技术参数、商务条款验收交付。</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汉中市南郑区大河坎中学</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南郑区政府采购中心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南郑区政府采购中心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联系人：南郑区政府采购中心</w:t>
      </w:r>
    </w:p>
    <w:p>
      <w:pPr>
        <w:pStyle w:val="null3"/>
      </w:pPr>
      <w:r>
        <w:rPr>
          <w:rFonts w:ascii="仿宋_GB2312" w:hAnsi="仿宋_GB2312" w:cs="仿宋_GB2312" w:eastAsia="仿宋_GB2312"/>
        </w:rPr>
        <w:t>联系电话：0916-2995594</w:t>
      </w:r>
    </w:p>
    <w:p>
      <w:pPr>
        <w:pStyle w:val="null3"/>
      </w:pPr>
      <w:r>
        <w:rPr>
          <w:rFonts w:ascii="仿宋_GB2312" w:hAnsi="仿宋_GB2312" w:cs="仿宋_GB2312" w:eastAsia="仿宋_GB2312"/>
        </w:rPr>
        <w:t>地址：汉中市南郑区县城南大街绩效评价中心五楼区政府采购中心</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为改善办学条件，解决学生宿舍夏季降温、冬季取暖的问题，学校争取上级资金39万元，为221间学生宿舍安装1.5匹冷暖空调，为学生提供舒适的住宿环境。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390,000.00</w:t>
      </w:r>
    </w:p>
    <w:p>
      <w:pPr>
        <w:pStyle w:val="null3"/>
      </w:pPr>
      <w:r>
        <w:rPr>
          <w:rFonts w:ascii="仿宋_GB2312" w:hAnsi="仿宋_GB2312" w:cs="仿宋_GB2312" w:eastAsia="仿宋_GB2312"/>
        </w:rPr>
        <w:t>采购包最高限价（元）: 390,000.00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采购1.5匹冷暖壁挂式一级能效分体空调</w:t>
            </w:r>
          </w:p>
        </w:tc>
        <w:tc>
          <w:tcPr>
            <w:tcW w:type="dxa" w:w="755"/>
          </w:tcPr>
          <w:p>
            <w:pPr>
              <w:pStyle w:val="null3"/>
              <w:jc w:val="right"/>
            </w:pPr>
            <w:r>
              <w:rPr>
                <w:rFonts w:ascii="仿宋_GB2312" w:hAnsi="仿宋_GB2312" w:cs="仿宋_GB2312" w:eastAsia="仿宋_GB2312"/>
              </w:rPr>
              <w:t>221.00</w:t>
            </w:r>
          </w:p>
        </w:tc>
        <w:tc>
          <w:tcPr>
            <w:tcW w:type="dxa" w:w="755"/>
          </w:tcPr>
          <w:p>
            <w:pPr>
              <w:pStyle w:val="null3"/>
              <w:jc w:val="right"/>
            </w:pPr>
            <w:r>
              <w:rPr>
                <w:rFonts w:ascii="仿宋_GB2312" w:hAnsi="仿宋_GB2312" w:cs="仿宋_GB2312" w:eastAsia="仿宋_GB2312"/>
              </w:rPr>
              <w:t>390,000.00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标的名称：采购1.5匹冷暖壁挂式一级能效分体空调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整机基础信息</w:t>
            </w:r>
          </w:p>
          <w:p>
            <w:pPr>
              <w:pStyle w:val="null3"/>
              <w:jc w:val="both"/>
            </w:pPr>
            <w:r>
              <w:rPr>
                <w:rFonts w:ascii="仿宋_GB2312" w:hAnsi="仿宋_GB2312" w:cs="仿宋_GB2312" w:eastAsia="仿宋_GB2312"/>
                <w:sz w:val="24"/>
              </w:rPr>
              <w:t>机型：</w:t>
            </w:r>
            <w:r>
              <w:rPr>
                <w:rFonts w:ascii="仿宋_GB2312" w:hAnsi="仿宋_GB2312" w:cs="仿宋_GB2312" w:eastAsia="仿宋_GB2312"/>
                <w:sz w:val="24"/>
              </w:rPr>
              <w:t>变频冷暖壁挂式空调</w:t>
            </w:r>
          </w:p>
          <w:p>
            <w:pPr>
              <w:pStyle w:val="null3"/>
              <w:jc w:val="both"/>
            </w:pPr>
            <w:r>
              <w:rPr>
                <w:rFonts w:ascii="仿宋_GB2312" w:hAnsi="仿宋_GB2312" w:cs="仿宋_GB2312" w:eastAsia="仿宋_GB2312"/>
                <w:sz w:val="24"/>
              </w:rPr>
              <w:t>匹数</w:t>
            </w:r>
            <w:r>
              <w:rPr>
                <w:rFonts w:ascii="仿宋_GB2312" w:hAnsi="仿宋_GB2312" w:cs="仿宋_GB2312" w:eastAsia="仿宋_GB2312"/>
                <w:sz w:val="24"/>
              </w:rPr>
              <w:t>大</w:t>
            </w:r>
            <w:r>
              <w:rPr>
                <w:rFonts w:ascii="仿宋_GB2312" w:hAnsi="仿宋_GB2312" w:cs="仿宋_GB2312" w:eastAsia="仿宋_GB2312"/>
                <w:sz w:val="24"/>
              </w:rPr>
              <w:t>1.5</w:t>
            </w:r>
            <w:r>
              <w:rPr>
                <w:rFonts w:ascii="仿宋_GB2312" w:hAnsi="仿宋_GB2312" w:cs="仿宋_GB2312" w:eastAsia="仿宋_GB2312"/>
                <w:sz w:val="24"/>
              </w:rPr>
              <w:t>匹</w:t>
            </w:r>
          </w:p>
          <w:p>
            <w:pPr>
              <w:pStyle w:val="null3"/>
              <w:jc w:val="both"/>
            </w:pPr>
            <w:r>
              <w:rPr>
                <w:rFonts w:ascii="仿宋_GB2312" w:hAnsi="仿宋_GB2312" w:cs="仿宋_GB2312" w:eastAsia="仿宋_GB2312"/>
                <w:sz w:val="24"/>
                <w:b/>
              </w:rPr>
              <w:t>特色功能</w:t>
            </w:r>
          </w:p>
          <w:p>
            <w:pPr>
              <w:pStyle w:val="null3"/>
              <w:jc w:val="both"/>
            </w:pPr>
            <w:r>
              <w:rPr>
                <w:rFonts w:ascii="仿宋_GB2312" w:hAnsi="仿宋_GB2312" w:cs="仿宋_GB2312" w:eastAsia="仿宋_GB2312"/>
                <w:sz w:val="24"/>
              </w:rPr>
              <w:t>具备</w:t>
            </w:r>
            <w:r>
              <w:rPr>
                <w:rFonts w:ascii="仿宋_GB2312" w:hAnsi="仿宋_GB2312" w:cs="仿宋_GB2312" w:eastAsia="仿宋_GB2312"/>
                <w:sz w:val="24"/>
              </w:rPr>
              <w:t>自清洁功能、室内机面板/滤网可拆洗、支持电辅加热、睡眠模式</w:t>
            </w:r>
          </w:p>
          <w:p>
            <w:pPr>
              <w:pStyle w:val="null3"/>
              <w:jc w:val="both"/>
            </w:pPr>
            <w:r>
              <w:rPr>
                <w:rFonts w:ascii="仿宋_GB2312" w:hAnsi="仿宋_GB2312" w:cs="仿宋_GB2312" w:eastAsia="仿宋_GB2312"/>
                <w:sz w:val="24"/>
                <w:b/>
              </w:rPr>
              <w:t>制冷制热核心参数（额定标准工况）</w:t>
            </w:r>
          </w:p>
          <w:p>
            <w:pPr>
              <w:pStyle w:val="null3"/>
              <w:jc w:val="both"/>
            </w:pPr>
            <w:r>
              <w:rPr>
                <w:rFonts w:ascii="仿宋_GB2312" w:hAnsi="仿宋_GB2312" w:cs="仿宋_GB2312" w:eastAsia="仿宋_GB2312"/>
                <w:sz w:val="24"/>
              </w:rPr>
              <w:t>★额定制冷量 ≥3500</w:t>
            </w:r>
            <w:r>
              <w:rPr>
                <w:rFonts w:ascii="仿宋_GB2312" w:hAnsi="仿宋_GB2312" w:cs="仿宋_GB2312" w:eastAsia="仿宋_GB2312"/>
                <w:sz w:val="24"/>
              </w:rPr>
              <w:t>W</w:t>
            </w:r>
          </w:p>
          <w:p>
            <w:pPr>
              <w:pStyle w:val="null3"/>
              <w:jc w:val="both"/>
            </w:pPr>
            <w:r>
              <w:rPr>
                <w:rFonts w:ascii="仿宋_GB2312" w:hAnsi="仿宋_GB2312" w:cs="仿宋_GB2312" w:eastAsia="仿宋_GB2312"/>
                <w:sz w:val="24"/>
              </w:rPr>
              <w:t xml:space="preserve">★额定制热量 </w:t>
            </w:r>
            <w:r>
              <w:rPr>
                <w:rFonts w:ascii="仿宋_GB2312" w:hAnsi="仿宋_GB2312" w:cs="仿宋_GB2312" w:eastAsia="仿宋_GB2312"/>
                <w:sz w:val="24"/>
                <w:b/>
              </w:rPr>
              <w:t>≥</w:t>
            </w:r>
            <w:r>
              <w:rPr>
                <w:rFonts w:ascii="仿宋_GB2312" w:hAnsi="仿宋_GB2312" w:cs="仿宋_GB2312" w:eastAsia="仿宋_GB2312"/>
                <w:sz w:val="24"/>
              </w:rPr>
              <w:t>4400</w:t>
            </w:r>
            <w:r>
              <w:rPr>
                <w:rFonts w:ascii="仿宋_GB2312" w:hAnsi="仿宋_GB2312" w:cs="仿宋_GB2312" w:eastAsia="仿宋_GB2312"/>
                <w:sz w:val="24"/>
              </w:rPr>
              <w:t>W</w:t>
            </w:r>
          </w:p>
          <w:p>
            <w:pPr>
              <w:pStyle w:val="null3"/>
              <w:jc w:val="both"/>
            </w:pPr>
            <w:r>
              <w:rPr>
                <w:rFonts w:ascii="仿宋_GB2312" w:hAnsi="仿宋_GB2312" w:cs="仿宋_GB2312" w:eastAsia="仿宋_GB2312"/>
                <w:sz w:val="24"/>
              </w:rPr>
              <w:t>▲额定制冷输入功率 ≤900</w:t>
            </w:r>
            <w:r>
              <w:rPr>
                <w:rFonts w:ascii="仿宋_GB2312" w:hAnsi="仿宋_GB2312" w:cs="仿宋_GB2312" w:eastAsia="仿宋_GB2312"/>
                <w:sz w:val="24"/>
              </w:rPr>
              <w:t>W</w:t>
            </w:r>
          </w:p>
          <w:p>
            <w:pPr>
              <w:pStyle w:val="null3"/>
              <w:jc w:val="both"/>
            </w:pPr>
            <w:r>
              <w:rPr>
                <w:rFonts w:ascii="仿宋_GB2312" w:hAnsi="仿宋_GB2312" w:cs="仿宋_GB2312" w:eastAsia="仿宋_GB2312"/>
                <w:sz w:val="24"/>
              </w:rPr>
              <w:t>▲额定</w:t>
            </w:r>
            <w:r>
              <w:rPr>
                <w:rFonts w:ascii="仿宋_GB2312" w:hAnsi="仿宋_GB2312" w:cs="仿宋_GB2312" w:eastAsia="仿宋_GB2312"/>
                <w:sz w:val="24"/>
              </w:rPr>
              <w:t xml:space="preserve">制热输入功率 </w:t>
            </w:r>
            <w:r>
              <w:rPr>
                <w:rFonts w:ascii="仿宋_GB2312" w:hAnsi="仿宋_GB2312" w:cs="仿宋_GB2312" w:eastAsia="仿宋_GB2312"/>
                <w:sz w:val="24"/>
              </w:rPr>
              <w:t>≤1</w:t>
            </w:r>
            <w:r>
              <w:rPr>
                <w:rFonts w:ascii="仿宋_GB2312" w:hAnsi="仿宋_GB2312" w:cs="仿宋_GB2312" w:eastAsia="仿宋_GB2312"/>
                <w:sz w:val="24"/>
              </w:rPr>
              <w:t>050</w:t>
            </w:r>
            <w:r>
              <w:rPr>
                <w:rFonts w:ascii="仿宋_GB2312" w:hAnsi="仿宋_GB2312" w:cs="仿宋_GB2312" w:eastAsia="仿宋_GB2312"/>
                <w:sz w:val="24"/>
              </w:rPr>
              <w:t>W</w:t>
            </w:r>
          </w:p>
          <w:p>
            <w:pPr>
              <w:pStyle w:val="null3"/>
              <w:jc w:val="both"/>
            </w:pPr>
            <w:r>
              <w:rPr>
                <w:rFonts w:ascii="仿宋_GB2312" w:hAnsi="仿宋_GB2312" w:cs="仿宋_GB2312" w:eastAsia="仿宋_GB2312"/>
                <w:sz w:val="24"/>
              </w:rPr>
              <w:t xml:space="preserve">电辅热加热功率 </w:t>
            </w:r>
            <w:r>
              <w:rPr>
                <w:rFonts w:ascii="仿宋_GB2312" w:hAnsi="仿宋_GB2312" w:cs="仿宋_GB2312" w:eastAsia="仿宋_GB2312"/>
                <w:sz w:val="24"/>
              </w:rPr>
              <w:t>≥750</w:t>
            </w:r>
            <w:r>
              <w:rPr>
                <w:rFonts w:ascii="仿宋_GB2312" w:hAnsi="仿宋_GB2312" w:cs="仿宋_GB2312" w:eastAsia="仿宋_GB2312"/>
                <w:sz w:val="24"/>
              </w:rPr>
              <w:t>W</w:t>
            </w:r>
          </w:p>
          <w:p>
            <w:pPr>
              <w:pStyle w:val="null3"/>
              <w:jc w:val="both"/>
            </w:pPr>
            <w:r>
              <w:rPr>
                <w:rFonts w:ascii="仿宋_GB2312" w:hAnsi="仿宋_GB2312" w:cs="仿宋_GB2312" w:eastAsia="仿宋_GB2312"/>
                <w:sz w:val="24"/>
              </w:rPr>
              <w:t xml:space="preserve">室内机循环风量 </w:t>
            </w:r>
            <w:r>
              <w:rPr>
                <w:rFonts w:ascii="仿宋_GB2312" w:hAnsi="仿宋_GB2312" w:cs="仿宋_GB2312" w:eastAsia="仿宋_GB2312"/>
                <w:sz w:val="24"/>
              </w:rPr>
              <w:t>≥700</w:t>
            </w:r>
            <w:r>
              <w:rPr>
                <w:rFonts w:ascii="仿宋_GB2312" w:hAnsi="仿宋_GB2312" w:cs="仿宋_GB2312" w:eastAsia="仿宋_GB2312"/>
                <w:sz w:val="24"/>
              </w:rPr>
              <w:t>m3/h</w:t>
            </w:r>
          </w:p>
          <w:p>
            <w:pPr>
              <w:pStyle w:val="null3"/>
              <w:jc w:val="both"/>
            </w:pPr>
            <w:r>
              <w:rPr>
                <w:rFonts w:ascii="仿宋_GB2312" w:hAnsi="仿宋_GB2312" w:cs="仿宋_GB2312" w:eastAsia="仿宋_GB2312"/>
                <w:sz w:val="24"/>
                <w:b/>
              </w:rPr>
              <w:t>噪音指标</w:t>
            </w:r>
          </w:p>
          <w:p>
            <w:pPr>
              <w:pStyle w:val="null3"/>
              <w:jc w:val="both"/>
            </w:pPr>
            <w:r>
              <w:rPr>
                <w:rFonts w:ascii="仿宋_GB2312" w:hAnsi="仿宋_GB2312" w:cs="仿宋_GB2312" w:eastAsia="仿宋_GB2312"/>
                <w:sz w:val="24"/>
              </w:rPr>
              <w:t xml:space="preserve">室内机睡眠模式噪音 </w:t>
            </w:r>
            <w:r>
              <w:rPr>
                <w:rFonts w:ascii="仿宋_GB2312" w:hAnsi="仿宋_GB2312" w:cs="仿宋_GB2312" w:eastAsia="仿宋_GB2312"/>
                <w:sz w:val="24"/>
              </w:rPr>
              <w:t>≤</w:t>
            </w:r>
            <w:r>
              <w:rPr>
                <w:rFonts w:ascii="仿宋_GB2312" w:hAnsi="仿宋_GB2312" w:cs="仿宋_GB2312" w:eastAsia="仿宋_GB2312"/>
                <w:sz w:val="24"/>
              </w:rPr>
              <w:t>23dB(A)</w:t>
            </w:r>
          </w:p>
          <w:p>
            <w:pPr>
              <w:pStyle w:val="null3"/>
              <w:jc w:val="both"/>
            </w:pPr>
            <w:r>
              <w:rPr>
                <w:rFonts w:ascii="仿宋_GB2312" w:hAnsi="仿宋_GB2312" w:cs="仿宋_GB2312" w:eastAsia="仿宋_GB2312"/>
                <w:sz w:val="24"/>
              </w:rPr>
              <w:t xml:space="preserve">室外机最大运行噪音 </w:t>
            </w:r>
            <w:r>
              <w:rPr>
                <w:rFonts w:ascii="仿宋_GB2312" w:hAnsi="仿宋_GB2312" w:cs="仿宋_GB2312" w:eastAsia="仿宋_GB2312"/>
                <w:sz w:val="24"/>
              </w:rPr>
              <w:t>≤</w:t>
            </w:r>
            <w:r>
              <w:rPr>
                <w:rFonts w:ascii="仿宋_GB2312" w:hAnsi="仿宋_GB2312" w:cs="仿宋_GB2312" w:eastAsia="仿宋_GB2312"/>
                <w:sz w:val="24"/>
              </w:rPr>
              <w:t>51</w:t>
            </w:r>
            <w:r>
              <w:rPr>
                <w:rFonts w:ascii="仿宋_GB2312" w:hAnsi="仿宋_GB2312" w:cs="仿宋_GB2312" w:eastAsia="仿宋_GB2312"/>
                <w:sz w:val="24"/>
              </w:rPr>
              <w:t>dB(A)</w:t>
            </w:r>
          </w:p>
          <w:p>
            <w:pPr>
              <w:pStyle w:val="null3"/>
              <w:jc w:val="both"/>
            </w:pPr>
            <w:r>
              <w:rPr>
                <w:rFonts w:ascii="仿宋_GB2312" w:hAnsi="仿宋_GB2312" w:cs="仿宋_GB2312" w:eastAsia="仿宋_GB2312"/>
                <w:sz w:val="24"/>
                <w:b/>
              </w:rPr>
              <w:t>墙体打孔：</w:t>
            </w:r>
            <w:r>
              <w:rPr>
                <w:rFonts w:ascii="仿宋_GB2312" w:hAnsi="仿宋_GB2312" w:cs="仿宋_GB2312" w:eastAsia="仿宋_GB2312"/>
                <w:sz w:val="24"/>
              </w:rPr>
              <w:t>含常规墙体打孔费用</w:t>
            </w:r>
          </w:p>
          <w:p>
            <w:pPr>
              <w:pStyle w:val="null3"/>
              <w:jc w:val="both"/>
            </w:pPr>
            <w:r>
              <w:rPr>
                <w:rFonts w:ascii="仿宋_GB2312" w:hAnsi="仿宋_GB2312" w:cs="仿宋_GB2312" w:eastAsia="仿宋_GB2312"/>
                <w:sz w:val="24"/>
                <w:b/>
              </w:rPr>
              <w:t>连接铜管</w:t>
            </w:r>
            <w:r>
              <w:rPr>
                <w:rFonts w:ascii="仿宋_GB2312" w:hAnsi="仿宋_GB2312" w:cs="仿宋_GB2312" w:eastAsia="仿宋_GB2312"/>
                <w:sz w:val="24"/>
              </w:rPr>
              <w:t>：含标准长度铜管及合理加长铜管费用</w:t>
            </w:r>
          </w:p>
          <w:p>
            <w:pPr>
              <w:pStyle w:val="null3"/>
              <w:jc w:val="both"/>
            </w:pPr>
            <w:r>
              <w:rPr>
                <w:rFonts w:ascii="仿宋_GB2312" w:hAnsi="仿宋_GB2312" w:cs="仿宋_GB2312" w:eastAsia="仿宋_GB2312"/>
                <w:sz w:val="24"/>
                <w:b/>
              </w:rPr>
              <w:t>外机支架：</w:t>
            </w:r>
            <w:r>
              <w:rPr>
                <w:rFonts w:ascii="仿宋_GB2312" w:hAnsi="仿宋_GB2312" w:cs="仿宋_GB2312" w:eastAsia="仿宋_GB2312"/>
                <w:sz w:val="24"/>
              </w:rPr>
              <w:t>配套外机防腐支架</w:t>
            </w:r>
          </w:p>
          <w:p>
            <w:pPr>
              <w:pStyle w:val="null3"/>
              <w:jc w:val="both"/>
            </w:pPr>
            <w:r>
              <w:rPr>
                <w:rFonts w:ascii="仿宋_GB2312" w:hAnsi="仿宋_GB2312" w:cs="仿宋_GB2312" w:eastAsia="仿宋_GB2312"/>
                <w:sz w:val="24"/>
                <w:b/>
              </w:rPr>
              <w:t>高空作业费</w:t>
            </w:r>
            <w:r>
              <w:rPr>
                <w:rFonts w:ascii="仿宋_GB2312" w:hAnsi="仿宋_GB2312" w:cs="仿宋_GB2312" w:eastAsia="仿宋_GB2312"/>
                <w:sz w:val="24"/>
              </w:rPr>
              <w:t>：包含</w:t>
            </w:r>
            <w:r>
              <w:rPr>
                <w:rFonts w:ascii="仿宋_GB2312" w:hAnsi="仿宋_GB2312" w:cs="仿宋_GB2312" w:eastAsia="仿宋_GB2312"/>
                <w:sz w:val="24"/>
              </w:rPr>
              <w:t>高空安装作业费用</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根据采购方要求，在60天之内完成送货上门及安装相关事宜。</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汉中市南郑区大河坎中学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其他，工程完工验收合格，达到付款条件起30个工作日内，支付合同总金额的100.0%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按照谈判文件及采购合同约定的技术参数、商务条款验收交付。</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1.整机6年免费保修 2. 保修期内非人为损坏：一般故障24小时响应、紧急故障优先处理、质保期内免费上门、检测、换件、人工全免。</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1.按《按中华人民共和国合同法》中的相关条款执行。 2.成交供应商未按合同要求提供服务或不能满足技术要求，虚假应标造成业务流程数据紊乱、业务中断等情形，采购人有权终止合同，并对其违约行为进行追究。</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中涉及到的相关保密数据、资料、文档等按照相应相关保密规定执行，成交人有对资料保密的义务。不得以商业目的使用该资料或者开发和生产其他产品。成交人可根据需要对资料内容进行必要的修改和对数据格式进行转换，但未经许可，不得将修改、转换后的数据对外发布和提供。</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汉中市政府采购供应商资格承诺函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控股管理关系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营业执照等主体资格证明文件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汉中市政府采购供应商资格承诺函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法定代表人证明书及授权书法定代表人（负责人）委托授权书 法定代表人（负责人）委托代理人参加征集活动时，应提供法定代表人（负责人）委托授权书；法定代表人（负责人）亲自参加征集活动时，应提供法定代表人（负责人）身份证复印件。 如法人的分支机构参与征集活动的，除提供《法定代表人授权委托书》外，还须同时提供法人给分支机构出具的授权书，并加盖公章。法人只能授权一家分支机构参与征集活动，且不能与分支机构同时参与征集活动。</w:t>
            </w:r>
          </w:p>
        </w:tc>
        <w:tc>
          <w:tcPr>
            <w:tcW w:type="dxa" w:w="1661"/>
          </w:tcPr>
          <w:p>
            <w:pPr>
              <w:pStyle w:val="null3"/>
            </w:pPr>
            <w:r>
              <w:rPr>
                <w:rFonts w:ascii="仿宋_GB2312" w:hAnsi="仿宋_GB2312" w:cs="仿宋_GB2312" w:eastAsia="仿宋_GB2312"/>
              </w:rPr>
              <w:t>法定代表人证明书及法定代表人授权书.docx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 xml:space="preserve"> 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非联合体谈判书面声明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技术条款及商务条款响应偏离表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响应文件是否按竞争性谈判文件要求签署、盖章的</w:t>
            </w:r>
          </w:p>
        </w:tc>
        <w:tc>
          <w:tcPr>
            <w:tcW w:type="dxa" w:w="3322"/>
          </w:tcPr>
          <w:p>
            <w:pPr>
              <w:pStyle w:val="null3"/>
            </w:pPr>
            <w:r>
              <w:rPr>
                <w:rFonts w:ascii="仿宋_GB2312" w:hAnsi="仿宋_GB2312" w:cs="仿宋_GB2312" w:eastAsia="仿宋_GB2312"/>
              </w:rPr>
              <w:t>响应文件应按照竞争性谈判文件要求签署、盖章</w:t>
            </w:r>
          </w:p>
        </w:tc>
        <w:tc>
          <w:tcPr>
            <w:tcW w:type="dxa" w:w="1661"/>
          </w:tcPr>
          <w:p>
            <w:pPr>
              <w:pStyle w:val="null3"/>
            </w:pPr>
            <w:r>
              <w:rPr>
                <w:rFonts w:ascii="仿宋_GB2312" w:hAnsi="仿宋_GB2312" w:cs="仿宋_GB2312" w:eastAsia="仿宋_GB2312"/>
              </w:rPr>
              <w:t>营业执照等主体资格证明文件 中小企业声明函 报价表 非联合体谈判书面声明 拒绝政府采购领域商业贿赂承诺书 控股管理关系 响应文件封面 残疾人福利性单位声明函 标的清单 关于符合本国产品标准的声明函 技术条款及商务条款响应偏离表 法定代表人证明书及法定代表人授权书.docx 响应函 汉中市政府采购供应商资格承诺函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报价是否超过竞争性谈判文件中规定的预算金额或者最高限价</w:t>
            </w:r>
          </w:p>
        </w:tc>
        <w:tc>
          <w:tcPr>
            <w:tcW w:type="dxa" w:w="3322"/>
          </w:tcPr>
          <w:p>
            <w:pPr>
              <w:pStyle w:val="null3"/>
            </w:pPr>
            <w:r>
              <w:rPr>
                <w:rFonts w:ascii="仿宋_GB2312" w:hAnsi="仿宋_GB2312" w:cs="仿宋_GB2312" w:eastAsia="仿宋_GB2312"/>
              </w:rPr>
              <w:t>报价未超过竞争性谈判文件中规定的最高限价的</w:t>
            </w:r>
          </w:p>
        </w:tc>
        <w:tc>
          <w:tcPr>
            <w:tcW w:type="dxa" w:w="1661"/>
          </w:tcPr>
          <w:p>
            <w:pPr>
              <w:pStyle w:val="null3"/>
            </w:pPr>
            <w:r>
              <w:rPr>
                <w:rFonts w:ascii="仿宋_GB2312" w:hAnsi="仿宋_GB2312" w:cs="仿宋_GB2312" w:eastAsia="仿宋_GB2312"/>
              </w:rPr>
              <w:t>标的清单 报价表 技术条款及商务条款响应偏离表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营业执照等主体资格证明文件 中小企业声明函 报价表 非联合体谈判书面声明 控股管理关系 拒绝政府采购领域商业贿赂承诺书 响应文件封面 残疾人福利性单位声明函 标的清单 关于符合本国产品标准的声明函 技术条款及商务条款响应偏离表 法定代表人证明书及法定代表人授权书.docx 响应函 汉中市政府采购供应商资格承诺函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是否发现法律、法规和竞争性谈判文件规定的其他无效情形</w:t>
            </w:r>
          </w:p>
        </w:tc>
        <w:tc>
          <w:tcPr>
            <w:tcW w:type="dxa" w:w="3322"/>
          </w:tcPr>
          <w:p>
            <w:pPr>
              <w:pStyle w:val="null3"/>
            </w:pPr>
            <w:r>
              <w:rPr>
                <w:rFonts w:ascii="仿宋_GB2312" w:hAnsi="仿宋_GB2312" w:cs="仿宋_GB2312" w:eastAsia="仿宋_GB2312"/>
              </w:rPr>
              <w:t>响应文件不存在法律、法规和竞争性谈判文件规定的其他无效情形</w:t>
            </w:r>
          </w:p>
        </w:tc>
        <w:tc>
          <w:tcPr>
            <w:tcW w:type="dxa" w:w="1661"/>
          </w:tcPr>
          <w:p>
            <w:pPr>
              <w:pStyle w:val="null3"/>
            </w:pPr>
            <w:r>
              <w:rPr>
                <w:rFonts w:ascii="仿宋_GB2312" w:hAnsi="仿宋_GB2312" w:cs="仿宋_GB2312" w:eastAsia="仿宋_GB2312"/>
              </w:rPr>
              <w:t>营业执照等主体资格证明文件 中小企业声明函 报价表 非联合体谈判书面声明 控股管理关系 拒绝政府采购领域商业贿赂承诺书 响应文件封面 残疾人福利性单位声明函 标的清单 关于符合本国产品标准的声明函 技术条款及商务条款响应偏离表 法定代表人证明书及法定代表人授权书.docx 响应函 汉中市政府采购供应商资格承诺函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注：本项目不接受联合体投标，不享受中小企业优惠政策）</w:t>
            </w:r>
          </w:p>
        </w:tc>
        <w:tc>
          <w:tcPr>
            <w:tcW w:type="dxa" w:w="1910"/>
          </w:tcPr>
          <w:p>
            <w:pPr>
              <w:pStyle w:val="null3"/>
            </w:pPr>
            <w:r>
              <w:rPr>
                <w:rFonts w:ascii="仿宋_GB2312" w:hAnsi="仿宋_GB2312" w:cs="仿宋_GB2312" w:eastAsia="仿宋_GB2312"/>
              </w:rPr>
              <w:t>中小企业声明函 残疾人福利性单位声明函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 报价表</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响应文件满足谈判文件全部实质性要求,按照由低到高的报价进行排序。</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详见附件：汉中市政府采购供应商资格承诺函</w:t>
      </w:r>
    </w:p>
    <w:p>
      <w:pPr>
        <w:pStyle w:val="null3"/>
        <w:ind w:firstLine="960"/>
      </w:pPr>
      <w:r>
        <w:rPr>
          <w:rFonts w:ascii="仿宋_GB2312" w:hAnsi="仿宋_GB2312" w:cs="仿宋_GB2312" w:eastAsia="仿宋_GB2312"/>
        </w:rPr>
        <w:t>详见附件：非联合体谈判书面声明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详见附件：技术条款及商务条款响应偏离表</w:t>
      </w:r>
    </w:p>
    <w:p>
      <w:pPr>
        <w:pStyle w:val="null3"/>
        <w:ind w:firstLine="960"/>
      </w:pPr>
      <w:r>
        <w:rPr>
          <w:rFonts w:ascii="仿宋_GB2312" w:hAnsi="仿宋_GB2312" w:cs="仿宋_GB2312" w:eastAsia="仿宋_GB2312"/>
        </w:rPr>
        <w:t>详见附件：营业执照等主体资格证明文件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详见附件：拒绝政府采购领域商业贿赂承诺书</w:t>
      </w:r>
    </w:p>
    <w:p>
      <w:pPr>
        <w:pStyle w:val="null3"/>
        <w:ind w:firstLine="960"/>
      </w:pPr>
      <w:r>
        <w:rPr>
          <w:rFonts w:ascii="仿宋_GB2312" w:hAnsi="仿宋_GB2312" w:cs="仿宋_GB2312" w:eastAsia="仿宋_GB2312"/>
        </w:rPr>
        <w:t>详见附件：法定代表人证明书及法定代表人授权书.docx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详见附件：竞争性谈判合同文本.docx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