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版本号：RDZX-2026-01520260902001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留坝县城区旅游导视标识建设项目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RDZX-2026-015</w:t>
      </w:r>
      <w:r>
        <w:br/>
      </w:r>
      <w:r>
        <w:br/>
      </w:r>
      <w:r>
        <w:br/>
      </w:r>
    </w:p>
    <w:p>
      <w:pPr>
        <w:pStyle w:val="null3"/>
        <w:jc w:val="center"/>
        <w:outlineLvl w:val="2"/>
      </w:pPr>
      <w:r>
        <w:rPr>
          <w:rFonts w:ascii="仿宋_GB2312" w:hAnsi="仿宋_GB2312" w:cs="仿宋_GB2312" w:eastAsia="仿宋_GB2312"/>
          <w:sz w:val="28"/>
          <w:b/>
        </w:rPr>
        <w:t>留坝县文化和旅游局</w:t>
      </w:r>
    </w:p>
    <w:p>
      <w:pPr>
        <w:pStyle w:val="null3"/>
        <w:jc w:val="center"/>
        <w:outlineLvl w:val="2"/>
      </w:pPr>
      <w:r>
        <w:rPr>
          <w:rFonts w:ascii="仿宋_GB2312" w:hAnsi="仿宋_GB2312" w:cs="仿宋_GB2312" w:eastAsia="仿宋_GB2312"/>
          <w:sz w:val="28"/>
          <w:b/>
        </w:rPr>
        <w:t>陕西荣德正信项目管理有限公司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陕西荣德正信项目管理有限公司</w:t>
      </w:r>
      <w:r>
        <w:rPr>
          <w:rFonts w:ascii="仿宋_GB2312" w:hAnsi="仿宋_GB2312" w:cs="仿宋_GB2312" w:eastAsia="仿宋_GB2312"/>
        </w:rPr>
        <w:t>（以下简称“代理机构”）受</w:t>
      </w:r>
      <w:r>
        <w:rPr>
          <w:rFonts w:ascii="仿宋_GB2312" w:hAnsi="仿宋_GB2312" w:cs="仿宋_GB2312" w:eastAsia="仿宋_GB2312"/>
        </w:rPr>
        <w:t>留坝县文化和旅游局</w:t>
      </w:r>
      <w:r>
        <w:rPr>
          <w:rFonts w:ascii="仿宋_GB2312" w:hAnsi="仿宋_GB2312" w:cs="仿宋_GB2312" w:eastAsia="仿宋_GB2312"/>
        </w:rPr>
        <w:t>委托，拟对</w:t>
      </w:r>
      <w:r>
        <w:rPr>
          <w:rFonts w:ascii="仿宋_GB2312" w:hAnsi="仿宋_GB2312" w:cs="仿宋_GB2312" w:eastAsia="仿宋_GB2312"/>
        </w:rPr>
        <w:t>留坝县城区旅游导视标识建设项目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RDZX-2026-015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留坝县城区旅游导视标识建设项目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为进一步塑造旅游品牌，提升留坝县全域旅游服务品质，现对城区导视标识系统进行规范化建设，需委托具备相关经验的第三方机构承担标识标牌建设相关工作。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采购包1（留坝县城区旅游导视标识建设项目）：属于专门面向小微企业采购。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2、法定代表人身份证明、授权书：法定代表人参加投标须提供法定代表人身份证明及身份证复印件；法定代表人授权他人参加投标，须提供法定代表人授权委托书及委托代理人身份证复印件；</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)；（投标人应按照汉中市财政局《关于全面推行政府采购供应商基本资格条件承诺制的通知》（汉财办采管〔2024〕20号）文件要求，须提供《汉中市政府采购供应商资格承诺函》）</w:t>
      </w:r>
    </w:p>
    <w:p>
      <w:pPr>
        <w:pStyle w:val="null3"/>
      </w:pPr>
      <w:r>
        <w:rPr>
          <w:rFonts w:ascii="仿宋_GB2312" w:hAnsi="仿宋_GB2312" w:cs="仿宋_GB2312" w:eastAsia="仿宋_GB2312"/>
        </w:rPr>
        <w:t>4、中小企业声明函、监狱企业的证明文件、残疾人福利性单位声明函：本项目专门面向小微企业采购，供应商为小型、微型企业的提供《中小企业声明函》，供应商为监狱企业的，应提供监狱企业的证明文件；供应商为残疾人福利性单位的，应提供《残疾人福利性单位声明函》(监狱企业或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留坝县紫柏街道办南环路中段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范靖坤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15829981364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陕西荣德正信项目管理有限公司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汉中市汉台区西一环路8号汉府公馆旺座国际B座办公楼6层604室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0916-2128988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开户名称：陕西荣德正信项目管理有限公司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银行账号：451011580000081743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甲乙双方协商确定，采购代理服务费按照国家计委关于印发《招标代理服务收费管理暂行办法》的通知（计价格〔2002〕1980号）、《国家发展和改革委员会办公厅关于招标代理服务收费有关问题的通知》（发改办价格〔2003〕857号）及（发改办价格〔2011〕534号）规定服务类计取。 2、费用由成交人支付，在成交人领取成交（中标）通知书时一次付清。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留坝县文化和旅游局</w:t>
      </w:r>
      <w:r>
        <w:rPr>
          <w:rFonts w:ascii="仿宋_GB2312" w:hAnsi="仿宋_GB2312" w:cs="仿宋_GB2312" w:eastAsia="仿宋_GB2312"/>
        </w:rPr>
        <w:t>和</w:t>
      </w:r>
      <w:r>
        <w:rPr>
          <w:rFonts w:ascii="仿宋_GB2312" w:hAnsi="仿宋_GB2312" w:cs="仿宋_GB2312" w:eastAsia="仿宋_GB2312"/>
        </w:rPr>
        <w:t>陕西荣德正信项目管理有限公司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陕西荣德正信项目管理有限公司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陕西荣德正信项目管理有限公司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相关所有费用均包含在投标总价中，采购人不另行付费。供应商承诺所提供产品及技术知识产权权属完整合法，无侵权及权属纠纷。若出现知识产权侵权问题，一切法律责任、经济赔偿及采购人损失均由供应商全部承担。项目交付成果知识产权权属以双方签订的采购合同约定执行。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联系人：李慧</w:t>
      </w:r>
    </w:p>
    <w:p>
      <w:pPr>
        <w:pStyle w:val="null3"/>
      </w:pPr>
      <w:r>
        <w:rPr>
          <w:rFonts w:ascii="仿宋_GB2312" w:hAnsi="仿宋_GB2312" w:cs="仿宋_GB2312" w:eastAsia="仿宋_GB2312"/>
        </w:rPr>
        <w:t>联系电话：0916-2128988</w:t>
      </w:r>
    </w:p>
    <w:p>
      <w:pPr>
        <w:pStyle w:val="null3"/>
      </w:pPr>
      <w:r>
        <w:rPr>
          <w:rFonts w:ascii="仿宋_GB2312" w:hAnsi="仿宋_GB2312" w:cs="仿宋_GB2312" w:eastAsia="仿宋_GB2312"/>
        </w:rPr>
        <w:t>地址：汉中市汉台区西一环路8号汉府公馆旺座国际B座办公楼6层604室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为进一步塑造旅游品牌，提升留坝县全域旅游服务品质，现对城区导视标识系统进行规范化建设，需委托具备相关经验的第三方机构承担标识标牌建设相关工作。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留坝县城区旅游导视标识建设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标的名称：留坝县城区旅游导视标识建设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b/>
              </w:rPr>
              <w:t>采购内容及要求</w:t>
            </w:r>
          </w:p>
          <w:p>
            <w:pPr>
              <w:pStyle w:val="null3"/>
              <w:numPr>
                <w:ilvl w:val="0"/>
                <w:numId w:val="1"/>
              </w:numPr>
            </w:pPr>
            <w:r>
              <w:rPr>
                <w:rFonts w:ascii="仿宋_GB2312" w:hAnsi="仿宋_GB2312" w:cs="仿宋_GB2312" w:eastAsia="仿宋_GB2312"/>
                <w:sz w:val="24"/>
              </w:rPr>
              <w:t>采购范围与内容</w:t>
            </w:r>
          </w:p>
          <w:tbl>
            <w:tblPr>
              <w:tblBorders>
                <w:top w:val="none" w:color="000000" w:sz="4"/>
                <w:left w:val="none" w:color="000000" w:sz="4"/>
                <w:bottom w:val="none" w:color="000000" w:sz="4"/>
                <w:right w:val="none" w:color="000000" w:sz="4"/>
                <w:insideH w:val="none"/>
                <w:insideV w:val="none"/>
              </w:tblBorders>
            </w:tblPr>
            <w:tblGrid>
              <w:gridCol w:w="138"/>
              <w:gridCol w:w="276"/>
              <w:gridCol w:w="456"/>
              <w:gridCol w:w="1143"/>
              <w:gridCol w:w="235"/>
              <w:gridCol w:w="302"/>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外径尺寸</w:t>
                  </w:r>
                </w:p>
              </w:tc>
              <w:tc>
                <w:tcPr>
                  <w:tcW w:type="dxa" w:w="1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材质工艺</w:t>
                  </w:r>
                </w:p>
              </w:tc>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（块）</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精神堡垒</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1.2*1.2*9.6m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标识牌主骨采用镀锌方钢焊接，面板采用镀锌钢板激光切割、钣金异形焊接、打磨、烤漆、局部小字采用精工立体字粘贴；大字采用外露发光字内发光，基础预埋地笼、</w:t>
                  </w:r>
                  <w:r>
                    <w:rPr>
                      <w:rFonts w:ascii="仿宋_GB2312" w:hAnsi="仿宋_GB2312" w:cs="仿宋_GB2312" w:eastAsia="仿宋_GB2312"/>
                      <w:sz w:val="24"/>
                    </w:rPr>
                    <w:t>c30混凝土浇筑</w:t>
                  </w:r>
                  <w:r>
                    <w:rPr>
                      <w:rFonts w:ascii="仿宋_GB2312" w:hAnsi="仿宋_GB2312" w:cs="仿宋_GB2312" w:eastAsia="仿宋_GB2312"/>
                      <w:sz w:val="24"/>
                    </w:rPr>
                    <w:t>。</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三面内容</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位置标识</w:t>
                  </w:r>
                  <w:r>
                    <w:rPr>
                      <w:rFonts w:ascii="仿宋_GB2312" w:hAnsi="仿宋_GB2312" w:cs="仿宋_GB2312" w:eastAsia="仿宋_GB2312"/>
                      <w:sz w:val="24"/>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300*63*30cm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标识牌主骨采用镀锌方钢焊接，面板采用镀锌钢板激光切割、钣金异形焊接、打磨、烤漆、图形符号和大号文字采用精工立体烤漆字内发光，小号文字采用镂空雕刻内发光或丝网印刷</w:t>
                  </w:r>
                  <w:r>
                    <w:rPr>
                      <w:rFonts w:ascii="仿宋_GB2312" w:hAnsi="仿宋_GB2312" w:cs="仿宋_GB2312" w:eastAsia="仿宋_GB2312"/>
                      <w:sz w:val="24"/>
                    </w:rPr>
                    <w:t>/UV打印；基础预埋地笼c30混凝土浇筑或基座锚栓固定。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双面内容</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位置标识</w:t>
                  </w:r>
                  <w:r>
                    <w:rPr>
                      <w:rFonts w:ascii="仿宋_GB2312" w:hAnsi="仿宋_GB2312" w:cs="仿宋_GB2312" w:eastAsia="仿宋_GB2312"/>
                      <w:sz w:val="24"/>
                    </w:rPr>
                    <w:t>2</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350*75*30cm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标识牌主骨采用镀锌方钢焊接，面板采用镀锌钢板激光切割、钣金异形焊接、打磨、烤漆、图形符号和大号文字采用精工立体烤漆字内发光，小号文字采用镂空雕刻内发光或丝网印刷</w:t>
                  </w:r>
                  <w:r>
                    <w:rPr>
                      <w:rFonts w:ascii="仿宋_GB2312" w:hAnsi="仿宋_GB2312" w:cs="仿宋_GB2312" w:eastAsia="仿宋_GB2312"/>
                      <w:sz w:val="24"/>
                    </w:rPr>
                    <w:t>/UV打印；</w:t>
                  </w:r>
                  <w:r>
                    <w:rPr>
                      <w:rFonts w:ascii="仿宋_GB2312" w:hAnsi="仿宋_GB2312" w:cs="仿宋_GB2312" w:eastAsia="仿宋_GB2312"/>
                      <w:sz w:val="24"/>
                    </w:rPr>
                    <w:t>基础预埋地笼</w:t>
                  </w:r>
                  <w:r>
                    <w:rPr>
                      <w:rFonts w:ascii="仿宋_GB2312" w:hAnsi="仿宋_GB2312" w:cs="仿宋_GB2312" w:eastAsia="仿宋_GB2312"/>
                      <w:sz w:val="24"/>
                    </w:rPr>
                    <w:t>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双面内容</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留坝全域旅游简介</w:t>
                  </w:r>
                  <w:r>
                    <w:rPr>
                      <w:rFonts w:ascii="仿宋_GB2312" w:hAnsi="仿宋_GB2312" w:cs="仿宋_GB2312" w:eastAsia="仿宋_GB2312"/>
                      <w:sz w:val="24"/>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228*44*10cm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5mm乳白亚克力面板UV打印或丝网印刷内发光；基础预埋地笼c30混凝土浇筑。</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留坝全域旅游简介</w:t>
                  </w:r>
                  <w:r>
                    <w:rPr>
                      <w:rFonts w:ascii="仿宋_GB2312" w:hAnsi="仿宋_GB2312" w:cs="仿宋_GB2312" w:eastAsia="仿宋_GB2312"/>
                      <w:sz w:val="24"/>
                    </w:rPr>
                    <w:t>2</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240*68*1</w:t>
                  </w:r>
                  <w:r>
                    <w:rPr>
                      <w:rFonts w:ascii="仿宋_GB2312" w:hAnsi="仿宋_GB2312" w:cs="仿宋_GB2312" w:eastAsia="仿宋_GB2312"/>
                      <w:sz w:val="24"/>
                    </w:rPr>
                    <w:t>0</w:t>
                  </w:r>
                  <w:r>
                    <w:rPr>
                      <w:rFonts w:ascii="仿宋_GB2312" w:hAnsi="仿宋_GB2312" w:cs="仿宋_GB2312" w:eastAsia="仿宋_GB2312"/>
                      <w:sz w:val="24"/>
                    </w:rPr>
                    <w:t>cm</w:t>
                  </w:r>
                </w:p>
                <w:p>
                  <w:pPr>
                    <w:pStyle w:val="null3"/>
                    <w:jc w:val="center"/>
                  </w:p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标识牌主骨采用镀锌方钢焊接，面板采用镀锌钢板激光切割、立体造型、钣金异形焊接、打磨、烤漆，信息面板正背双面中英文字采用</w:t>
                  </w:r>
                  <w:r>
                    <w:rPr>
                      <w:rFonts w:ascii="仿宋_GB2312" w:hAnsi="仿宋_GB2312" w:cs="仿宋_GB2312" w:eastAsia="仿宋_GB2312"/>
                      <w:sz w:val="24"/>
                    </w:rPr>
                    <w:t>5mm乳白亚克力面板UV打印或丝网印刷凸起外装内发光工艺；基础预埋地笼c30混凝土浇筑。</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留坝全域旅游简介</w:t>
                  </w:r>
                  <w:r>
                    <w:rPr>
                      <w:rFonts w:ascii="仿宋_GB2312" w:hAnsi="仿宋_GB2312" w:cs="仿宋_GB2312" w:eastAsia="仿宋_GB2312"/>
                      <w:sz w:val="24"/>
                    </w:rPr>
                    <w:t>3</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213*63*10cm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留坝全域旅游简介</w:t>
                  </w:r>
                  <w:r>
                    <w:rPr>
                      <w:rFonts w:ascii="仿宋_GB2312" w:hAnsi="仿宋_GB2312" w:cs="仿宋_GB2312" w:eastAsia="仿宋_GB2312"/>
                      <w:sz w:val="24"/>
                    </w:rPr>
                    <w:t>4</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240*70*10cm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5mm乳白亚克力面板UV打印或丝网印刷内发光；小号文字采用丝网印刷或UV打印，基础预埋地笼c30混凝土浇筑或基座锚栓固定。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留坝全域旅游全景图（名称）</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260*30*10cm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标识牌主骨采用镀锌方钢焊接，面板采用镀锌钢板激光切割、立体造型、钣金异形焊接、打磨、烤漆、主要信息或文字采用精工立体烤漆字或镂空雕刻内发光；基础预埋地笼c30混凝土浇筑。</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留坝全域旅游全景图</w:t>
                  </w:r>
                  <w:r>
                    <w:rPr>
                      <w:rFonts w:ascii="仿宋_GB2312" w:hAnsi="仿宋_GB2312" w:cs="仿宋_GB2312" w:eastAsia="仿宋_GB2312"/>
                      <w:sz w:val="24"/>
                    </w:rPr>
                    <w:t>(地图)</w:t>
                  </w:r>
                </w:p>
                <w:p>
                  <w:pPr>
                    <w:pStyle w:val="null3"/>
                    <w:jc w:val="center"/>
                  </w:pPr>
                  <w:r>
                    <w:rPr>
                      <w:rFonts w:ascii="仿宋_GB2312" w:hAnsi="仿宋_GB2312" w:cs="仿宋_GB2312" w:eastAsia="仿宋_GB2312"/>
                      <w:sz w:val="24"/>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240*150*20cm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标识牌主骨采用镀锌方钢焊接，面板采用镀锌钢板激光切割、立体造型、钣金异形焊接、打磨、烤漆，信息面板外轮采用金属廓围边凸起工艺，信息面板采用</w:t>
                  </w:r>
                  <w:r>
                    <w:rPr>
                      <w:rFonts w:ascii="仿宋_GB2312" w:hAnsi="仿宋_GB2312" w:cs="仿宋_GB2312" w:eastAsia="仿宋_GB2312"/>
                      <w:sz w:val="24"/>
                    </w:rPr>
                    <w:t>5mm乳白亚克力面板UV打印或丝网印刷内发光；基础预埋地笼c30混凝土浇筑。</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留坝全域旅游全景图</w:t>
                  </w:r>
                  <w:r>
                    <w:rPr>
                      <w:rFonts w:ascii="仿宋_GB2312" w:hAnsi="仿宋_GB2312" w:cs="仿宋_GB2312" w:eastAsia="仿宋_GB2312"/>
                      <w:sz w:val="24"/>
                    </w:rPr>
                    <w:t>(地图)</w:t>
                  </w:r>
                </w:p>
                <w:p>
                  <w:pPr>
                    <w:pStyle w:val="null3"/>
                    <w:jc w:val="center"/>
                  </w:pPr>
                  <w:r>
                    <w:rPr>
                      <w:rFonts w:ascii="仿宋_GB2312" w:hAnsi="仿宋_GB2312" w:cs="仿宋_GB2312" w:eastAsia="仿宋_GB2312"/>
                      <w:sz w:val="24"/>
                    </w:rPr>
                    <w:t>2</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240*130*10cm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标识牌主骨采用镀锌方钢焊接，面板采用镀锌钢板激光切割、立体造型、钣金异形焊接、打磨、烤漆，地图正背双面中英文字采用</w:t>
                  </w:r>
                  <w:r>
                    <w:rPr>
                      <w:rFonts w:ascii="仿宋_GB2312" w:hAnsi="仿宋_GB2312" w:cs="仿宋_GB2312" w:eastAsia="仿宋_GB2312"/>
                      <w:sz w:val="24"/>
                    </w:rPr>
                    <w:t>5mm乳白亚克力面板UV打印或丝网印刷凸起外装内发光工艺；小号文字采用丝网印刷或UV打印，基础预埋地笼c30混凝土浇筑。</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留坝全域旅游全景图</w:t>
                  </w:r>
                  <w:r>
                    <w:rPr>
                      <w:rFonts w:ascii="仿宋_GB2312" w:hAnsi="仿宋_GB2312" w:cs="仿宋_GB2312" w:eastAsia="仿宋_GB2312"/>
                      <w:sz w:val="24"/>
                    </w:rPr>
                    <w:t>(地图)</w:t>
                  </w:r>
                </w:p>
                <w:p>
                  <w:pPr>
                    <w:pStyle w:val="null3"/>
                    <w:jc w:val="center"/>
                  </w:pPr>
                  <w:r>
                    <w:rPr>
                      <w:rFonts w:ascii="仿宋_GB2312" w:hAnsi="仿宋_GB2312" w:cs="仿宋_GB2312" w:eastAsia="仿宋_GB2312"/>
                      <w:sz w:val="24"/>
                    </w:rPr>
                    <w:t>3</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240*165*20cm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标识牌主骨采用镀锌方钢焊接，面板采用镀锌钢板激光切割、立体造型、钣金异形焊接、打磨、烤漆。信息面板外轮采用金属廓围边凸起工艺，信息面板采用</w:t>
                  </w:r>
                  <w:r>
                    <w:rPr>
                      <w:rFonts w:ascii="仿宋_GB2312" w:hAnsi="仿宋_GB2312" w:cs="仿宋_GB2312" w:eastAsia="仿宋_GB2312"/>
                      <w:sz w:val="24"/>
                    </w:rPr>
                    <w:t>5mm乳白亚克力面板UV打印或丝网印刷内发光；基础预埋地笼c30混凝土浇筑或基座锚栓固定。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留坝全域旅游全景图</w:t>
                  </w:r>
                  <w:r>
                    <w:rPr>
                      <w:rFonts w:ascii="仿宋_GB2312" w:hAnsi="仿宋_GB2312" w:cs="仿宋_GB2312" w:eastAsia="仿宋_GB2312"/>
                      <w:sz w:val="24"/>
                    </w:rPr>
                    <w:t>(地图)</w:t>
                  </w:r>
                </w:p>
                <w:p>
                  <w:pPr>
                    <w:pStyle w:val="null3"/>
                    <w:jc w:val="center"/>
                  </w:pPr>
                  <w:r>
                    <w:rPr>
                      <w:rFonts w:ascii="仿宋_GB2312" w:hAnsi="仿宋_GB2312" w:cs="仿宋_GB2312" w:eastAsia="仿宋_GB2312"/>
                      <w:sz w:val="24"/>
                    </w:rPr>
                    <w:t>4</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240*116*20Cm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5mm乳白亚克力面板UV打印或丝网印刷内发光；小号文字采用丝网印刷或UV打印，基础预埋地笼c30混凝土浇筑或基座锚栓固定。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留坝全域旅游全景图</w:t>
                  </w:r>
                  <w:r>
                    <w:rPr>
                      <w:rFonts w:ascii="仿宋_GB2312" w:hAnsi="仿宋_GB2312" w:cs="仿宋_GB2312" w:eastAsia="仿宋_GB2312"/>
                      <w:sz w:val="24"/>
                    </w:rPr>
                    <w:t>(地图)</w:t>
                  </w:r>
                </w:p>
                <w:p>
                  <w:pPr>
                    <w:pStyle w:val="null3"/>
                    <w:jc w:val="center"/>
                  </w:pPr>
                  <w:r>
                    <w:rPr>
                      <w:rFonts w:ascii="仿宋_GB2312" w:hAnsi="仿宋_GB2312" w:cs="仿宋_GB2312" w:eastAsia="仿宋_GB2312"/>
                      <w:sz w:val="24"/>
                    </w:rPr>
                    <w:t>5</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240*120*10cm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标识牌主骨采用镀锌方钢焊接，面板采用镀锌钢板激光切割、钣金异形焊接、打磨、烤漆、文字采用</w:t>
                  </w:r>
                  <w:r>
                    <w:rPr>
                      <w:rFonts w:ascii="仿宋_GB2312" w:hAnsi="仿宋_GB2312" w:cs="仿宋_GB2312" w:eastAsia="仿宋_GB2312"/>
                      <w:sz w:val="24"/>
                    </w:rPr>
                    <w:t>5mm乳白亚克力面板UV打印或丝网印刷内发光；基础预埋地笼c30混凝土浇筑或基座锚栓固定。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留坝旅游精品线路推荐</w:t>
                  </w:r>
                  <w:r>
                    <w:rPr>
                      <w:rFonts w:ascii="仿宋_GB2312" w:hAnsi="仿宋_GB2312" w:cs="仿宋_GB2312" w:eastAsia="仿宋_GB2312"/>
                      <w:sz w:val="24"/>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190*44*10cm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5mm乳白亚克力面板UV打印或丝网印刷内发光；基础预埋地笼c30混凝土浇筑。</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留坝旅游精品线路推荐</w:t>
                  </w:r>
                  <w:r>
                    <w:rPr>
                      <w:rFonts w:ascii="仿宋_GB2312" w:hAnsi="仿宋_GB2312" w:cs="仿宋_GB2312" w:eastAsia="仿宋_GB2312"/>
                      <w:sz w:val="24"/>
                    </w:rPr>
                    <w:t>2</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210*60*10cm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5mm乳白亚克力面板UV打印或丝网印刷内发光；小号文字采用丝网印刷或UV打印，基础预埋地笼c30混凝土浇筑或基座锚栓固定。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留坝旅游精品线路推荐</w:t>
                  </w:r>
                  <w:r>
                    <w:rPr>
                      <w:rFonts w:ascii="仿宋_GB2312" w:hAnsi="仿宋_GB2312" w:cs="仿宋_GB2312" w:eastAsia="仿宋_GB2312"/>
                      <w:sz w:val="24"/>
                    </w:rPr>
                    <w:t>3</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240*65*10cm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5mm乳白亚克力面板UV打印或丝网印刷内发光；小号文字采用丝网印刷或UV打印，基础预埋地笼c30混凝土浇筑或基座锚栓固定。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7</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国内旅游行为文明公约</w:t>
                  </w:r>
                  <w:r>
                    <w:rPr>
                      <w:rFonts w:ascii="仿宋_GB2312" w:hAnsi="仿宋_GB2312" w:cs="仿宋_GB2312" w:eastAsia="仿宋_GB2312"/>
                      <w:sz w:val="24"/>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228*44*10cm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5mm乳白亚克力面板UV打印或丝网印刷内发光；基础预埋地笼c30混凝土浇筑。</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8</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国内旅游文明行为公约</w:t>
                  </w:r>
                  <w:r>
                    <w:rPr>
                      <w:rFonts w:ascii="仿宋_GB2312" w:hAnsi="仿宋_GB2312" w:cs="仿宋_GB2312" w:eastAsia="仿宋_GB2312"/>
                      <w:sz w:val="24"/>
                    </w:rPr>
                    <w:t>2</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240*65*10cm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5mm乳白亚克力面板UV打印或丝网印刷内发光；小号文字采用丝网印刷或UV打印，基础预埋地笼c30混凝土浇筑或基座锚栓固定。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景观景点说明牌</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240*80*10cm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标识牌主骨采用镀锌方钢焊接，面板采用镀锌钢板激光切割、立体造型、钣金异形焊接、打磨、烤漆，地图正背双面中英文字采用</w:t>
                  </w:r>
                  <w:r>
                    <w:rPr>
                      <w:rFonts w:ascii="仿宋_GB2312" w:hAnsi="仿宋_GB2312" w:cs="仿宋_GB2312" w:eastAsia="仿宋_GB2312"/>
                      <w:sz w:val="24"/>
                    </w:rPr>
                    <w:t>5mm乳白亚克力面板UV打印或丝网印刷凸起外装内发光工艺；小号文字采用丝网印刷或UV打印，基础预埋地笼c30混凝土浇筑。</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留坝厅老街简介</w:t>
                  </w:r>
                  <w:r>
                    <w:rPr>
                      <w:rFonts w:ascii="仿宋_GB2312" w:hAnsi="仿宋_GB2312" w:cs="仿宋_GB2312" w:eastAsia="仿宋_GB2312"/>
                      <w:sz w:val="24"/>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210*60*10cm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5mm乳白亚克力面板UV打印或丝网印刷内发光；大字镂空雕刻内发光，小字丝网印刷或UV打印，基础预埋地笼c30混凝土浇筑或基座锚栓固定。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留坝厅老街简介</w:t>
                  </w:r>
                  <w:r>
                    <w:rPr>
                      <w:rFonts w:ascii="仿宋_GB2312" w:hAnsi="仿宋_GB2312" w:cs="仿宋_GB2312" w:eastAsia="仿宋_GB2312"/>
                      <w:sz w:val="24"/>
                    </w:rPr>
                    <w:t>2</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230*60*10cm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5mm乳白亚克力面板UV打印或丝网印刷内发光；大字镂空雕刻内发光，小字丝网印刷或UV打印，基础预埋地笼c30混凝土浇筑或基座锚栓固定。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留坝厅老街导览图</w:t>
                  </w:r>
                  <w:r>
                    <w:rPr>
                      <w:rFonts w:ascii="仿宋_GB2312" w:hAnsi="仿宋_GB2312" w:cs="仿宋_GB2312" w:eastAsia="仿宋_GB2312"/>
                      <w:sz w:val="24"/>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213*114*10cm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5mm乳白亚克力面板UV打印或丝网印刷内发光；大字镂空雕刻内发光，小字丝网印刷或UV打印，基础预埋地笼c30混凝土浇筑或基座锚栓固定。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留坝厅老街导览图</w:t>
                  </w:r>
                  <w:r>
                    <w:rPr>
                      <w:rFonts w:ascii="仿宋_GB2312" w:hAnsi="仿宋_GB2312" w:cs="仿宋_GB2312" w:eastAsia="仿宋_GB2312"/>
                      <w:sz w:val="24"/>
                    </w:rPr>
                    <w:t>2</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230*150*10cm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5mm乳白亚克力面板UV打印或丝网印刷内发光；大字镂空雕刻内发光，小字丝网印刷或UV打印，基础预埋地笼c30混凝土浇筑或基座锚栓固定。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留坝厅老街导览图</w:t>
                  </w:r>
                  <w:r>
                    <w:rPr>
                      <w:rFonts w:ascii="仿宋_GB2312" w:hAnsi="仿宋_GB2312" w:cs="仿宋_GB2312" w:eastAsia="仿宋_GB2312"/>
                      <w:sz w:val="24"/>
                    </w:rPr>
                    <w:t>3</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230*134*10cm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标识牌主骨采用镀锌方钢焊接，面板采用镀锌钢板激光切割、钣金异形焊接、打磨、烤漆、文字采用</w:t>
                  </w:r>
                  <w:r>
                    <w:rPr>
                      <w:rFonts w:ascii="仿宋_GB2312" w:hAnsi="仿宋_GB2312" w:cs="仿宋_GB2312" w:eastAsia="仿宋_GB2312"/>
                      <w:sz w:val="24"/>
                    </w:rPr>
                    <w:t>5mm乳白亚克力面板UV打印或丝网印刷内发光；基础预埋地笼c30混凝土浇筑或基座锚栓固定。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老街互动详情介绍</w:t>
                  </w:r>
                  <w:r>
                    <w:rPr>
                      <w:rFonts w:ascii="仿宋_GB2312" w:hAnsi="仿宋_GB2312" w:cs="仿宋_GB2312" w:eastAsia="仿宋_GB2312"/>
                      <w:sz w:val="24"/>
                    </w:rPr>
                    <w:t>1</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230*60*10cm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5mm乳白亚克力面板UV打印或丝网印刷内发光；大字镂空雕刻内发光，小字丝网印刷或UV打印，基础预埋地笼c30混凝土浇筑或基座锚栓固定。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6</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老街互动详情介绍</w:t>
                  </w:r>
                  <w:r>
                    <w:rPr>
                      <w:rFonts w:ascii="仿宋_GB2312" w:hAnsi="仿宋_GB2312" w:cs="仿宋_GB2312" w:eastAsia="仿宋_GB2312"/>
                      <w:sz w:val="24"/>
                    </w:rPr>
                    <w:t>2</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213*60*10cm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5mm乳白亚克力面板UV打印或丝网印刷内发光；大字镂空雕刻内发光，小字丝网印刷或UV打印，基础预埋地笼c30混凝土浇筑。</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7</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老街互动详情介绍</w:t>
                  </w:r>
                  <w:r>
                    <w:rPr>
                      <w:rFonts w:ascii="仿宋_GB2312" w:hAnsi="仿宋_GB2312" w:cs="仿宋_GB2312" w:eastAsia="仿宋_GB2312"/>
                      <w:sz w:val="24"/>
                    </w:rPr>
                    <w:t>3</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230*56*10cm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标识牌主骨采用镀锌方钢焊接，面板采用镀锌钢板激光切割、立体造型，钣金异形焊接、打磨、烤漆，信息面板采用内嵌后期可更换工艺，图文信息采用</w:t>
                  </w:r>
                  <w:r>
                    <w:rPr>
                      <w:rFonts w:ascii="仿宋_GB2312" w:hAnsi="仿宋_GB2312" w:cs="仿宋_GB2312" w:eastAsia="仿宋_GB2312"/>
                      <w:sz w:val="24"/>
                    </w:rPr>
                    <w:t>5mm乳白亚克力面板UV打印或丝网印刷内发光；大字镂空雕刻内发光，小字丝网印刷或UV打印，基础预埋地笼c30混凝土浇筑或基座锚栓固定。</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r>
                    <w:rPr>
                      <w:rFonts w:ascii="仿宋_GB2312" w:hAnsi="仿宋_GB2312" w:cs="仿宋_GB2312" w:eastAsia="仿宋_GB2312"/>
                      <w:sz w:val="24"/>
                    </w:rPr>
                    <w:t>图文信息面板可低成本方便更换</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8</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留坝厅老街导览图（名称）</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240*24*24cm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标识牌主骨采用镀锌方钢焊接，面板采用镀锌钢板激光切割、钣金异形焊接、打磨、烤漆、主要信息或文字采用精工立体烤漆字或镂空雕刻内发光；基础预埋地笼c30混凝土浇筑。</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单面内容</w:t>
                  </w:r>
                </w:p>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街区导向牌</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240*60*12cm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标识牌主骨采用镀锌方钢焊接，面板采用镀锌钢板激光切割、钣金异形焊接、打磨、烤漆、文字采用</w:t>
                  </w:r>
                  <w:r>
                    <w:rPr>
                      <w:rFonts w:ascii="仿宋_GB2312" w:hAnsi="仿宋_GB2312" w:cs="仿宋_GB2312" w:eastAsia="仿宋_GB2312"/>
                      <w:sz w:val="24"/>
                    </w:rPr>
                    <w:t>5mm乳白亚克力面板UV打印或丝网印刷内发光；基础预埋地笼c30混凝土浇筑。</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双面内容</w:t>
                  </w:r>
                </w:p>
                <w:p>
                  <w:pPr>
                    <w:pStyle w:val="null3"/>
                    <w:jc w:val="center"/>
                  </w:pPr>
                  <w:r>
                    <w:rPr>
                      <w:rFonts w:ascii="仿宋_GB2312" w:hAnsi="仿宋_GB2312" w:cs="仿宋_GB2312" w:eastAsia="仿宋_GB2312"/>
                      <w:sz w:val="24"/>
                    </w:rPr>
                    <w:t>图文信息面板可低成本方便更换</w:t>
                  </w:r>
                </w:p>
              </w:tc>
            </w:tr>
            <w:tr>
              <w:tc>
                <w:tcPr>
                  <w:tcW w:type="dxa" w:w="4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c>
                <w:tcPr>
                  <w:tcW w:type="dxa" w:w="213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r>
                    <w:rPr>
                      <w:rFonts w:ascii="仿宋_GB2312" w:hAnsi="仿宋_GB2312" w:cs="仿宋_GB2312" w:eastAsia="仿宋_GB2312"/>
                      <w:sz w:val="24"/>
                    </w:rPr>
                    <w:t>所有标识牌的底座及基础预埋尺寸请结合现场而定，确保的原则是工艺合规、用材及基坑尺寸合理、结构安全、基础结实、地表恢复美观；</w:t>
                  </w:r>
                </w:p>
                <w:p>
                  <w:pPr>
                    <w:pStyle w:val="null3"/>
                    <w:numPr>
                      <w:ilvl w:val="0"/>
                      <w:numId w:val="2"/>
                    </w:numPr>
                  </w:pPr>
                  <w:r>
                    <w:rPr>
                      <w:rFonts w:ascii="仿宋_GB2312" w:hAnsi="仿宋_GB2312" w:cs="仿宋_GB2312" w:eastAsia="仿宋_GB2312"/>
                      <w:sz w:val="24"/>
                    </w:rPr>
                    <w:t>因本项目在主城区核心交通节点施工，要确保各项安全。基础预埋为半机械半人工形式作业，开挖时需要向相关部门报批获准后方可按规定施工，要确保地下管网的安全，如出现破坏及损失一切责任由施工方法承担。</w:t>
                  </w:r>
                </w:p>
              </w:tc>
            </w:tr>
          </w:tbl>
          <w:p>
            <w:pPr>
              <w:pStyle w:val="null3"/>
              <w:jc w:val="both"/>
            </w:pPr>
            <w:r>
              <w:rPr>
                <w:rFonts w:ascii="仿宋_GB2312" w:hAnsi="仿宋_GB2312" w:cs="仿宋_GB2312" w:eastAsia="仿宋_GB2312"/>
                <w:sz w:val="24"/>
              </w:rPr>
              <w:t>（二）核心参数要求</w:t>
            </w:r>
          </w:p>
          <w:p>
            <w:pPr>
              <w:pStyle w:val="null3"/>
              <w:ind w:firstLine="480"/>
              <w:jc w:val="both"/>
            </w:pPr>
            <w:r>
              <w:rPr>
                <w:rFonts w:ascii="仿宋_GB2312" w:hAnsi="仿宋_GB2312" w:cs="仿宋_GB2312" w:eastAsia="仿宋_GB2312"/>
                <w:sz w:val="24"/>
              </w:rPr>
              <w:t>材质：镀锌钢板</w:t>
            </w:r>
            <w:r>
              <w:rPr>
                <w:rFonts w:ascii="仿宋_GB2312" w:hAnsi="仿宋_GB2312" w:cs="仿宋_GB2312" w:eastAsia="仿宋_GB2312"/>
                <w:sz w:val="24"/>
              </w:rPr>
              <w:t>≥1.5mm厚度；方管圆管等型材均采用国标材料；不锈钢面板采用201型，厚度≥1.2mm ；亚克力板≥5mm；</w:t>
            </w:r>
          </w:p>
          <w:p>
            <w:pPr>
              <w:pStyle w:val="null3"/>
              <w:ind w:firstLine="480"/>
              <w:jc w:val="both"/>
            </w:pPr>
            <w:r>
              <w:rPr>
                <w:rFonts w:ascii="仿宋_GB2312" w:hAnsi="仿宋_GB2312" w:cs="仿宋_GB2312" w:eastAsia="仿宋_GB2312"/>
                <w:sz w:val="24"/>
              </w:rPr>
              <w:t>钣金加工：面板激光切割，焊接打磨；</w:t>
            </w:r>
          </w:p>
          <w:p>
            <w:pPr>
              <w:pStyle w:val="null3"/>
              <w:ind w:firstLine="480"/>
              <w:jc w:val="both"/>
            </w:pPr>
            <w:r>
              <w:rPr>
                <w:rFonts w:ascii="仿宋_GB2312" w:hAnsi="仿宋_GB2312" w:cs="仿宋_GB2312" w:eastAsia="仿宋_GB2312"/>
                <w:sz w:val="24"/>
              </w:rPr>
              <w:t>表面处理：钣金原子灰抹灰找平，三遍环氧底漆，氟碳金属烤漆，防紫外线面漆保护；</w:t>
            </w:r>
          </w:p>
          <w:p>
            <w:pPr>
              <w:pStyle w:val="null3"/>
              <w:ind w:firstLine="480"/>
              <w:jc w:val="both"/>
            </w:pPr>
            <w:r>
              <w:rPr>
                <w:rFonts w:ascii="仿宋_GB2312" w:hAnsi="仿宋_GB2312" w:cs="仿宋_GB2312" w:eastAsia="仿宋_GB2312"/>
                <w:sz w:val="24"/>
              </w:rPr>
              <w:t>图文工艺：</w:t>
            </w:r>
            <w:r>
              <w:rPr>
                <w:rFonts w:ascii="仿宋_GB2312" w:hAnsi="仿宋_GB2312" w:cs="仿宋_GB2312" w:eastAsia="仿宋_GB2312"/>
                <w:sz w:val="24"/>
              </w:rPr>
              <w:t>高清丝印或</w:t>
            </w:r>
            <w:r>
              <w:rPr>
                <w:rFonts w:ascii="仿宋_GB2312" w:hAnsi="仿宋_GB2312" w:cs="仿宋_GB2312" w:eastAsia="仿宋_GB2312"/>
                <w:sz w:val="24"/>
              </w:rPr>
              <w:t>UV平板打印</w:t>
            </w:r>
          </w:p>
          <w:p>
            <w:pPr>
              <w:pStyle w:val="null3"/>
              <w:jc w:val="both"/>
            </w:pPr>
            <w:r>
              <w:rPr>
                <w:rFonts w:ascii="仿宋_GB2312" w:hAnsi="仿宋_GB2312" w:cs="仿宋_GB2312" w:eastAsia="仿宋_GB2312"/>
                <w:sz w:val="24"/>
                <w:b/>
              </w:rPr>
              <w:t>二、合规性要求</w:t>
            </w:r>
          </w:p>
          <w:p>
            <w:pPr>
              <w:pStyle w:val="null3"/>
              <w:ind w:firstLine="480"/>
              <w:jc w:val="both"/>
            </w:pPr>
            <w:r>
              <w:rPr>
                <w:rFonts w:ascii="仿宋_GB2312" w:hAnsi="仿宋_GB2312" w:cs="仿宋_GB2312" w:eastAsia="仿宋_GB2312"/>
                <w:sz w:val="24"/>
              </w:rPr>
              <w:t>政策法规依据</w:t>
            </w:r>
          </w:p>
          <w:p>
            <w:pPr>
              <w:pStyle w:val="null3"/>
              <w:ind w:firstLine="480"/>
              <w:jc w:val="both"/>
            </w:pPr>
            <w:r>
              <w:rPr>
                <w:rFonts w:ascii="仿宋_GB2312" w:hAnsi="仿宋_GB2312" w:cs="仿宋_GB2312" w:eastAsia="仿宋_GB2312"/>
                <w:sz w:val="24"/>
              </w:rPr>
              <w:t>《中华人民共和国政府采购法》及</w:t>
            </w:r>
            <w:r>
              <w:rPr>
                <w:rFonts w:ascii="仿宋_GB2312" w:hAnsi="仿宋_GB2312" w:cs="仿宋_GB2312" w:eastAsia="仿宋_GB2312"/>
                <w:sz w:val="24"/>
              </w:rPr>
              <w:t>《</w:t>
            </w:r>
            <w:r>
              <w:rPr>
                <w:rFonts w:ascii="仿宋_GB2312" w:hAnsi="仿宋_GB2312" w:cs="仿宋_GB2312" w:eastAsia="仿宋_GB2312"/>
                <w:sz w:val="24"/>
              </w:rPr>
              <w:t>政府采购法</w:t>
            </w:r>
            <w:r>
              <w:rPr>
                <w:rFonts w:ascii="仿宋_GB2312" w:hAnsi="仿宋_GB2312" w:cs="仿宋_GB2312" w:eastAsia="仿宋_GB2312"/>
                <w:sz w:val="24"/>
              </w:rPr>
              <w:t>实施条例》</w:t>
            </w:r>
            <w:r>
              <w:rPr>
                <w:rFonts w:ascii="仿宋_GB2312" w:hAnsi="仿宋_GB2312" w:cs="仿宋_GB2312" w:eastAsia="仿宋_GB2312"/>
                <w:sz w:val="24"/>
              </w:rPr>
              <w:t>、</w:t>
            </w:r>
            <w:r>
              <w:rPr>
                <w:rFonts w:ascii="仿宋_GB2312" w:hAnsi="仿宋_GB2312" w:cs="仿宋_GB2312" w:eastAsia="仿宋_GB2312"/>
                <w:sz w:val="24"/>
              </w:rPr>
              <w:t>《政府采购竞争性磋商采购方式管理暂行办法》；</w:t>
            </w:r>
          </w:p>
          <w:p>
            <w:pPr>
              <w:pStyle w:val="null3"/>
              <w:ind w:firstLine="480"/>
              <w:jc w:val="both"/>
            </w:pPr>
            <w:r>
              <w:rPr>
                <w:rFonts w:ascii="仿宋_GB2312" w:hAnsi="仿宋_GB2312" w:cs="仿宋_GB2312" w:eastAsia="仿宋_GB2312"/>
                <w:sz w:val="24"/>
              </w:rPr>
              <w:t>《城市旅游公共信息导向系统设置原则与要求》国家标准（</w:t>
            </w:r>
            <w:r>
              <w:rPr>
                <w:rFonts w:ascii="仿宋_GB2312" w:hAnsi="仿宋_GB2312" w:cs="仿宋_GB2312" w:eastAsia="仿宋_GB2312"/>
                <w:sz w:val="24"/>
              </w:rPr>
              <w:t>GB/T31382-2015）；</w:t>
            </w:r>
          </w:p>
          <w:p>
            <w:pPr>
              <w:pStyle w:val="null3"/>
              <w:ind w:firstLine="480"/>
              <w:jc w:val="both"/>
            </w:pPr>
            <w:r>
              <w:rPr>
                <w:rFonts w:ascii="仿宋_GB2312" w:hAnsi="仿宋_GB2312" w:cs="仿宋_GB2312" w:eastAsia="仿宋_GB2312"/>
                <w:sz w:val="24"/>
              </w:rPr>
              <w:t>《公共信息导向系统设置原则与要求》（</w:t>
            </w:r>
            <w:r>
              <w:rPr>
                <w:rFonts w:ascii="仿宋_GB2312" w:hAnsi="仿宋_GB2312" w:cs="仿宋_GB2312" w:eastAsia="仿宋_GB2312"/>
                <w:sz w:val="24"/>
              </w:rPr>
              <w:t>GB/T 15566.10；GB/T 15566.20）；</w:t>
            </w:r>
          </w:p>
          <w:p>
            <w:pPr>
              <w:pStyle w:val="null3"/>
              <w:ind w:firstLine="480"/>
              <w:jc w:val="both"/>
            </w:pPr>
            <w:r>
              <w:rPr>
                <w:rFonts w:ascii="仿宋_GB2312" w:hAnsi="仿宋_GB2312" w:cs="仿宋_GB2312" w:eastAsia="仿宋_GB2312"/>
                <w:sz w:val="24"/>
              </w:rPr>
              <w:t>《标志用公共信息图形符号》（</w:t>
            </w:r>
            <w:r>
              <w:rPr>
                <w:rFonts w:ascii="仿宋_GB2312" w:hAnsi="仿宋_GB2312" w:cs="仿宋_GB2312" w:eastAsia="仿宋_GB2312"/>
                <w:sz w:val="24"/>
              </w:rPr>
              <w:t>GB/T 10001）公共信息图形符号(所有部分)；</w:t>
            </w:r>
          </w:p>
          <w:p>
            <w:pPr>
              <w:pStyle w:val="null3"/>
              <w:jc w:val="both"/>
            </w:pPr>
            <w:r>
              <w:rPr>
                <w:rFonts w:ascii="仿宋_GB2312" w:hAnsi="仿宋_GB2312" w:cs="仿宋_GB2312" w:eastAsia="仿宋_GB2312"/>
                <w:sz w:val="24"/>
                <w:b/>
              </w:rPr>
              <w:t>三、服务要求</w:t>
            </w:r>
          </w:p>
          <w:p>
            <w:pPr>
              <w:pStyle w:val="null3"/>
              <w:ind w:firstLine="480"/>
              <w:jc w:val="both"/>
            </w:pPr>
            <w:r>
              <w:rPr>
                <w:rFonts w:ascii="仿宋_GB2312" w:hAnsi="仿宋_GB2312" w:cs="仿宋_GB2312" w:eastAsia="仿宋_GB2312"/>
                <w:sz w:val="24"/>
              </w:rPr>
              <w:t>服务期：</w:t>
            </w:r>
            <w:r>
              <w:rPr>
                <w:rFonts w:ascii="仿宋_GB2312" w:hAnsi="仿宋_GB2312" w:cs="仿宋_GB2312" w:eastAsia="仿宋_GB2312"/>
                <w:sz w:val="24"/>
              </w:rPr>
              <w:t>自合同签订之日起</w:t>
            </w:r>
            <w:r>
              <w:rPr>
                <w:rFonts w:ascii="仿宋_GB2312" w:hAnsi="仿宋_GB2312" w:cs="仿宋_GB2312" w:eastAsia="仿宋_GB2312"/>
                <w:sz w:val="24"/>
              </w:rPr>
              <w:t>45日历天内完成布点、设计、外文翻译、制作、安装、调试及交付</w:t>
            </w:r>
          </w:p>
          <w:p>
            <w:pPr>
              <w:pStyle w:val="null3"/>
              <w:ind w:firstLine="480"/>
              <w:jc w:val="both"/>
            </w:pPr>
            <w:r>
              <w:rPr>
                <w:rFonts w:ascii="仿宋_GB2312" w:hAnsi="仿宋_GB2312" w:cs="仿宋_GB2312" w:eastAsia="仿宋_GB2312"/>
                <w:sz w:val="24"/>
              </w:rPr>
              <w:t>质保期：</w:t>
            </w:r>
            <w:r>
              <w:rPr>
                <w:rFonts w:ascii="仿宋_GB2312" w:hAnsi="仿宋_GB2312" w:cs="仿宋_GB2312" w:eastAsia="仿宋_GB2312"/>
                <w:sz w:val="24"/>
              </w:rPr>
              <w:t>1年（含结构安全与图文完整性）；</w:t>
            </w:r>
          </w:p>
          <w:p>
            <w:pPr>
              <w:pStyle w:val="null3"/>
              <w:ind w:firstLine="480"/>
              <w:jc w:val="both"/>
            </w:pPr>
            <w:r>
              <w:rPr>
                <w:rFonts w:ascii="仿宋_GB2312" w:hAnsi="仿宋_GB2312" w:cs="仿宋_GB2312" w:eastAsia="仿宋_GB2312"/>
                <w:sz w:val="24"/>
              </w:rPr>
              <w:t>应急响应：损坏后</w:t>
            </w:r>
            <w:r>
              <w:rPr>
                <w:rFonts w:ascii="仿宋_GB2312" w:hAnsi="仿宋_GB2312" w:cs="仿宋_GB2312" w:eastAsia="仿宋_GB2312"/>
                <w:sz w:val="24"/>
              </w:rPr>
              <w:t>24小时内到场维修；</w:t>
            </w:r>
          </w:p>
          <w:p>
            <w:pPr>
              <w:pStyle w:val="null3"/>
              <w:ind w:firstLine="480"/>
              <w:jc w:val="both"/>
            </w:pPr>
            <w:r>
              <w:rPr>
                <w:rFonts w:ascii="仿宋_GB2312" w:hAnsi="仿宋_GB2312" w:cs="仿宋_GB2312" w:eastAsia="仿宋_GB2312"/>
                <w:sz w:val="24"/>
              </w:rPr>
              <w:t>文档交付：维护指南、材质安全证书；</w:t>
            </w:r>
          </w:p>
          <w:p>
            <w:pPr>
              <w:pStyle w:val="null3"/>
              <w:ind w:firstLine="480"/>
              <w:jc w:val="both"/>
            </w:pPr>
            <w:r>
              <w:rPr>
                <w:rFonts w:ascii="仿宋_GB2312" w:hAnsi="仿宋_GB2312" w:cs="仿宋_GB2312" w:eastAsia="仿宋_GB2312"/>
                <w:sz w:val="24"/>
              </w:rPr>
              <w:t>最终数量以甲方确认的实际工程量结算。</w:t>
            </w:r>
          </w:p>
          <w:p>
            <w:pPr>
              <w:pStyle w:val="null3"/>
              <w:ind w:firstLine="480"/>
              <w:jc w:val="both"/>
            </w:pPr>
            <w:r>
              <w:rPr>
                <w:rFonts w:ascii="仿宋_GB2312" w:hAnsi="仿宋_GB2312" w:cs="仿宋_GB2312" w:eastAsia="仿宋_GB2312"/>
                <w:sz w:val="24"/>
              </w:rPr>
              <w:t>安装要求：在县城主要街区路口施工，需要人工或半机械开挖，围挡文明施工，注意地下管网、架空电线、盲道行人等，施工完毕后路面需要复原。</w:t>
            </w:r>
          </w:p>
          <w:p>
            <w:pPr>
              <w:pStyle w:val="null3"/>
              <w:ind w:firstLine="480"/>
              <w:jc w:val="both"/>
            </w:pPr>
            <w:r>
              <w:rPr>
                <w:rFonts w:ascii="仿宋_GB2312" w:hAnsi="仿宋_GB2312" w:cs="仿宋_GB2312" w:eastAsia="仿宋_GB2312"/>
                <w:sz w:val="24"/>
              </w:rPr>
              <w:t>采购人不组织踏勘现场，供应商自行踏勘。踏勘地点详见下图。</w:t>
            </w:r>
          </w:p>
          <w:p>
            <w:pPr>
              <w:pStyle w:val="null3"/>
              <w:ind w:right="-510" w:firstLine="480"/>
              <w:jc w:val="both"/>
            </w:pPr>
            <w:r>
              <w:rPr>
                <w:rFonts w:ascii="仿宋_GB2312" w:hAnsi="仿宋_GB2312" w:cs="仿宋_GB2312" w:eastAsia="仿宋_GB2312"/>
                <w:sz w:val="24"/>
              </w:rPr>
              <w:t>采购人联系方式</w:t>
            </w:r>
            <w:r>
              <w:rPr>
                <w:rFonts w:ascii="仿宋_GB2312" w:hAnsi="仿宋_GB2312" w:cs="仿宋_GB2312" w:eastAsia="仿宋_GB2312"/>
                <w:sz w:val="24"/>
              </w:rPr>
              <w:t>:范靖坤 15829981364</w:t>
            </w:r>
          </w:p>
          <w:p>
            <w:pPr>
              <w:pStyle w:val="null3"/>
              <w:ind w:firstLine="480"/>
              <w:jc w:val="both"/>
            </w:pPr>
            <w:r>
              <w:drawing>
                <wp:inline distT="0" distR="0" distB="0" distL="0">
                  <wp:extent cx="1621155" cy="229289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621155" cy="2292893"/>
                          </a:xfrm>
                          <a:prstGeom prst="rect">
                            <a:avLst/>
                          </a:prstGeom>
                        </pic:spPr>
                      </pic:pic>
                    </a:graphicData>
                  </a:graphic>
                </wp:inline>
              </w:drawing>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自合同签订之日起45日历天内完成布点、设计、外文翻译、制作、安装、调试及交付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留坝县城区域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达到采购人采购需求及相关验收标准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进度款，全部安装完成，初验合格，收到供应商开具的发票后，达到付款条件起7个工作日内，支付合同总金额的40.0%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进度款，验收合格，审计后出具审计报告，收到供应商开具的发票后，达到付款条件起7个工作日内，支付合同总金额的30.0%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未按合同约定提供服务、货物或服务、货物质量不达标的，采购方有权要求限期整改;整改后仍不达标的，有权扣除相应款项或解除合同。2.因供应商原因造成安全事故或服务对象权益受损的，供应商应承担相应法律责任并赔偿损失。3.采购方未按合同约定支付款项的，应按相关规定承担违约责任。解决争议的方法:合同履行过程中发生争议的，双方应协商解决;协商不成的，可向留坝县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一份、电子版一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)；（投标人应按照汉中市财政局《关于全面推行政府采购供应商基本资格条件承诺制的通知》（汉财办采管〔2024〕20号）文件要求，须提供《汉中市政府采购供应商资格承诺函》）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中小企业声明函、监狱企业的证明文件、残疾人福利性单位声明函</w:t>
            </w:r>
          </w:p>
        </w:tc>
        <w:tc>
          <w:tcPr>
            <w:tcW w:type="dxa" w:w="3322"/>
          </w:tcPr>
          <w:p>
            <w:pPr>
              <w:pStyle w:val="null3"/>
            </w:pPr>
            <w:r>
              <w:rPr>
                <w:rFonts w:ascii="仿宋_GB2312" w:hAnsi="仿宋_GB2312" w:cs="仿宋_GB2312" w:eastAsia="仿宋_GB2312"/>
              </w:rPr>
              <w:t>本项目专门面向小微企业采购，供应商为小型、微型企业的提供《中小企业声明函》，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报价唯一，且报价不超过最高限价。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供应商自2023年1月1日至今（以合同签订时间为准），承担过类似标识标牌系统设计制作安装一体化项目。每提供一个得2.5分；本项最高得5分。须提供合同证明复印件并加盖公章。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供应商提供针对本项目拟投入人员，覆盖深化设计、加工制作、组装、现场安装、物流配送等各实施阶段，明确各岗位工作职责划分。 拟投入人员10人及以上，人员情况表完整，岗位职责划分清晰，覆盖各实施阶段得10分 ；拟投入人员7-9人，人员情况表基本完整，岗位职责划分清晰，覆盖各实施阶段得7分；拟投入人员6人及以下，提供人员情况表，岗位职责划分清晰得3分；未提供人员情况表或未明确岗位职责划分得0分。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人员情况表.docx</w:t>
            </w:r>
          </w:p>
        </w:tc>
      </w:tr>
      <w:tr>
        <w:tc>
          <w:tcPr>
            <w:tcW w:type="dxa" w:w="831"/>
            <w:vMerge/>
          </w:tcPr>
          <w:p/>
        </w:tc>
        <w:tc>
          <w:tcPr>
            <w:tcW w:type="dxa" w:w="1661"/>
          </w:tcPr>
          <w:p>
            <w:pPr>
              <w:pStyle w:val="null3"/>
            </w:pPr>
            <w:r>
              <w:rPr>
                <w:rFonts w:ascii="仿宋_GB2312" w:hAnsi="仿宋_GB2312" w:cs="仿宋_GB2312" w:eastAsia="仿宋_GB2312"/>
              </w:rPr>
              <w:t>质量管控及检测佐证资料</w:t>
            </w:r>
          </w:p>
        </w:tc>
        <w:tc>
          <w:tcPr>
            <w:tcW w:type="dxa" w:w="2492"/>
          </w:tcPr>
          <w:p>
            <w:pPr>
              <w:pStyle w:val="null3"/>
            </w:pPr>
            <w:r>
              <w:rPr>
                <w:rFonts w:ascii="仿宋_GB2312" w:hAnsi="仿宋_GB2312" w:cs="仿宋_GB2312" w:eastAsia="仿宋_GB2312"/>
              </w:rPr>
              <w:t>供应商应明确板材、光源、线缆、密封胶等主要原材料进场复验、加工过程巡检、成品出厂检测的质量管控标准及成品检验要求。 投标文件中提供佐证材料复印件，质量管控标准完整，同时提供不少于3类主要原材料或成品出厂检测报告得6分；未提供相关证明材料得0分。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城区运输与物流</w:t>
            </w:r>
          </w:p>
        </w:tc>
        <w:tc>
          <w:tcPr>
            <w:tcW w:type="dxa" w:w="2492"/>
          </w:tcPr>
          <w:p>
            <w:pPr>
              <w:pStyle w:val="null3"/>
            </w:pPr>
            <w:r>
              <w:rPr>
                <w:rFonts w:ascii="仿宋_GB2312" w:hAnsi="仿宋_GB2312" w:cs="仿宋_GB2312" w:eastAsia="仿宋_GB2312"/>
              </w:rPr>
              <w:t>因城区部分道路货车限行、停车卸货困难，提供定制化运输。明确分批配送计划、小型转运车辆配置、错峰（夜间）卸货安排、成品防剐蹭保护措施。上述四项内容全部齐全得5分；缺失任意1-2项内容得1分；缺失3项及以上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应急管理（城区特殊性）</w:t>
            </w:r>
          </w:p>
        </w:tc>
        <w:tc>
          <w:tcPr>
            <w:tcW w:type="dxa" w:w="2492"/>
          </w:tcPr>
          <w:p>
            <w:pPr>
              <w:pStyle w:val="null3"/>
            </w:pPr>
            <w:r>
              <w:rPr>
                <w:rFonts w:ascii="仿宋_GB2312" w:hAnsi="仿宋_GB2312" w:cs="仿宋_GB2312" w:eastAsia="仿宋_GB2312"/>
              </w:rPr>
              <w:t>针对城区施工特点制定：①施工导致市政设施或管线损坏的应急处置；②市民投诉与公众反映快速响应机制（噪音、扬尘、占道扰民）；③恶劣天气下城区在建设施临时加固及成品保护。上述三项内容全部齐全得4分；缺失任意1-2项内容得1分；缺失3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视线与动线分析、布点方案</w:t>
            </w:r>
          </w:p>
        </w:tc>
        <w:tc>
          <w:tcPr>
            <w:tcW w:type="dxa" w:w="2492"/>
          </w:tcPr>
          <w:p>
            <w:pPr>
              <w:pStyle w:val="null3"/>
            </w:pPr>
            <w:r>
              <w:rPr>
                <w:rFonts w:ascii="仿宋_GB2312" w:hAnsi="仿宋_GB2312" w:cs="仿宋_GB2312" w:eastAsia="仿宋_GB2312"/>
              </w:rPr>
              <w:t>1、供应商须结合现场实际或街景地图，对县城主要街道节点、景观街区、公共设施进行人/车行视线动线分析，明确标识设置的最佳可视距离、高度、朝向及间距。分析专业、逻辑清晰、覆盖关键节点得2.2-4.0分；分析基本合理得1.0-2.1分；简单堆砌或无分析得0分。 2、根据居民/游客活动主要节点、核心景点周边进出入口及公共服务设施分布，提出完整布点总图。布点疏密得当、与现状杆体/设施避让合理、不影响盲道及行人通行，且标注布点依据。方案科学完整得3.6-6.0分；基本可行得1.0-3.5分；布局混乱或缺乏依据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功能与导视逻辑</w:t>
            </w:r>
          </w:p>
        </w:tc>
        <w:tc>
          <w:tcPr>
            <w:tcW w:type="dxa" w:w="2492"/>
          </w:tcPr>
          <w:p>
            <w:pPr>
              <w:pStyle w:val="null3"/>
            </w:pPr>
            <w:r>
              <w:rPr>
                <w:rFonts w:ascii="仿宋_GB2312" w:hAnsi="仿宋_GB2312" w:cs="仿宋_GB2312" w:eastAsia="仿宋_GB2312"/>
              </w:rPr>
              <w:t>标识分级清晰（平面示意图、位置标志、导向标志、说明类标志），版面信息层级分明、图形符号符合国标，中英文对照规范。核心景点周边进出入口的导向与介绍内容设置合理，满足游客即看即走的需求。标识分级划分明确、功能完善、逻辑清晰得1.6-4.0分；标识分级划分基本满足要求，存在少量细节不足得1.0-1.5分；标识分级混乱，关键信息缺失不满足要求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城市风貌融合设计</w:t>
            </w:r>
          </w:p>
        </w:tc>
        <w:tc>
          <w:tcPr>
            <w:tcW w:type="dxa" w:w="2492"/>
          </w:tcPr>
          <w:p>
            <w:pPr>
              <w:pStyle w:val="null3"/>
            </w:pPr>
            <w:r>
              <w:rPr>
                <w:rFonts w:ascii="仿宋_GB2312" w:hAnsi="仿宋_GB2312" w:cs="仿宋_GB2312" w:eastAsia="仿宋_GB2312"/>
              </w:rPr>
              <w:t>标识造型、色彩与县城城市IP形象及周边建筑风貌高度融合，做到“品牌统一、形象鲜明”。效果图须有昼夜效果（内发光呈现）。融合度高、辨识度强得5.6-10.0分；体现部分本地文化元素、与周边环境基本协调1.0-5.5分；缺少本地文化融合设计、突兀不协调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图文信息可更换设计</w:t>
            </w:r>
          </w:p>
        </w:tc>
        <w:tc>
          <w:tcPr>
            <w:tcW w:type="dxa" w:w="2492"/>
          </w:tcPr>
          <w:p>
            <w:pPr>
              <w:pStyle w:val="null3"/>
            </w:pPr>
            <w:r>
              <w:rPr>
                <w:rFonts w:ascii="仿宋_GB2312" w:hAnsi="仿宋_GB2312" w:cs="仿宋_GB2312" w:eastAsia="仿宋_GB2312"/>
              </w:rPr>
              <w:t>针对本项目标识夜间需要内发光和地图导览信息可更换的特点，提供具体结构设计方案。明确更换方式（如开启式面板、磁吸式、滑槽式等）、密封防水措施及操作便捷性。设计合理、维护便利得1.6-3.0分；方案可行但细节不足得1.0-1.5分；未考虑可更换性或无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户外耐候与易清洁工艺</w:t>
            </w:r>
          </w:p>
        </w:tc>
        <w:tc>
          <w:tcPr>
            <w:tcW w:type="dxa" w:w="2492"/>
          </w:tcPr>
          <w:p>
            <w:pPr>
              <w:pStyle w:val="null3"/>
            </w:pPr>
            <w:r>
              <w:rPr>
                <w:rFonts w:ascii="仿宋_GB2312" w:hAnsi="仿宋_GB2312" w:cs="仿宋_GB2312" w:eastAsia="仿宋_GB2312"/>
              </w:rPr>
              <w:t>针对城区高人流、多扬尘、酸雨腐蚀及户外昼夜温差环境，提供详细工艺方案。重点考察：①金属基材防锈防腐处理；②内发光系统（光源品牌、色温均匀度、防水散热、检修口设置）。工艺方案成熟、工艺标准全部量化得1.6-3.0分；工艺方案基础，无亮化指标，内容基本满足要求得1.0-1.5分；未提供工艺方案或不满足要求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现场安装实施方案</w:t>
            </w:r>
          </w:p>
        </w:tc>
        <w:tc>
          <w:tcPr>
            <w:tcW w:type="dxa" w:w="2492"/>
          </w:tcPr>
          <w:p>
            <w:pPr>
              <w:pStyle w:val="null3"/>
            </w:pPr>
            <w:r>
              <w:rPr>
                <w:rFonts w:ascii="仿宋_GB2312" w:hAnsi="仿宋_GB2312" w:cs="仿宋_GB2312" w:eastAsia="仿宋_GB2312"/>
              </w:rPr>
              <w:t>必须包含：①市政施工手续报备协调预案（占道挖掘、绿化迁移报批）；②地下管线探测与保护措施（严禁野蛮开挖，明确探测手段）；③基础浇筑与隐蔽工程验收（商混标号、地笼定位、接地电阻）；④安装期间交通疏导及行人安全围挡（避开早晚高峰）；⑤施工后市政铺装（盲道、地砖）恢复方案；⑥标识牌夜间发光通电调试方案。方案齐全、流程合规、措施详尽得5.6-10.0分；较完整但内容针对性不足得1.0-5.5分；缺项严重无针对性或无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磋商报价得分=(磋商基准价／最后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详见附件：人员情况表.docx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