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outlineLvl w:val="1"/>
        <w:rPr>
          <w:rFonts w:hint="eastAsia" w:ascii="宋体" w:hAnsi="宋体" w:eastAsia="宋体" w:cs="宋体"/>
          <w:b/>
          <w:sz w:val="36"/>
          <w:highlight w:val="none"/>
        </w:rPr>
      </w:pPr>
      <w:r>
        <w:rPr>
          <w:rFonts w:hint="eastAsia" w:ascii="宋体" w:hAnsi="宋体" w:eastAsia="宋体" w:cs="宋体"/>
          <w:b/>
          <w:sz w:val="36"/>
          <w:highlight w:val="none"/>
        </w:rPr>
        <w:t xml:space="preserve"> 拟签订采购合同文本</w:t>
      </w:r>
    </w:p>
    <w:p>
      <w:pPr>
        <w:pStyle w:val="5"/>
        <w:numPr>
          <w:ilvl w:val="0"/>
          <w:numId w:val="0"/>
        </w:numPr>
        <w:ind w:right="1470" w:rightChars="700"/>
        <w:rPr>
          <w:rFonts w:hint="eastAsia" w:ascii="宋体" w:hAnsi="宋体" w:eastAsia="宋体" w:cs="宋体"/>
          <w:highlight w:val="none"/>
        </w:rPr>
      </w:pPr>
    </w:p>
    <w:p>
      <w:pPr>
        <w:pStyle w:val="13"/>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 注：本合同作为合同的基本格式，采购人有权在签订合同时对合同的相关条款及内容作进一步的细化和修改，但不得改变招标文件及投标文件、中标通知书规定的实质性内容）</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采购人（以下称“甲方”）：</w:t>
      </w:r>
      <w:r>
        <w:rPr>
          <w:rFonts w:hint="eastAsia" w:ascii="仿宋" w:hAnsi="仿宋" w:eastAsia="仿宋" w:cs="仿宋"/>
          <w:sz w:val="28"/>
          <w:szCs w:val="28"/>
          <w:highlight w:val="none"/>
          <w:u w:val="single"/>
        </w:rPr>
        <w:t xml:space="preserve"> 陕西省西安市中级人民法院 </w:t>
      </w:r>
      <w:r>
        <w:rPr>
          <w:rFonts w:hint="eastAsia" w:ascii="仿宋" w:hAnsi="仿宋" w:eastAsia="仿宋" w:cs="仿宋"/>
          <w:sz w:val="28"/>
          <w:szCs w:val="28"/>
          <w:highlight w:val="non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西安市未央区二环北路东段139号</w:t>
      </w:r>
      <w:r>
        <w:rPr>
          <w:rFonts w:hint="eastAsia" w:ascii="仿宋" w:hAnsi="仿宋" w:eastAsia="仿宋" w:cs="仿宋"/>
          <w:sz w:val="28"/>
          <w:szCs w:val="28"/>
          <w:highlight w:val="non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供应商（以下称“乙方”）：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地址：</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联系方式：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pStyle w:val="13"/>
        <w:spacing w:line="360" w:lineRule="auto"/>
        <w:ind w:firstLine="546" w:firstLineChars="195"/>
        <w:rPr>
          <w:rFonts w:hint="eastAsia" w:ascii="仿宋" w:hAnsi="仿宋" w:eastAsia="仿宋" w:cs="仿宋"/>
          <w:sz w:val="28"/>
          <w:szCs w:val="28"/>
          <w:highlight w:val="none"/>
        </w:rPr>
      </w:pPr>
      <w:r>
        <w:rPr>
          <w:rFonts w:hint="eastAsia" w:ascii="仿宋" w:hAnsi="仿宋" w:eastAsia="仿宋" w:cs="仿宋"/>
          <w:sz w:val="28"/>
          <w:szCs w:val="28"/>
          <w:highlight w:val="none"/>
        </w:rPr>
        <w:t>根据《中华人民共和国政府采购法》及实施条例 《中华人民共和国民法典》和甲方采购项目</w:t>
      </w:r>
      <w:r>
        <w:rPr>
          <w:rFonts w:hint="eastAsia" w:ascii="仿宋" w:hAnsi="仿宋" w:eastAsia="仿宋" w:cs="仿宋"/>
          <w:sz w:val="28"/>
          <w:szCs w:val="28"/>
          <w:highlight w:val="none"/>
          <w:u w:val="single"/>
          <w:lang w:val="en-US" w:eastAsia="zh-CN"/>
        </w:rPr>
        <w:t xml:space="preserve">采购包号：     </w:t>
      </w:r>
      <w:r>
        <w:rPr>
          <w:rFonts w:hint="eastAsia" w:ascii="仿宋" w:hAnsi="仿宋" w:eastAsia="仿宋" w:cs="仿宋"/>
          <w:sz w:val="28"/>
          <w:szCs w:val="28"/>
          <w:highlight w:val="none"/>
          <w:u w:val="single"/>
        </w:rPr>
        <w:t>（采购项目编号：TZZB-Z-2026198C）</w:t>
      </w:r>
      <w:r>
        <w:rPr>
          <w:rFonts w:hint="eastAsia" w:ascii="仿宋" w:hAnsi="仿宋" w:eastAsia="仿宋" w:cs="仿宋"/>
          <w:sz w:val="28"/>
          <w:szCs w:val="28"/>
          <w:highlight w:val="none"/>
        </w:rPr>
        <w:t>的招标文件、乙方递交的投标文件等有关规定，为确保甲方采购项目的顺利实施，甲、乙双方在平等自愿原则下签订本合同，并共同遵守如下条款：</w:t>
      </w:r>
    </w:p>
    <w:p>
      <w:pPr>
        <w:numPr>
          <w:ilvl w:val="0"/>
          <w:numId w:val="1"/>
        </w:numPr>
        <w:tabs>
          <w:tab w:val="left" w:pos="1379"/>
        </w:tabs>
        <w:spacing w:line="360" w:lineRule="auto"/>
        <w:ind w:firstLine="562" w:firstLineChars="200"/>
        <w:outlineLvl w:val="1"/>
        <w:rPr>
          <w:rFonts w:hint="eastAsia" w:ascii="仿宋" w:hAnsi="仿宋" w:eastAsia="仿宋" w:cs="仿宋"/>
          <w:b/>
          <w:sz w:val="28"/>
          <w:szCs w:val="28"/>
          <w:highlight w:val="none"/>
        </w:rPr>
      </w:pPr>
      <w:bookmarkStart w:id="0" w:name="_Toc6698"/>
      <w:bookmarkStart w:id="1" w:name="_Toc8233"/>
      <w:bookmarkStart w:id="2" w:name="_Toc6440"/>
      <w:bookmarkStart w:id="3" w:name="_Toc18746"/>
      <w:r>
        <w:rPr>
          <w:rFonts w:hint="eastAsia" w:ascii="仿宋" w:hAnsi="仿宋" w:eastAsia="仿宋" w:cs="仿宋"/>
          <w:b/>
          <w:sz w:val="28"/>
          <w:szCs w:val="28"/>
          <w:highlight w:val="none"/>
        </w:rPr>
        <w:t>合同采购内容</w:t>
      </w:r>
      <w:bookmarkEnd w:id="0"/>
      <w:bookmarkEnd w:id="1"/>
      <w:bookmarkEnd w:id="2"/>
      <w:bookmarkEnd w:id="3"/>
      <w:bookmarkStart w:id="111" w:name="_GoBack"/>
      <w:bookmarkEnd w:id="111"/>
    </w:p>
    <w:p>
      <w:pPr>
        <w:keepNext w:val="0"/>
        <w:keepLines w:val="0"/>
        <w:pageBreakBefore w:val="0"/>
        <w:widowControl w:val="0"/>
        <w:tabs>
          <w:tab w:val="left" w:pos="1379"/>
        </w:tabs>
        <w:kinsoku/>
        <w:wordWrap/>
        <w:overflowPunct/>
        <w:topLinePunct w:val="0"/>
        <w:autoSpaceDE/>
        <w:autoSpaceDN/>
        <w:bidi w:val="0"/>
        <w:adjustRightInd/>
        <w:snapToGrid/>
        <w:spacing w:line="360" w:lineRule="auto"/>
        <w:ind w:firstLine="560" w:firstLineChars="200"/>
        <w:textAlignment w:val="auto"/>
        <w:outlineLvl w:val="1"/>
        <w:rPr>
          <w:rFonts w:hint="eastAsia" w:ascii="仿宋" w:hAnsi="仿宋" w:eastAsia="仿宋" w:cs="仿宋"/>
          <w:sz w:val="28"/>
          <w:szCs w:val="28"/>
          <w:highlight w:val="none"/>
        </w:rPr>
      </w:pPr>
      <w:bookmarkStart w:id="4" w:name="_Toc4621"/>
      <w:bookmarkStart w:id="5" w:name="_Toc24758"/>
      <w:bookmarkStart w:id="6" w:name="_Toc22213"/>
      <w:bookmarkStart w:id="7" w:name="_Toc31818"/>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pPr>
        <w:tabs>
          <w:tab w:val="left" w:pos="1379"/>
        </w:tabs>
        <w:spacing w:line="360" w:lineRule="auto"/>
        <w:ind w:firstLine="562" w:firstLineChars="200"/>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第二条 合同价款</w:t>
      </w:r>
      <w:bookmarkEnd w:id="4"/>
      <w:bookmarkEnd w:id="5"/>
      <w:bookmarkEnd w:id="6"/>
      <w:bookmarkEnd w:id="7"/>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1.合同总价款为人民币</w:t>
      </w:r>
      <w:r>
        <w:rPr>
          <w:rFonts w:hint="eastAsia" w:ascii="仿宋" w:hAnsi="仿宋" w:eastAsia="仿宋" w:cs="仿宋"/>
          <w:sz w:val="28"/>
          <w:szCs w:val="28"/>
          <w:highlight w:val="none"/>
          <w:u w:val="single"/>
        </w:rPr>
        <w:t xml:space="preserve">（大写）：               ，￥              </w:t>
      </w:r>
    </w:p>
    <w:p>
      <w:pPr>
        <w:pStyle w:val="13"/>
        <w:spacing w:line="360" w:lineRule="auto"/>
        <w:ind w:firstLine="48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2.本项目合同总价款由以下组成：</w:t>
      </w:r>
      <w:r>
        <w:rPr>
          <w:rFonts w:hint="eastAsia" w:ascii="仿宋" w:hAnsi="仿宋" w:eastAsia="仿宋" w:cs="仿宋"/>
          <w:sz w:val="28"/>
          <w:szCs w:val="28"/>
          <w:highlight w:val="none"/>
          <w:u w:val="single"/>
        </w:rPr>
        <w:t xml:space="preserve">                    </w:t>
      </w:r>
    </w:p>
    <w:p>
      <w:pPr>
        <w:pStyle w:val="13"/>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3.甲方无须另向乙方支付本合同规定之外的其他任何费用</w:t>
      </w:r>
    </w:p>
    <w:p>
      <w:pPr>
        <w:pStyle w:val="13"/>
        <w:snapToGrid w:val="0"/>
        <w:spacing w:line="360" w:lineRule="auto"/>
        <w:ind w:firstLine="480"/>
        <w:rPr>
          <w:rFonts w:hint="eastAsia" w:ascii="仿宋" w:hAnsi="仿宋" w:eastAsia="仿宋" w:cs="仿宋"/>
          <w:sz w:val="28"/>
          <w:szCs w:val="28"/>
          <w:highlight w:val="none"/>
        </w:rPr>
      </w:pPr>
      <w:r>
        <w:rPr>
          <w:rFonts w:hint="eastAsia" w:ascii="仿宋" w:hAnsi="仿宋" w:eastAsia="仿宋" w:cs="仿宋"/>
          <w:sz w:val="28"/>
          <w:szCs w:val="28"/>
          <w:highlight w:val="none"/>
        </w:rPr>
        <w:t>4.履约保证金：/</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8" w:name="_Toc23966"/>
      <w:bookmarkStart w:id="9" w:name="_Toc242"/>
      <w:bookmarkStart w:id="10" w:name="_Toc4425"/>
      <w:bookmarkStart w:id="11" w:name="_Toc26962"/>
      <w:r>
        <w:rPr>
          <w:rFonts w:hint="eastAsia" w:ascii="仿宋" w:hAnsi="仿宋" w:eastAsia="仿宋" w:cs="仿宋"/>
          <w:b/>
          <w:sz w:val="28"/>
          <w:szCs w:val="28"/>
          <w:highlight w:val="none"/>
        </w:rPr>
        <w:t>第三条  付款方式、时间及条件</w:t>
      </w:r>
      <w:bookmarkEnd w:id="8"/>
      <w:bookmarkEnd w:id="9"/>
      <w:bookmarkEnd w:id="10"/>
      <w:bookmarkEnd w:id="11"/>
    </w:p>
    <w:p>
      <w:pPr>
        <w:widowControl w:val="0"/>
        <w:tabs>
          <w:tab w:val="left" w:pos="1379"/>
        </w:tabs>
        <w:snapToGrid w:val="0"/>
        <w:spacing w:line="360" w:lineRule="auto"/>
        <w:ind w:firstLine="560" w:firstLineChars="200"/>
        <w:rPr>
          <w:rStyle w:val="10"/>
          <w:rFonts w:hint="eastAsia" w:ascii="仿宋" w:hAnsi="仿宋" w:eastAsia="仿宋" w:cs="仿宋"/>
          <w:b w:val="0"/>
          <w:sz w:val="28"/>
          <w:szCs w:val="28"/>
          <w:highlight w:val="none"/>
          <w:u w:val="single"/>
        </w:rPr>
      </w:pPr>
      <w:bookmarkStart w:id="12" w:name="_Toc32672"/>
      <w:bookmarkStart w:id="13" w:name="_Toc15165"/>
      <w:bookmarkStart w:id="14" w:name="_Toc16037"/>
      <w:r>
        <w:rPr>
          <w:rStyle w:val="10"/>
          <w:rFonts w:hint="eastAsia" w:ascii="仿宋" w:hAnsi="仿宋" w:eastAsia="仿宋" w:cs="仿宋"/>
          <w:b w:val="0"/>
          <w:sz w:val="28"/>
          <w:szCs w:val="28"/>
          <w:highlight w:val="none"/>
          <w:u w:val="single"/>
        </w:rPr>
        <w:t xml:space="preserve">                         </w:t>
      </w:r>
    </w:p>
    <w:p>
      <w:pPr>
        <w:widowControl w:val="0"/>
        <w:tabs>
          <w:tab w:val="left" w:pos="1379"/>
        </w:tabs>
        <w:snapToGrid w:val="0"/>
        <w:spacing w:line="360" w:lineRule="auto"/>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第四条 服务期、地点、方式</w:t>
      </w:r>
      <w:bookmarkEnd w:id="12"/>
      <w:bookmarkEnd w:id="13"/>
      <w:bookmarkEnd w:id="14"/>
    </w:p>
    <w:p>
      <w:pPr>
        <w:widowControl w:val="0"/>
        <w:tabs>
          <w:tab w:val="left" w:pos="1379"/>
        </w:tabs>
        <w:snapToGrid w:val="0"/>
        <w:spacing w:line="360" w:lineRule="auto"/>
        <w:ind w:firstLine="560" w:firstLineChars="200"/>
        <w:rPr>
          <w:rFonts w:hint="eastAsia" w:ascii="仿宋" w:hAnsi="仿宋" w:eastAsia="仿宋" w:cs="仿宋"/>
          <w:sz w:val="28"/>
          <w:szCs w:val="28"/>
          <w:highlight w:val="none"/>
        </w:rPr>
      </w:pPr>
      <w:bookmarkStart w:id="15" w:name="_Toc232492928"/>
      <w:bookmarkStart w:id="16" w:name="_Toc212019594"/>
      <w:bookmarkStart w:id="17" w:name="_Toc286993786"/>
      <w:bookmarkStart w:id="18" w:name="_Toc247334841"/>
      <w:bookmarkStart w:id="19" w:name="_Toc239233914"/>
      <w:bookmarkStart w:id="20" w:name="_Toc237145406"/>
      <w:bookmarkStart w:id="21" w:name="_Toc211911348"/>
      <w:bookmarkStart w:id="22" w:name="_Toc225670751"/>
      <w:bookmarkStart w:id="23" w:name="_Toc225654644"/>
      <w:bookmarkStart w:id="24" w:name="_Toc225244852"/>
      <w:bookmarkStart w:id="25" w:name="_Toc185395249"/>
      <w:bookmarkStart w:id="26" w:name="_Toc283019214"/>
      <w:bookmarkStart w:id="27" w:name="_Toc238984975"/>
      <w:bookmarkStart w:id="28" w:name="_Toc239568418"/>
      <w:bookmarkStart w:id="29" w:name="_Toc282696226"/>
      <w:bookmarkStart w:id="30" w:name="_Toc211854449"/>
      <w:bookmarkStart w:id="31" w:name="_Toc241833903"/>
      <w:bookmarkStart w:id="32" w:name="_Toc251768862"/>
      <w:r>
        <w:rPr>
          <w:rFonts w:hint="eastAsia" w:ascii="仿宋" w:hAnsi="仿宋" w:eastAsia="仿宋" w:cs="仿宋"/>
          <w:sz w:val="28"/>
          <w:szCs w:val="28"/>
          <w:highlight w:val="none"/>
        </w:rPr>
        <w:t>1.服务期：</w:t>
      </w:r>
      <w:r>
        <w:rPr>
          <w:rStyle w:val="10"/>
          <w:rFonts w:hint="eastAsia" w:ascii="仿宋" w:hAnsi="仿宋" w:eastAsia="仿宋" w:cs="仿宋"/>
          <w:b w:val="0"/>
          <w:sz w:val="28"/>
          <w:szCs w:val="28"/>
          <w:highlight w:val="none"/>
          <w:u w:val="single"/>
        </w:rPr>
        <w:t xml:space="preserve">                         </w:t>
      </w:r>
      <w:r>
        <w:rPr>
          <w:rFonts w:hint="eastAsia" w:ascii="仿宋" w:hAnsi="仿宋" w:eastAsia="仿宋" w:cs="仿宋"/>
          <w:sz w:val="28"/>
          <w:szCs w:val="28"/>
          <w:highlight w:val="none"/>
        </w:rPr>
        <w:t xml:space="preserve">                         </w:t>
      </w:r>
    </w:p>
    <w:p>
      <w:pPr>
        <w:widowControl w:val="0"/>
        <w:tabs>
          <w:tab w:val="left" w:pos="1379"/>
        </w:tabs>
        <w:snapToGrid w:val="0"/>
        <w:spacing w:line="360" w:lineRule="auto"/>
        <w:ind w:firstLine="560" w:firstLineChars="20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rPr>
        <w:t>2.交付地点：</w:t>
      </w:r>
      <w:r>
        <w:rPr>
          <w:rStyle w:val="10"/>
          <w:rFonts w:hint="eastAsia" w:ascii="仿宋" w:hAnsi="仿宋" w:eastAsia="仿宋" w:cs="仿宋"/>
          <w:b w:val="0"/>
          <w:sz w:val="28"/>
          <w:szCs w:val="28"/>
          <w:highlight w:val="none"/>
          <w:u w:val="single"/>
        </w:rPr>
        <w:t xml:space="preserve">                         </w:t>
      </w:r>
    </w:p>
    <w:p>
      <w:pPr>
        <w:pStyle w:val="11"/>
        <w:widowControl w:val="0"/>
        <w:snapToGrid w:val="0"/>
        <w:spacing w:line="360" w:lineRule="auto"/>
        <w:ind w:firstLine="560"/>
        <w:rPr>
          <w:rFonts w:hint="eastAsia"/>
          <w:sz w:val="28"/>
          <w:szCs w:val="28"/>
          <w:highlight w:val="none"/>
          <w:u w:val="single"/>
          <w:lang w:val="en-US"/>
        </w:rPr>
      </w:pPr>
      <w:r>
        <w:rPr>
          <w:rFonts w:hint="eastAsia"/>
          <w:sz w:val="28"/>
          <w:szCs w:val="28"/>
          <w:highlight w:val="none"/>
          <w:lang w:val="en-US"/>
        </w:rPr>
        <w:t>3.交付条件：</w:t>
      </w:r>
      <w:r>
        <w:rPr>
          <w:rStyle w:val="10"/>
          <w:rFonts w:hint="eastAsia" w:ascii="仿宋" w:hAnsi="仿宋" w:eastAsia="仿宋" w:cs="仿宋"/>
          <w:b w:val="0"/>
          <w:sz w:val="28"/>
          <w:szCs w:val="28"/>
          <w:highlight w:val="none"/>
          <w:u w:val="single"/>
        </w:rPr>
        <w:t xml:space="preserve">                         </w:t>
      </w:r>
    </w:p>
    <w:p>
      <w:pPr>
        <w:pStyle w:val="11"/>
        <w:widowControl w:val="0"/>
        <w:snapToGrid w:val="0"/>
        <w:spacing w:line="360" w:lineRule="auto"/>
        <w:ind w:firstLine="560"/>
        <w:rPr>
          <w:rFonts w:hint="eastAsia"/>
          <w:sz w:val="28"/>
          <w:szCs w:val="28"/>
          <w:highlight w:val="none"/>
          <w:u w:val="single"/>
          <w:lang w:val="en-US"/>
        </w:rPr>
      </w:pPr>
      <w:r>
        <w:rPr>
          <w:rFonts w:hint="eastAsia"/>
          <w:sz w:val="28"/>
          <w:szCs w:val="28"/>
          <w:highlight w:val="none"/>
          <w:lang w:val="en-US"/>
        </w:rPr>
        <w:t>甲方联系人：</w:t>
      </w:r>
      <w:r>
        <w:rPr>
          <w:rFonts w:hint="eastAsia"/>
          <w:sz w:val="28"/>
          <w:szCs w:val="28"/>
          <w:highlight w:val="none"/>
          <w:u w:val="single"/>
          <w:lang w:val="en-US"/>
        </w:rPr>
        <w:t xml:space="preserve">      （姓名，联系方式）              </w:t>
      </w:r>
      <w:r>
        <w:rPr>
          <w:rFonts w:hint="eastAsia"/>
          <w:sz w:val="28"/>
          <w:szCs w:val="28"/>
          <w:highlight w:val="none"/>
          <w:lang w:val="en-US"/>
        </w:rPr>
        <w:t xml:space="preserve"> </w:t>
      </w:r>
    </w:p>
    <w:p>
      <w:pPr>
        <w:pStyle w:val="11"/>
        <w:widowControl w:val="0"/>
        <w:snapToGrid w:val="0"/>
        <w:spacing w:line="360" w:lineRule="auto"/>
        <w:ind w:firstLine="560"/>
        <w:rPr>
          <w:rFonts w:hint="eastAsia"/>
          <w:b/>
          <w:sz w:val="28"/>
          <w:szCs w:val="28"/>
          <w:highlight w:val="none"/>
        </w:rPr>
      </w:pPr>
      <w:r>
        <w:rPr>
          <w:rFonts w:hint="eastAsia"/>
          <w:sz w:val="28"/>
          <w:szCs w:val="28"/>
          <w:highlight w:val="none"/>
          <w:lang w:val="en-US"/>
        </w:rPr>
        <w:t>乙方联系人：</w:t>
      </w:r>
      <w:r>
        <w:rPr>
          <w:rFonts w:hint="eastAsia"/>
          <w:sz w:val="28"/>
          <w:szCs w:val="28"/>
          <w:highlight w:val="none"/>
          <w:u w:val="single"/>
          <w:lang w:val="en-US"/>
        </w:rPr>
        <w:t xml:space="preserve">      （姓名，联系方式）              </w:t>
      </w:r>
      <w:r>
        <w:rPr>
          <w:rFonts w:hint="eastAsia"/>
          <w:sz w:val="28"/>
          <w:szCs w:val="28"/>
          <w:highlight w:val="none"/>
          <w:lang w:val="en-US"/>
        </w:rPr>
        <w:t xml:space="preserve"> </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33" w:name="_Toc2585"/>
      <w:bookmarkStart w:id="34" w:name="_Toc28705"/>
      <w:bookmarkStart w:id="35" w:name="_Toc19538"/>
      <w:bookmarkStart w:id="36" w:name="_Toc32659"/>
      <w:r>
        <w:rPr>
          <w:rFonts w:hint="eastAsia" w:ascii="仿宋" w:hAnsi="仿宋" w:eastAsia="仿宋" w:cs="仿宋"/>
          <w:b/>
          <w:sz w:val="28"/>
          <w:szCs w:val="28"/>
          <w:highlight w:val="none"/>
        </w:rPr>
        <w:t>第五条 质量保证及售后服务</w:t>
      </w:r>
      <w:bookmarkEnd w:id="33"/>
      <w:bookmarkEnd w:id="34"/>
      <w:bookmarkEnd w:id="35"/>
      <w:bookmarkEnd w:id="36"/>
    </w:p>
    <w:p>
      <w:pPr>
        <w:pStyle w:val="13"/>
        <w:snapToGrid w:val="0"/>
        <w:spacing w:line="360" w:lineRule="auto"/>
        <w:ind w:firstLine="560" w:firstLineChars="200"/>
        <w:rPr>
          <w:rStyle w:val="10"/>
          <w:rFonts w:hint="eastAsia" w:ascii="仿宋" w:hAnsi="仿宋" w:eastAsia="仿宋" w:cs="仿宋"/>
          <w:b w:val="0"/>
          <w:sz w:val="28"/>
          <w:szCs w:val="28"/>
          <w:highlight w:val="none"/>
          <w:u w:val="single"/>
        </w:rPr>
      </w:pPr>
      <w:r>
        <w:rPr>
          <w:rFonts w:hint="eastAsia" w:ascii="仿宋" w:hAnsi="仿宋" w:eastAsia="仿宋" w:cs="仿宋"/>
          <w:sz w:val="28"/>
          <w:szCs w:val="28"/>
          <w:highlight w:val="none"/>
        </w:rPr>
        <w:t>质量保证</w:t>
      </w:r>
      <w:r>
        <w:rPr>
          <w:rFonts w:hint="eastAsia" w:ascii="仿宋" w:hAnsi="仿宋" w:eastAsia="仿宋" w:cs="仿宋"/>
          <w:sz w:val="28"/>
          <w:szCs w:val="28"/>
          <w:highlight w:val="none"/>
          <w:lang w:val="en-US" w:eastAsia="zh-CN"/>
        </w:rPr>
        <w:t>:</w:t>
      </w:r>
      <w:r>
        <w:rPr>
          <w:rStyle w:val="10"/>
          <w:rFonts w:hint="eastAsia" w:ascii="仿宋" w:hAnsi="仿宋" w:eastAsia="仿宋" w:cs="仿宋"/>
          <w:b w:val="0"/>
          <w:sz w:val="28"/>
          <w:szCs w:val="28"/>
          <w:highlight w:val="none"/>
          <w:u w:val="single"/>
        </w:rPr>
        <w:t xml:space="preserve">                         </w:t>
      </w:r>
    </w:p>
    <w:p>
      <w:pPr>
        <w:pStyle w:val="13"/>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售后服务</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w:t>
      </w:r>
    </w:p>
    <w:p>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r>
        <w:rPr>
          <w:rFonts w:hint="eastAsia" w:ascii="仿宋" w:hAnsi="仿宋" w:eastAsia="仿宋" w:cs="仿宋"/>
          <w:b/>
          <w:sz w:val="28"/>
          <w:szCs w:val="28"/>
          <w:highlight w:val="none"/>
        </w:rPr>
        <w:t xml:space="preserve"> </w:t>
      </w:r>
      <w:bookmarkStart w:id="37" w:name="_Toc4471"/>
      <w:bookmarkStart w:id="38" w:name="_Toc11338"/>
      <w:bookmarkStart w:id="39" w:name="_Toc29909"/>
      <w:bookmarkStart w:id="40" w:name="_Toc27776"/>
      <w:r>
        <w:rPr>
          <w:rFonts w:hint="eastAsia" w:ascii="仿宋" w:hAnsi="仿宋" w:eastAsia="仿宋" w:cs="仿宋"/>
          <w:b/>
          <w:sz w:val="28"/>
          <w:szCs w:val="28"/>
          <w:highlight w:val="none"/>
        </w:rPr>
        <w:t>验收</w:t>
      </w:r>
      <w:bookmarkEnd w:id="37"/>
      <w:bookmarkEnd w:id="38"/>
      <w:bookmarkEnd w:id="39"/>
      <w:bookmarkEnd w:id="40"/>
    </w:p>
    <w:p>
      <w:pPr>
        <w:pStyle w:val="13"/>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w:t>
      </w:r>
      <w:r>
        <w:rPr>
          <w:rStyle w:val="10"/>
          <w:rFonts w:hint="eastAsia" w:ascii="仿宋" w:hAnsi="仿宋" w:eastAsia="仿宋" w:cs="仿宋"/>
          <w:b w:val="0"/>
          <w:sz w:val="28"/>
          <w:szCs w:val="28"/>
          <w:highlight w:val="none"/>
          <w:u w:val="single"/>
        </w:rPr>
        <w:t xml:space="preserve">                         </w:t>
      </w:r>
    </w:p>
    <w:p>
      <w:pPr>
        <w:pStyle w:val="13"/>
        <w:snapToGrid w:val="0"/>
        <w:spacing w:line="360" w:lineRule="auto"/>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2.验收依据：合同、招标文件、投标文件、澄清 (如有)。</w:t>
      </w:r>
    </w:p>
    <w:p>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bookmarkStart w:id="41" w:name="_Toc19571"/>
      <w:bookmarkStart w:id="42" w:name="_Toc1943"/>
      <w:bookmarkStart w:id="43" w:name="_Toc24822"/>
      <w:r>
        <w:rPr>
          <w:rFonts w:hint="eastAsia" w:ascii="仿宋" w:hAnsi="仿宋" w:eastAsia="仿宋" w:cs="仿宋"/>
          <w:b/>
          <w:sz w:val="28"/>
          <w:szCs w:val="28"/>
          <w:highlight w:val="none"/>
        </w:rPr>
        <w:t xml:space="preserve"> </w:t>
      </w:r>
      <w:bookmarkStart w:id="44" w:name="_Toc15568"/>
      <w:r>
        <w:rPr>
          <w:rFonts w:hint="eastAsia" w:ascii="仿宋" w:hAnsi="仿宋" w:eastAsia="仿宋" w:cs="仿宋"/>
          <w:b/>
          <w:sz w:val="28"/>
          <w:szCs w:val="28"/>
          <w:highlight w:val="none"/>
        </w:rPr>
        <w:t>无产权瑕疵条款</w:t>
      </w:r>
      <w:bookmarkEnd w:id="41"/>
      <w:bookmarkEnd w:id="42"/>
      <w:bookmarkEnd w:id="43"/>
      <w:bookmarkEnd w:id="44"/>
    </w:p>
    <w:p>
      <w:pPr>
        <w:pStyle w:val="13"/>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乙方保证所提供的服务的所有权完全属于乙方且无任何抵押、查封等产权瑕疵。如有产权瑕疵的，视为乙方违约。乙方应负担由此而产生的一切损失。</w:t>
      </w:r>
    </w:p>
    <w:p>
      <w:pPr>
        <w:pStyle w:val="13"/>
        <w:numPr>
          <w:ilvl w:val="0"/>
          <w:numId w:val="2"/>
        </w:numPr>
        <w:snapToGrid w:val="0"/>
        <w:spacing w:line="360" w:lineRule="auto"/>
        <w:ind w:firstLine="562" w:firstLineChars="200"/>
        <w:outlineLvl w:val="1"/>
        <w:rPr>
          <w:rFonts w:hint="eastAsia" w:ascii="仿宋" w:hAnsi="仿宋" w:eastAsia="仿宋" w:cs="仿宋"/>
          <w:b/>
          <w:sz w:val="28"/>
          <w:szCs w:val="28"/>
          <w:highlight w:val="none"/>
        </w:rPr>
      </w:pPr>
      <w:bookmarkStart w:id="45" w:name="_Toc12634"/>
      <w:bookmarkStart w:id="46" w:name="_Toc9603"/>
      <w:bookmarkStart w:id="47" w:name="_Toc6497"/>
      <w:r>
        <w:rPr>
          <w:rFonts w:hint="eastAsia" w:ascii="仿宋" w:hAnsi="仿宋" w:eastAsia="仿宋" w:cs="仿宋"/>
          <w:b/>
          <w:sz w:val="28"/>
          <w:szCs w:val="28"/>
          <w:highlight w:val="none"/>
        </w:rPr>
        <w:t xml:space="preserve"> </w:t>
      </w:r>
      <w:bookmarkStart w:id="48" w:name="_Toc15372"/>
      <w:r>
        <w:rPr>
          <w:rFonts w:hint="eastAsia" w:ascii="仿宋" w:hAnsi="仿宋" w:eastAsia="仿宋" w:cs="仿宋"/>
          <w:b/>
          <w:sz w:val="28"/>
          <w:szCs w:val="28"/>
          <w:highlight w:val="none"/>
        </w:rPr>
        <w:t>甲方的权利和义务</w:t>
      </w:r>
      <w:bookmarkEnd w:id="45"/>
      <w:bookmarkEnd w:id="46"/>
      <w:bookmarkEnd w:id="47"/>
      <w:bookmarkEnd w:id="48"/>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2.甲方有权依据双方签订的考评办法对乙方提供的服务进行定期考评。当考评结果未达到标准时，有权依据考评办法约定的数额扣除履约保证金。</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3.负责检查监督乙方管理工作的实施及制度的执行情况。</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4.根据本合同规定，按时向乙方支付应付服务费用。</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5.国家法律法规所规定由甲方承担的其它责任。</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49" w:name="_Toc3456"/>
      <w:bookmarkStart w:id="50" w:name="_Toc7157"/>
      <w:bookmarkStart w:id="51" w:name="_Toc12376"/>
      <w:bookmarkStart w:id="52" w:name="_Toc10390"/>
      <w:r>
        <w:rPr>
          <w:rFonts w:hint="eastAsia" w:ascii="仿宋" w:hAnsi="仿宋" w:eastAsia="仿宋" w:cs="仿宋"/>
          <w:b/>
          <w:sz w:val="28"/>
          <w:szCs w:val="28"/>
          <w:highlight w:val="none"/>
        </w:rPr>
        <w:t>第九条  乙方的权利和义务</w:t>
      </w:r>
      <w:bookmarkEnd w:id="49"/>
      <w:bookmarkEnd w:id="50"/>
      <w:bookmarkEnd w:id="51"/>
      <w:bookmarkEnd w:id="52"/>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1.对本合同规定的委托服务范围内的项目享有管理权及服务义务。</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2.根据本合同的规定向甲方收取相关服务费用，并有权在本项目管理范围内管理及合理使用。</w:t>
      </w:r>
    </w:p>
    <w:p>
      <w:pPr>
        <w:snapToGrid w:val="0"/>
        <w:spacing w:line="360" w:lineRule="auto"/>
        <w:ind w:firstLine="560" w:firstLineChars="200"/>
        <w:textAlignment w:val="baseline"/>
        <w:rPr>
          <w:rFonts w:hint="eastAsia" w:ascii="仿宋" w:hAnsi="仿宋" w:eastAsia="仿宋" w:cs="仿宋"/>
          <w:sz w:val="28"/>
          <w:szCs w:val="28"/>
          <w:highlight w:val="none"/>
        </w:rPr>
      </w:pPr>
      <w:r>
        <w:rPr>
          <w:rFonts w:hint="eastAsia" w:ascii="仿宋" w:hAnsi="仿宋" w:eastAsia="仿宋" w:cs="仿宋"/>
          <w:sz w:val="28"/>
          <w:szCs w:val="28"/>
          <w:highlight w:val="none"/>
        </w:rPr>
        <w:t>3.及时向甲方通告本项目服务范围内有关服务的重大事项，及时配合处理投诉。</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sz w:val="28"/>
          <w:szCs w:val="28"/>
          <w:highlight w:val="none"/>
        </w:rPr>
        <w:t>4.</w:t>
      </w:r>
      <w:r>
        <w:rPr>
          <w:rFonts w:hint="eastAsia" w:ascii="仿宋" w:hAnsi="仿宋" w:eastAsia="仿宋" w:cs="仿宋"/>
          <w:bCs/>
          <w:sz w:val="28"/>
          <w:szCs w:val="28"/>
          <w:highlight w:val="none"/>
        </w:rPr>
        <w:t>接受项目行业管理部门及政府有关部门的指导，接受甲方的监督。</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5.国家法律法规所规定由乙方承担的其它责任。</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3" w:name="_Toc19456"/>
      <w:bookmarkStart w:id="54" w:name="_Toc28060"/>
      <w:bookmarkStart w:id="55" w:name="_Toc26868"/>
      <w:bookmarkStart w:id="56" w:name="_Toc29819"/>
      <w:r>
        <w:rPr>
          <w:rFonts w:hint="eastAsia" w:ascii="仿宋" w:hAnsi="仿宋" w:eastAsia="仿宋" w:cs="仿宋"/>
          <w:b/>
          <w:sz w:val="28"/>
          <w:szCs w:val="28"/>
          <w:highlight w:val="none"/>
        </w:rPr>
        <w:t>第十条  违约责任</w:t>
      </w:r>
      <w:bookmarkEnd w:id="53"/>
      <w:bookmarkEnd w:id="54"/>
      <w:bookmarkEnd w:id="55"/>
      <w:bookmarkEnd w:id="56"/>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1.甲乙双方必须遵守本合同并执行合同中的各项规定，保证本合同的正常履行。</w:t>
      </w:r>
    </w:p>
    <w:p>
      <w:pPr>
        <w:snapToGrid w:val="0"/>
        <w:spacing w:line="360" w:lineRule="auto"/>
        <w:ind w:firstLine="560" w:firstLineChars="200"/>
        <w:textAlignment w:val="baseline"/>
        <w:rPr>
          <w:rFonts w:hint="eastAsia" w:ascii="仿宋" w:hAnsi="仿宋" w:eastAsia="仿宋" w:cs="仿宋"/>
          <w:bCs/>
          <w:sz w:val="28"/>
          <w:szCs w:val="28"/>
          <w:highlight w:val="none"/>
        </w:rPr>
      </w:pPr>
      <w:r>
        <w:rPr>
          <w:rFonts w:hint="eastAsia" w:ascii="仿宋" w:hAnsi="仿宋" w:eastAsia="仿宋" w:cs="仿宋"/>
          <w:bCs/>
          <w:sz w:val="28"/>
          <w:szCs w:val="28"/>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甲方违约的，应当赔偿给乙方造成的经济损失。</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57" w:name="_Toc20912"/>
      <w:bookmarkStart w:id="58" w:name="_Toc13266"/>
      <w:bookmarkStart w:id="59" w:name="_Toc20006"/>
      <w:bookmarkStart w:id="60" w:name="_Toc18958"/>
      <w:r>
        <w:rPr>
          <w:rFonts w:hint="eastAsia" w:ascii="仿宋" w:hAnsi="仿宋" w:eastAsia="仿宋" w:cs="仿宋"/>
          <w:b/>
          <w:sz w:val="28"/>
          <w:szCs w:val="28"/>
          <w:highlight w:val="none"/>
        </w:rPr>
        <w:t>第十一条  不可抗力事件处理</w:t>
      </w:r>
      <w:bookmarkEnd w:id="57"/>
      <w:bookmarkEnd w:id="58"/>
      <w:bookmarkEnd w:id="59"/>
      <w:bookmarkEnd w:id="60"/>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1.在合同有效期内，任何一方因不可抗力事件导致不能履行合同，则合同履行期可延长，其延长期与不可抗力影响期相同。</w:t>
      </w:r>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2.不可抗力事件发生后，应立即通知对方，并寄送有关权威机构出具的证明。</w:t>
      </w:r>
    </w:p>
    <w:p>
      <w:pPr>
        <w:tabs>
          <w:tab w:val="left" w:pos="0"/>
        </w:tabs>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3.不可抗力事件延续30天以上，双方应通过友好协商，确定是否继续履行合同。</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61" w:name="_Toc30380"/>
      <w:bookmarkStart w:id="62" w:name="_Toc4055"/>
      <w:bookmarkStart w:id="63" w:name="_Toc13911"/>
      <w:bookmarkStart w:id="64" w:name="_Toc25202"/>
      <w:bookmarkStart w:id="65" w:name="_Toc286993792"/>
      <w:bookmarkStart w:id="66" w:name="_Toc237145411"/>
      <w:bookmarkStart w:id="67" w:name="_Toc247334846"/>
      <w:bookmarkStart w:id="68" w:name="_Toc185395254"/>
      <w:bookmarkStart w:id="69" w:name="_Toc225670756"/>
      <w:bookmarkStart w:id="70" w:name="_Toc241833908"/>
      <w:bookmarkStart w:id="71" w:name="_Toc211911353"/>
      <w:bookmarkStart w:id="72" w:name="_Toc225654649"/>
      <w:bookmarkStart w:id="73" w:name="_Toc211854454"/>
      <w:bookmarkStart w:id="74" w:name="_Toc238984980"/>
      <w:bookmarkStart w:id="75" w:name="_Toc239233919"/>
      <w:bookmarkStart w:id="76" w:name="_Toc225244857"/>
      <w:bookmarkStart w:id="77" w:name="_Toc232492933"/>
      <w:bookmarkStart w:id="78" w:name="_Toc239568423"/>
      <w:bookmarkStart w:id="79" w:name="_Toc251768867"/>
      <w:bookmarkStart w:id="80" w:name="_Toc212019599"/>
      <w:r>
        <w:rPr>
          <w:rFonts w:hint="eastAsia" w:ascii="仿宋" w:hAnsi="仿宋" w:eastAsia="仿宋" w:cs="仿宋"/>
          <w:b/>
          <w:sz w:val="28"/>
          <w:szCs w:val="28"/>
          <w:highlight w:val="none"/>
        </w:rPr>
        <w:t>第十二条  合同的变更和终止</w:t>
      </w:r>
      <w:bookmarkEnd w:id="61"/>
      <w:bookmarkEnd w:id="62"/>
      <w:bookmarkEnd w:id="63"/>
      <w:bookmarkEnd w:id="64"/>
    </w:p>
    <w:p>
      <w:pPr>
        <w:snapToGrid w:val="0"/>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除《中华人民共和国政府采购法》第49条、第50条第二款规定的情形外，本合同一经签订，甲乙双方不得擅自变更、中止或终止合同。</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81" w:name="_Toc30926"/>
      <w:bookmarkStart w:id="82" w:name="_Toc5821"/>
      <w:bookmarkStart w:id="83" w:name="_Toc8343"/>
      <w:bookmarkStart w:id="84" w:name="_Toc32542"/>
      <w:r>
        <w:rPr>
          <w:rFonts w:hint="eastAsia" w:ascii="仿宋" w:hAnsi="仿宋" w:eastAsia="仿宋" w:cs="仿宋"/>
          <w:b/>
          <w:sz w:val="28"/>
          <w:szCs w:val="28"/>
          <w:highlight w:val="none"/>
        </w:rPr>
        <w:t xml:space="preserve">第十三条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hint="eastAsia" w:ascii="仿宋" w:hAnsi="仿宋" w:eastAsia="仿宋" w:cs="仿宋"/>
          <w:b/>
          <w:sz w:val="28"/>
          <w:szCs w:val="28"/>
          <w:highlight w:val="none"/>
        </w:rPr>
        <w:t>争议解决条款</w:t>
      </w:r>
      <w:bookmarkEnd w:id="81"/>
      <w:bookmarkEnd w:id="82"/>
      <w:bookmarkEnd w:id="83"/>
      <w:bookmarkEnd w:id="84"/>
    </w:p>
    <w:p>
      <w:pPr>
        <w:snapToGrid w:val="0"/>
        <w:spacing w:line="360" w:lineRule="auto"/>
        <w:ind w:firstLine="560" w:firstLineChars="200"/>
        <w:rPr>
          <w:rFonts w:hint="eastAsia" w:ascii="仿宋" w:hAnsi="仿宋" w:eastAsia="仿宋" w:cs="仿宋"/>
          <w:sz w:val="28"/>
          <w:szCs w:val="28"/>
          <w:highlight w:val="none"/>
        </w:rPr>
      </w:pPr>
      <w:bookmarkStart w:id="85" w:name="_Toc241833909"/>
      <w:bookmarkStart w:id="86" w:name="_Toc185395255"/>
      <w:bookmarkStart w:id="87" w:name="_Toc238984981"/>
      <w:bookmarkStart w:id="88" w:name="_Toc237145412"/>
      <w:bookmarkStart w:id="89" w:name="_Toc239568424"/>
      <w:bookmarkStart w:id="90" w:name="_Toc282696231"/>
      <w:bookmarkStart w:id="91" w:name="_Toc225670757"/>
      <w:bookmarkStart w:id="92" w:name="_Toc239233920"/>
      <w:bookmarkStart w:id="93" w:name="_Toc225654650"/>
      <w:bookmarkStart w:id="94" w:name="_Toc212019600"/>
      <w:bookmarkStart w:id="95" w:name="_Toc225244858"/>
      <w:bookmarkStart w:id="96" w:name="_Toc283019219"/>
      <w:bookmarkStart w:id="97" w:name="_Toc247334847"/>
      <w:bookmarkStart w:id="98" w:name="_Toc286993793"/>
      <w:bookmarkStart w:id="99" w:name="_Toc211854455"/>
      <w:bookmarkStart w:id="100" w:name="_Toc232492934"/>
      <w:bookmarkStart w:id="101" w:name="_Toc251768868"/>
      <w:bookmarkStart w:id="102" w:name="_Toc211911354"/>
      <w:bookmarkStart w:id="103" w:name="_Toc24825"/>
      <w:bookmarkStart w:id="104" w:name="_Toc29426"/>
      <w:bookmarkStart w:id="105" w:name="_Toc233"/>
      <w:r>
        <w:rPr>
          <w:rFonts w:hint="eastAsia" w:ascii="仿宋" w:hAnsi="仿宋" w:eastAsia="仿宋" w:cs="仿宋"/>
          <w:sz w:val="28"/>
          <w:szCs w:val="28"/>
          <w:highlight w:val="none"/>
        </w:rPr>
        <w:t>因执行合同所发生的或与合同有关的一切争议,双方应通过友好协商解决。如果协商开始后六十（60）天还不能解决，可向甲方所在地有管辖权的人民法院提起诉讼。</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6" w:name="_Toc27617"/>
      <w:r>
        <w:rPr>
          <w:rFonts w:hint="eastAsia" w:ascii="仿宋" w:hAnsi="仿宋" w:eastAsia="仿宋" w:cs="仿宋"/>
          <w:b/>
          <w:sz w:val="28"/>
          <w:szCs w:val="28"/>
          <w:highlight w:val="none"/>
        </w:rPr>
        <w:t>第十四条  合同</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ascii="仿宋" w:hAnsi="仿宋" w:eastAsia="仿宋" w:cs="仿宋"/>
          <w:b/>
          <w:sz w:val="28"/>
          <w:szCs w:val="28"/>
          <w:highlight w:val="none"/>
        </w:rPr>
        <w:t>生效及其他</w:t>
      </w:r>
      <w:bookmarkEnd w:id="103"/>
      <w:bookmarkEnd w:id="104"/>
      <w:bookmarkEnd w:id="105"/>
      <w:bookmarkEnd w:id="106"/>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1.合同经双方法定代表人或授权委托代理人签字并加盖单位公章后生效。</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2.合同执行中涉及采购资金和采购内容修改或补充的，须经政府采购监管部门审批，并签订书面补充协议报政府采购监督管理部门备案，方可作为主合同不可分割的一部分。</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3.本合同一式</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份，自双方签章之日起起效。甲方</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份，乙方</w:t>
      </w:r>
      <w:r>
        <w:rPr>
          <w:rFonts w:hint="eastAsia" w:ascii="仿宋" w:hAnsi="仿宋" w:eastAsia="仿宋" w:cs="仿宋"/>
          <w:i/>
          <w:iCs/>
          <w:sz w:val="28"/>
          <w:szCs w:val="28"/>
          <w:highlight w:val="none"/>
          <w:u w:val="single"/>
        </w:rPr>
        <w:t xml:space="preserve">     </w:t>
      </w:r>
      <w:r>
        <w:rPr>
          <w:rFonts w:hint="eastAsia" w:ascii="仿宋" w:hAnsi="仿宋" w:eastAsia="仿宋" w:cs="仿宋"/>
          <w:sz w:val="28"/>
          <w:szCs w:val="28"/>
          <w:highlight w:val="none"/>
        </w:rPr>
        <w:t>份，具有同等法律效力。</w:t>
      </w:r>
    </w:p>
    <w:p>
      <w:pPr>
        <w:tabs>
          <w:tab w:val="left" w:pos="1379"/>
        </w:tabs>
        <w:snapToGrid w:val="0"/>
        <w:spacing w:line="360" w:lineRule="auto"/>
        <w:ind w:firstLine="562" w:firstLineChars="200"/>
        <w:outlineLvl w:val="1"/>
        <w:rPr>
          <w:rFonts w:hint="eastAsia" w:ascii="仿宋" w:hAnsi="仿宋" w:eastAsia="仿宋" w:cs="仿宋"/>
          <w:b/>
          <w:sz w:val="28"/>
          <w:szCs w:val="28"/>
          <w:highlight w:val="none"/>
        </w:rPr>
      </w:pPr>
      <w:bookmarkStart w:id="107" w:name="_Toc11151"/>
      <w:bookmarkStart w:id="108" w:name="_Toc12783"/>
      <w:bookmarkStart w:id="109" w:name="_Toc15608"/>
      <w:bookmarkStart w:id="110" w:name="_Toc12138"/>
      <w:r>
        <w:rPr>
          <w:rFonts w:hint="eastAsia" w:ascii="仿宋" w:hAnsi="仿宋" w:eastAsia="仿宋" w:cs="仿宋"/>
          <w:b/>
          <w:sz w:val="28"/>
          <w:szCs w:val="28"/>
          <w:highlight w:val="none"/>
        </w:rPr>
        <w:t>第十五条  附件</w:t>
      </w:r>
      <w:bookmarkEnd w:id="107"/>
      <w:bookmarkEnd w:id="108"/>
      <w:bookmarkEnd w:id="109"/>
      <w:bookmarkEnd w:id="110"/>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1.项目招标文件</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2.项目修改澄清文件（若有）</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3.项目投标文件</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4.中标通知书</w:t>
      </w:r>
    </w:p>
    <w:p>
      <w:pPr>
        <w:pStyle w:val="14"/>
        <w:snapToGrid w:val="0"/>
        <w:spacing w:line="36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5.其他</w:t>
      </w:r>
    </w:p>
    <w:p>
      <w:pPr>
        <w:spacing w:line="360" w:lineRule="auto"/>
        <w:ind w:firstLine="560" w:firstLineChars="200"/>
        <w:rPr>
          <w:rFonts w:hint="eastAsia" w:ascii="仿宋" w:hAnsi="仿宋" w:eastAsia="仿宋" w:cs="仿宋"/>
          <w:sz w:val="28"/>
          <w:szCs w:val="28"/>
          <w:highlight w:val="none"/>
        </w:rPr>
      </w:pPr>
    </w:p>
    <w:p>
      <w:pPr>
        <w:spacing w:line="360" w:lineRule="auto"/>
        <w:ind w:firstLine="560" w:firstLineChars="200"/>
        <w:rPr>
          <w:rFonts w:hint="eastAsia" w:ascii="仿宋" w:hAnsi="仿宋" w:eastAsia="仿宋" w:cs="仿宋"/>
          <w:sz w:val="28"/>
          <w:szCs w:val="28"/>
          <w:highlight w:val="none"/>
        </w:rPr>
      </w:pPr>
    </w:p>
    <w:p>
      <w:pPr>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甲     方：（公章）   </w:t>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乙    方：   （公章）</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法定代表人（委托代理人）：      法定代表人（委托代理人）：</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                      地    址：</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开户银行：                      开户银行：</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账    号：                      账    号：</w:t>
      </w:r>
    </w:p>
    <w:p>
      <w:pPr>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纳税人识别号：                  纳税人识别号：</w:t>
      </w:r>
    </w:p>
    <w:p>
      <w:pPr>
        <w:spacing w:line="360" w:lineRule="auto"/>
        <w:ind w:firstLine="280" w:firstLineChars="1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电    话：                      电    话：</w:t>
      </w:r>
    </w:p>
    <w:p>
      <w:pPr>
        <w:pStyle w:val="4"/>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日    期：    年  月  日 </w:t>
      </w:r>
      <w:r>
        <w:rPr>
          <w:rFonts w:hint="eastAsia" w:ascii="仿宋" w:hAnsi="仿宋" w:eastAsia="仿宋" w:cs="仿宋"/>
          <w:sz w:val="28"/>
          <w:szCs w:val="28"/>
          <w:highlight w:val="none"/>
        </w:rPr>
        <w:tab/>
      </w:r>
      <w:r>
        <w:rPr>
          <w:rFonts w:hint="eastAsia" w:ascii="仿宋" w:hAnsi="仿宋" w:eastAsia="仿宋" w:cs="仿宋"/>
          <w:sz w:val="28"/>
          <w:szCs w:val="28"/>
          <w:highlight w:val="none"/>
        </w:rPr>
        <w:t xml:space="preserve">      日    期：  年  月  日</w:t>
      </w:r>
    </w:p>
    <w:p>
      <w:pPr>
        <w:pStyle w:val="4"/>
        <w:pBdr>
          <w:top w:val="none" w:color="auto" w:sz="0" w:space="0"/>
          <w:left w:val="none" w:color="auto" w:sz="0" w:space="0"/>
          <w:bottom w:val="none" w:color="auto" w:sz="0" w:space="0"/>
          <w:right w:val="none" w:color="auto" w:sz="0" w:space="0"/>
        </w:pBdr>
        <w:spacing w:line="360" w:lineRule="auto"/>
        <w:ind w:firstLine="480" w:firstLineChars="200"/>
        <w:rPr>
          <w:rFonts w:hint="eastAsia" w:ascii="宋体" w:hAnsi="宋体" w:eastAsia="宋体" w:cs="宋体"/>
          <w:color w:val="auto"/>
          <w:sz w:val="24"/>
          <w:szCs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abstractNum w:abstractNumId="1">
    <w:nsid w:val="2293BF30"/>
    <w:multiLevelType w:val="singleLevel"/>
    <w:tmpl w:val="2293BF30"/>
    <w:lvl w:ilvl="0" w:tentative="0">
      <w:start w:val="6"/>
      <w:numFmt w:val="chineseCounting"/>
      <w:suff w:val="space"/>
      <w:lvlText w:val="第%1条"/>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9b2064fa-637d-48c3-ab6f-743be6b915f6"/>
  </w:docVars>
  <w:rsids>
    <w:rsidRoot w:val="00000000"/>
    <w:rsid w:val="044A045E"/>
    <w:rsid w:val="168F7ECF"/>
    <w:rsid w:val="18F16A49"/>
    <w:rsid w:val="198A5383"/>
    <w:rsid w:val="1D6152DA"/>
    <w:rsid w:val="1F014874"/>
    <w:rsid w:val="238D1AB4"/>
    <w:rsid w:val="263317DE"/>
    <w:rsid w:val="2D12265A"/>
    <w:rsid w:val="2E607E29"/>
    <w:rsid w:val="2E6C62EF"/>
    <w:rsid w:val="34F15410"/>
    <w:rsid w:val="361342B4"/>
    <w:rsid w:val="394147CF"/>
    <w:rsid w:val="3CCB6F90"/>
    <w:rsid w:val="3DD87915"/>
    <w:rsid w:val="40D62EEC"/>
    <w:rsid w:val="4C300944"/>
    <w:rsid w:val="4C520100"/>
    <w:rsid w:val="4F8F4DC4"/>
    <w:rsid w:val="537533F8"/>
    <w:rsid w:val="545B78FD"/>
    <w:rsid w:val="5B2C0E5C"/>
    <w:rsid w:val="5CA97B29"/>
    <w:rsid w:val="63B079EF"/>
    <w:rsid w:val="64FC2EBF"/>
    <w:rsid w:val="66F916AD"/>
    <w:rsid w:val="6CCD0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9"/>
    <w:pPr>
      <w:spacing w:line="360" w:lineRule="auto"/>
      <w:jc w:val="center"/>
      <w:outlineLvl w:val="0"/>
    </w:pPr>
    <w:rPr>
      <w:rFonts w:ascii="方正小标宋_GBK" w:hAnsi="仿宋" w:eastAsia="方正小标宋_GBK"/>
      <w:sz w:val="44"/>
      <w:szCs w:val="44"/>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2">
    <w:name w:val="_Style 3"/>
    <w:basedOn w:val="3"/>
    <w:next w:val="1"/>
    <w:autoRedefine/>
    <w:qFormat/>
    <w:uiPriority w:val="0"/>
    <w:pPr>
      <w:keepLines w:val="0"/>
      <w:widowControl/>
      <w:spacing w:after="0" w:line="256" w:lineRule="auto"/>
      <w:jc w:val="left"/>
    </w:pPr>
    <w:rPr>
      <w:rFonts w:ascii="Calibri Light" w:hAnsi="Calibri Light" w:eastAsia="宋体"/>
      <w:color w:val="2E74B5"/>
      <w:kern w:val="0"/>
      <w:sz w:val="32"/>
      <w:szCs w:val="32"/>
    </w:rPr>
  </w:style>
  <w:style w:type="paragraph" w:styleId="4">
    <w:name w:val="Body Text"/>
    <w:basedOn w:val="1"/>
    <w:next w:val="1"/>
    <w:autoRedefine/>
    <w:unhideWhenUsed/>
    <w:qFormat/>
    <w:uiPriority w:val="99"/>
    <w:pPr>
      <w:spacing w:after="120"/>
    </w:pPr>
  </w:style>
  <w:style w:type="paragraph" w:styleId="5">
    <w:name w:val="Block Text"/>
    <w:basedOn w:val="1"/>
    <w:next w:val="6"/>
    <w:autoRedefine/>
    <w:qFormat/>
    <w:uiPriority w:val="0"/>
    <w:pPr>
      <w:spacing w:after="120"/>
      <w:ind w:left="1440" w:leftChars="700" w:right="700" w:rightChars="700"/>
    </w:pPr>
  </w:style>
  <w:style w:type="paragraph" w:styleId="6">
    <w:name w:val="Plain Text"/>
    <w:basedOn w:val="1"/>
    <w:next w:val="1"/>
    <w:autoRedefine/>
    <w:qFormat/>
    <w:uiPriority w:val="0"/>
    <w:rPr>
      <w:rFonts w:ascii="宋体" w:hAnsi="宋体"/>
      <w:szCs w:val="21"/>
    </w:rPr>
  </w:style>
  <w:style w:type="paragraph" w:styleId="7">
    <w:name w:val="toc 1"/>
    <w:basedOn w:val="1"/>
    <w:next w:val="1"/>
    <w:autoRedefine/>
    <w:qFormat/>
    <w:uiPriority w:val="0"/>
  </w:style>
  <w:style w:type="character" w:styleId="10">
    <w:name w:val="Strong"/>
    <w:basedOn w:val="9"/>
    <w:qFormat/>
    <w:uiPriority w:val="22"/>
    <w:rPr>
      <w:b/>
      <w:bCs/>
    </w:rPr>
  </w:style>
  <w:style w:type="paragraph" w:customStyle="1" w:styleId="11">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2">
    <w:name w:val="null3"/>
    <w:autoRedefine/>
    <w:qFormat/>
    <w:uiPriority w:val="0"/>
    <w:rPr>
      <w:rFonts w:hint="eastAsia" w:ascii="Calibri" w:hAnsi="Calibri" w:eastAsia="宋体" w:cs="Times New Roman"/>
      <w:lang w:val="en-US" w:eastAsia="zh-Hans"/>
    </w:rPr>
  </w:style>
  <w:style w:type="paragraph" w:customStyle="1" w:styleId="13">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14">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1340</Words>
  <Characters>1383</Characters>
  <Lines>0</Lines>
  <Paragraphs>0</Paragraphs>
  <TotalTime>0</TotalTime>
  <ScaleCrop>false</ScaleCrop>
  <LinksUpToDate>false</LinksUpToDate>
  <CharactersWithSpaces>1972</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2024-02-27T07:48:00Z</dcterms:created>
  <dc:creator>Hailan</dc:creator>
  <cp:lastModifiedBy>懛鰦</cp:lastModifiedBy>
  <dcterms:modified xsi:type="dcterms:W3CDTF">2026-08-02T12:58:57Z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0909B54BE12242FB8C32DB63AD4498EB_12</vt:lpwstr>
  </property>
  <property fmtid="{D5CDD505-2E9C-101B-9397-08002B2CF9AE}" pid="4" name="KSOTemplateDocerSaveRecord">
    <vt:lpwstr>eyJoZGlkIjoiZWQwMzQwNTkwYmE5ZGFkMDY2MWQ4ZWY4MGUzYjg4MmIiLCJ1c2VySWQiOiIxMDY2ODE3NDg5In0=</vt:lpwstr>
  </property>
</Properties>
</file>