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版本号：SBRTZ-202608120260818001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留坝县正河山洪沟治理工程勘察设计编制服务项目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SBRTZ-2026081</w:t>
      </w:r>
      <w:r>
        <w:br/>
      </w:r>
      <w:r>
        <w:br/>
      </w:r>
      <w:r>
        <w:br/>
      </w:r>
    </w:p>
    <w:p>
      <w:pPr>
        <w:pStyle w:val="null3"/>
        <w:jc w:val="center"/>
        <w:outlineLvl w:val="2"/>
      </w:pPr>
      <w:r>
        <w:rPr>
          <w:rFonts w:ascii="仿宋_GB2312" w:hAnsi="仿宋_GB2312" w:cs="仿宋_GB2312" w:eastAsia="仿宋_GB2312"/>
          <w:sz w:val="28"/>
          <w:b/>
        </w:rPr>
        <w:t>留坝县水利局</w:t>
      </w:r>
    </w:p>
    <w:p>
      <w:pPr>
        <w:pStyle w:val="null3"/>
        <w:jc w:val="center"/>
        <w:outlineLvl w:val="2"/>
      </w:pPr>
      <w:r>
        <w:rPr>
          <w:rFonts w:ascii="仿宋_GB2312" w:hAnsi="仿宋_GB2312" w:cs="仿宋_GB2312" w:eastAsia="仿宋_GB2312"/>
          <w:sz w:val="28"/>
          <w:b/>
        </w:rPr>
        <w:t>陕西博锐特项目管理有限公司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陕西博锐特项目管理有限公司</w:t>
      </w:r>
      <w:r>
        <w:rPr>
          <w:rFonts w:ascii="仿宋_GB2312" w:hAnsi="仿宋_GB2312" w:cs="仿宋_GB2312" w:eastAsia="仿宋_GB2312"/>
        </w:rPr>
        <w:t>（以下简称“代理机构”）受</w:t>
      </w:r>
      <w:r>
        <w:rPr>
          <w:rFonts w:ascii="仿宋_GB2312" w:hAnsi="仿宋_GB2312" w:cs="仿宋_GB2312" w:eastAsia="仿宋_GB2312"/>
        </w:rPr>
        <w:t>留坝县水利局</w:t>
      </w:r>
      <w:r>
        <w:rPr>
          <w:rFonts w:ascii="仿宋_GB2312" w:hAnsi="仿宋_GB2312" w:cs="仿宋_GB2312" w:eastAsia="仿宋_GB2312"/>
        </w:rPr>
        <w:t>委托，拟对</w:t>
      </w:r>
      <w:r>
        <w:rPr>
          <w:rFonts w:ascii="仿宋_GB2312" w:hAnsi="仿宋_GB2312" w:cs="仿宋_GB2312" w:eastAsia="仿宋_GB2312"/>
        </w:rPr>
        <w:t>留坝县正河山洪沟治理工程勘察设计编制服务项目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SBRTZ-2026081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留坝县正河山洪沟治理工程勘察设计编制服务项目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拟对留坝县正河山洪沟进行综合治理，按相关行业规定，编制完成初步设计，并通过相关部门技术评审及后续工作。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采购包1（勘察设计编制服务）：属于专门面向中小企业采购。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1、供应商有效的主体资格证明：供应商为具有独立承担民事责任能力的法人或其他组织或自然人，并出具营业执照（事业法人证）或证明文件或自然人的身份证明。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2、法定代表人授权书：法定代表人或单位负责人授权书及被授权人身份证（法定代表人或单位负责人直接参加投标除外，但须出示法定代表人或单位负责人身份证及营业执照复印件）。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质证书：供应商需具备建设行政主管部门颁发的工程勘察专业资质（工程测量、水文地质或岩土工程勘察）乙级及以上资质、工程设计水利专业河道整治乙级及以上或工程设计行业资质水利行业乙级及以上的资质。</w:t>
      </w:r>
    </w:p>
    <w:p>
      <w:pPr>
        <w:pStyle w:val="null3"/>
      </w:pPr>
      <w:r>
        <w:rPr>
          <w:rFonts w:ascii="仿宋_GB2312" w:hAnsi="仿宋_GB2312" w:cs="仿宋_GB2312" w:eastAsia="仿宋_GB2312"/>
        </w:rPr>
        <w:t>5、本项目接受联合体投标。两个及以上供应商可以组成一个联合体参与投标。联合体各方之间应当签订《联合体协议书》，明确约定联合体各方承担的工作和相应的责任。联合体协议签订后，联合体各方不得再单独参加或者与其他供应商另外组成联合体参加同一合同项下的政府采购活动。联合体各方均应当满足《中华人民共和国政府采购法》第二十二条规定及特定资格要求。：本项目接受联合体投标。两个及以上供应商可以组成一个联合体参与投标。联合体各方之间应当签订《联合体协议书》，明确约定联合体各方承担的工作和相应的责任。联合体协议签订后，联合体各方不得再单独参加或者与其他供应商另外组成联合体参加同一合同项下的政府采购活动。联合体各方均应当满足《中华人民共和国政府采购法》第二十二条规定及特定资格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留坝县天福巷1号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0916-3923302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陕西博锐特项目管理有限公司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陕西省西安市雁塔区科技六路高新时代广场B座10楼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0916-2233355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开户名称：陕西博锐特项目管理有限公司汉中分公司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银行账号：61050165530000000778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开户名称：陕西博锐特项目管理有限公司汉中分公司 开户银行：中国建设银行股份有限公司汉中天汉大道支行 银行账号：6105 0165 5300 0000 0778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留坝县水利局</w:t>
      </w:r>
      <w:r>
        <w:rPr>
          <w:rFonts w:ascii="仿宋_GB2312" w:hAnsi="仿宋_GB2312" w:cs="仿宋_GB2312" w:eastAsia="仿宋_GB2312"/>
        </w:rPr>
        <w:t>和</w:t>
      </w:r>
      <w:r>
        <w:rPr>
          <w:rFonts w:ascii="仿宋_GB2312" w:hAnsi="仿宋_GB2312" w:cs="仿宋_GB2312" w:eastAsia="仿宋_GB2312"/>
        </w:rPr>
        <w:t>陕西博锐特项目管理有限公司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陕西博锐特项目管理有限公司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陕西博锐特项目管理有限公司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联系电话：0916-2233355</w:t>
      </w:r>
    </w:p>
    <w:p>
      <w:pPr>
        <w:pStyle w:val="null3"/>
      </w:pPr>
      <w:r>
        <w:rPr>
          <w:rFonts w:ascii="仿宋_GB2312" w:hAnsi="仿宋_GB2312" w:cs="仿宋_GB2312" w:eastAsia="仿宋_GB2312"/>
        </w:rPr>
        <w:t>地址：汉中市汉台区竹园天玺办公楼（汉台区桥北广场东北角）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拟对留坝县正河山洪沟进行综合治理，按相关行业规定，编制完成初步设计，并通过相关部门技术评审及后续工作。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600000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一、工程概况</w:t>
            </w:r>
          </w:p>
          <w:p>
            <w:pPr>
              <w:pStyle w:val="null3"/>
              <w:ind w:firstLine="480"/>
              <w:jc w:val="left"/>
            </w:pPr>
            <w:r>
              <w:rPr>
                <w:rFonts w:ascii="仿宋_GB2312" w:hAnsi="仿宋_GB2312" w:cs="仿宋_GB2312" w:eastAsia="仿宋_GB2312"/>
                <w:sz w:val="24"/>
                <w:color w:val="000000"/>
              </w:rPr>
              <w:t>拟对留坝县正河山洪沟治理工程勘察设计全阶段服务项目进行采购服务。</w:t>
            </w:r>
          </w:p>
          <w:p>
            <w:pPr>
              <w:pStyle w:val="null3"/>
              <w:ind w:firstLine="480"/>
              <w:jc w:val="left"/>
            </w:pPr>
            <w:r>
              <w:rPr>
                <w:rFonts w:ascii="仿宋_GB2312" w:hAnsi="仿宋_GB2312" w:cs="仿宋_GB2312" w:eastAsia="仿宋_GB2312"/>
                <w:sz w:val="24"/>
                <w:color w:val="000000"/>
              </w:rPr>
              <w:t>本工程位于留坝县留侯镇，从上游至下游共分</w:t>
            </w:r>
            <w:r>
              <w:rPr>
                <w:rFonts w:ascii="仿宋_GB2312" w:hAnsi="仿宋_GB2312" w:cs="仿宋_GB2312" w:eastAsia="仿宋_GB2312"/>
                <w:sz w:val="24"/>
                <w:color w:val="000000"/>
              </w:rPr>
              <w:t>9段，综合治理河长约3.2km，按10年一遇洪水标准设防。</w:t>
            </w:r>
          </w:p>
          <w:p>
            <w:pPr>
              <w:pStyle w:val="null3"/>
              <w:numPr>
                <w:ilvl w:val="0"/>
                <w:numId w:val="1"/>
              </w:numPr>
              <w:jc w:val="left"/>
            </w:pPr>
            <w:r>
              <w:rPr>
                <w:rFonts w:ascii="仿宋_GB2312" w:hAnsi="仿宋_GB2312" w:cs="仿宋_GB2312" w:eastAsia="仿宋_GB2312"/>
                <w:sz w:val="24"/>
                <w:color w:val="000000"/>
              </w:rPr>
              <w:t>勘测设计任务</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可行性研究报告编制任务</w:t>
            </w:r>
          </w:p>
          <w:p>
            <w:pPr>
              <w:pStyle w:val="null3"/>
              <w:ind w:firstLine="480"/>
              <w:jc w:val="left"/>
            </w:pPr>
            <w:r>
              <w:rPr>
                <w:rFonts w:ascii="仿宋_GB2312" w:hAnsi="仿宋_GB2312" w:cs="仿宋_GB2312" w:eastAsia="仿宋_GB2312"/>
                <w:sz w:val="24"/>
                <w:color w:val="000000"/>
              </w:rPr>
              <w:t>按照《</w:t>
            </w:r>
            <w:r>
              <w:rPr>
                <w:rFonts w:ascii="仿宋_GB2312" w:hAnsi="仿宋_GB2312" w:cs="仿宋_GB2312" w:eastAsia="仿宋_GB2312"/>
                <w:sz w:val="24"/>
                <w:color w:val="000000"/>
              </w:rPr>
              <w:t>水利水电</w:t>
            </w:r>
            <w:r>
              <w:rPr>
                <w:rFonts w:ascii="仿宋_GB2312" w:hAnsi="仿宋_GB2312" w:cs="仿宋_GB2312" w:eastAsia="仿宋_GB2312"/>
                <w:sz w:val="24"/>
                <w:color w:val="000000"/>
              </w:rPr>
              <w:t>工程可行性研究报告</w:t>
            </w:r>
            <w:r>
              <w:rPr>
                <w:rFonts w:ascii="仿宋_GB2312" w:hAnsi="仿宋_GB2312" w:cs="仿宋_GB2312" w:eastAsia="仿宋_GB2312"/>
                <w:sz w:val="24"/>
                <w:color w:val="000000"/>
              </w:rPr>
              <w:t>编制规程</w:t>
            </w:r>
            <w:r>
              <w:rPr>
                <w:rFonts w:ascii="仿宋_GB2312" w:hAnsi="仿宋_GB2312" w:cs="仿宋_GB2312" w:eastAsia="仿宋_GB2312"/>
                <w:sz w:val="24"/>
                <w:color w:val="000000"/>
              </w:rPr>
              <w:t>》（</w:t>
            </w:r>
            <w:r>
              <w:rPr>
                <w:rFonts w:ascii="仿宋_GB2312" w:hAnsi="仿宋_GB2312" w:cs="仿宋_GB2312" w:eastAsia="仿宋_GB2312"/>
                <w:sz w:val="24"/>
                <w:color w:val="000000"/>
              </w:rPr>
              <w:t>SL/T61</w:t>
            </w:r>
            <w:r>
              <w:rPr>
                <w:rFonts w:ascii="仿宋_GB2312" w:hAnsi="仿宋_GB2312" w:cs="仿宋_GB2312" w:eastAsia="仿宋_GB2312"/>
                <w:sz w:val="24"/>
                <w:color w:val="000000"/>
              </w:rPr>
              <w:t>8</w:t>
            </w:r>
            <w:r>
              <w:rPr>
                <w:rFonts w:ascii="仿宋_GB2312" w:hAnsi="仿宋_GB2312" w:cs="仿宋_GB2312" w:eastAsia="仿宋_GB2312"/>
                <w:sz w:val="24"/>
                <w:color w:val="000000"/>
              </w:rPr>
              <w:t>-2021</w:t>
            </w:r>
            <w:r>
              <w:rPr>
                <w:rFonts w:ascii="仿宋_GB2312" w:hAnsi="仿宋_GB2312" w:cs="仿宋_GB2312" w:eastAsia="仿宋_GB2312"/>
                <w:sz w:val="24"/>
                <w:color w:val="000000"/>
              </w:rPr>
              <w:t>）及</w:t>
            </w:r>
            <w:r>
              <w:rPr>
                <w:rFonts w:ascii="仿宋_GB2312" w:hAnsi="仿宋_GB2312" w:cs="仿宋_GB2312" w:eastAsia="仿宋_GB2312"/>
                <w:sz w:val="24"/>
                <w:color w:val="000000"/>
              </w:rPr>
              <w:t>其他法律、法规、规范、技术标准要求，</w:t>
            </w:r>
            <w:r>
              <w:rPr>
                <w:rFonts w:ascii="仿宋_GB2312" w:hAnsi="仿宋_GB2312" w:cs="仿宋_GB2312" w:eastAsia="仿宋_GB2312"/>
                <w:sz w:val="24"/>
                <w:color w:val="000000"/>
              </w:rPr>
              <w:t>配合可研立项报批提供成果资料。</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.初步设计</w:t>
            </w:r>
            <w:r>
              <w:rPr>
                <w:rFonts w:ascii="仿宋_GB2312" w:hAnsi="仿宋_GB2312" w:cs="仿宋_GB2312" w:eastAsia="仿宋_GB2312"/>
                <w:sz w:val="24"/>
                <w:color w:val="000000"/>
              </w:rPr>
              <w:t>工作任务</w:t>
            </w:r>
          </w:p>
          <w:p>
            <w:pPr>
              <w:pStyle w:val="null3"/>
              <w:ind w:firstLine="480"/>
              <w:jc w:val="left"/>
            </w:pPr>
            <w:r>
              <w:rPr>
                <w:rFonts w:ascii="仿宋_GB2312" w:hAnsi="仿宋_GB2312" w:cs="仿宋_GB2312" w:eastAsia="仿宋_GB2312"/>
                <w:sz w:val="24"/>
                <w:color w:val="000000"/>
              </w:rPr>
              <w:t>按照《水利水电</w:t>
            </w:r>
            <w:r>
              <w:rPr>
                <w:rFonts w:ascii="仿宋_GB2312" w:hAnsi="仿宋_GB2312" w:cs="仿宋_GB2312" w:eastAsia="仿宋_GB2312"/>
                <w:sz w:val="24"/>
                <w:color w:val="000000"/>
              </w:rPr>
              <w:t>工程</w:t>
            </w:r>
            <w:r>
              <w:rPr>
                <w:rFonts w:ascii="仿宋_GB2312" w:hAnsi="仿宋_GB2312" w:cs="仿宋_GB2312" w:eastAsia="仿宋_GB2312"/>
                <w:sz w:val="24"/>
                <w:color w:val="000000"/>
              </w:rPr>
              <w:t>初步设计报告编制规程》（</w:t>
            </w:r>
            <w:r>
              <w:rPr>
                <w:rFonts w:ascii="仿宋_GB2312" w:hAnsi="仿宋_GB2312" w:cs="仿宋_GB2312" w:eastAsia="仿宋_GB2312"/>
                <w:sz w:val="24"/>
                <w:color w:val="000000"/>
              </w:rPr>
              <w:t>SL/T619-2021）、《水利水电工程地质勘察规范》（GB50487-2008）、《水利水电工程等级划分及洪水标准》（SL252-2017）、《防洪标准》（GB50201-2014）、《水利水电工程合理使用年限及耐久性</w:t>
            </w:r>
            <w:r>
              <w:rPr>
                <w:rFonts w:ascii="仿宋_GB2312" w:hAnsi="仿宋_GB2312" w:cs="仿宋_GB2312" w:eastAsia="仿宋_GB2312"/>
                <w:sz w:val="24"/>
                <w:color w:val="000000"/>
              </w:rPr>
              <w:t>设计</w:t>
            </w:r>
            <w:r>
              <w:rPr>
                <w:rFonts w:ascii="仿宋_GB2312" w:hAnsi="仿宋_GB2312" w:cs="仿宋_GB2312" w:eastAsia="仿宋_GB2312"/>
                <w:sz w:val="24"/>
                <w:color w:val="000000"/>
              </w:rPr>
              <w:t>规范》（</w:t>
            </w:r>
            <w:r>
              <w:rPr>
                <w:rFonts w:ascii="仿宋_GB2312" w:hAnsi="仿宋_GB2312" w:cs="仿宋_GB2312" w:eastAsia="仿宋_GB2312"/>
                <w:sz w:val="24"/>
                <w:color w:val="000000"/>
              </w:rPr>
              <w:t>SL654-2014）及其他法律、法规、规范、技术标准要求，进行勘测设计工作。</w:t>
            </w:r>
          </w:p>
          <w:p>
            <w:pPr>
              <w:pStyle w:val="null3"/>
              <w:ind w:firstLine="480"/>
              <w:jc w:val="left"/>
            </w:pPr>
            <w:r>
              <w:rPr>
                <w:rFonts w:ascii="仿宋_GB2312" w:hAnsi="仿宋_GB2312" w:cs="仿宋_GB2312" w:eastAsia="仿宋_GB2312"/>
                <w:sz w:val="24"/>
                <w:color w:val="000000"/>
              </w:rPr>
              <w:t>勘测设计成果应包含：</w:t>
            </w:r>
          </w:p>
          <w:p>
            <w:pPr>
              <w:pStyle w:val="null3"/>
              <w:ind w:firstLine="480"/>
              <w:jc w:val="left"/>
            </w:pPr>
            <w:r>
              <w:rPr>
                <w:rFonts w:ascii="仿宋_GB2312" w:hAnsi="仿宋_GB2312" w:cs="仿宋_GB2312" w:eastAsia="仿宋_GB2312"/>
                <w:sz w:val="24"/>
                <w:color w:val="000000"/>
              </w:rPr>
              <w:t>①初步设计报告书；</w:t>
            </w:r>
          </w:p>
          <w:p>
            <w:pPr>
              <w:pStyle w:val="null3"/>
              <w:ind w:firstLine="480"/>
              <w:jc w:val="left"/>
            </w:pPr>
            <w:r>
              <w:rPr>
                <w:rFonts w:ascii="仿宋_GB2312" w:hAnsi="仿宋_GB2312" w:cs="仿宋_GB2312" w:eastAsia="仿宋_GB2312"/>
                <w:sz w:val="24"/>
                <w:color w:val="000000"/>
              </w:rPr>
              <w:t>②初步设计</w:t>
            </w:r>
            <w:r>
              <w:rPr>
                <w:rFonts w:ascii="仿宋_GB2312" w:hAnsi="仿宋_GB2312" w:cs="仿宋_GB2312" w:eastAsia="仿宋_GB2312"/>
                <w:sz w:val="24"/>
                <w:color w:val="000000"/>
              </w:rPr>
              <w:t>图纸</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③初步设计概算书</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④工程测量报告书；</w:t>
            </w:r>
          </w:p>
          <w:p>
            <w:pPr>
              <w:pStyle w:val="null3"/>
              <w:ind w:firstLine="480"/>
              <w:jc w:val="left"/>
            </w:pPr>
            <w:r>
              <w:rPr>
                <w:rFonts w:ascii="仿宋_GB2312" w:hAnsi="仿宋_GB2312" w:cs="仿宋_GB2312" w:eastAsia="仿宋_GB2312"/>
                <w:sz w:val="24"/>
                <w:color w:val="000000"/>
              </w:rPr>
              <w:t>⑤工程地质勘察报告书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招标</w:t>
            </w:r>
            <w:r>
              <w:rPr>
                <w:rFonts w:ascii="仿宋_GB2312" w:hAnsi="仿宋_GB2312" w:cs="仿宋_GB2312" w:eastAsia="仿宋_GB2312"/>
                <w:sz w:val="24"/>
                <w:color w:val="000000"/>
              </w:rPr>
              <w:t>图</w:t>
            </w:r>
            <w:r>
              <w:rPr>
                <w:rFonts w:ascii="仿宋_GB2312" w:hAnsi="仿宋_GB2312" w:cs="仿宋_GB2312" w:eastAsia="仿宋_GB2312"/>
                <w:sz w:val="24"/>
                <w:color w:val="000000"/>
              </w:rPr>
              <w:t>及施工图</w:t>
            </w:r>
            <w:r>
              <w:rPr>
                <w:rFonts w:ascii="仿宋_GB2312" w:hAnsi="仿宋_GB2312" w:cs="仿宋_GB2312" w:eastAsia="仿宋_GB2312"/>
                <w:sz w:val="24"/>
                <w:color w:val="000000"/>
              </w:rPr>
              <w:t>设计</w:t>
            </w:r>
            <w:r>
              <w:rPr>
                <w:rFonts w:ascii="仿宋_GB2312" w:hAnsi="仿宋_GB2312" w:cs="仿宋_GB2312" w:eastAsia="仿宋_GB2312"/>
                <w:sz w:val="24"/>
                <w:color w:val="000000"/>
              </w:rPr>
              <w:t>工作任务</w:t>
            </w:r>
          </w:p>
          <w:p>
            <w:pPr>
              <w:pStyle w:val="null3"/>
              <w:ind w:firstLine="480"/>
              <w:jc w:val="left"/>
            </w:pPr>
            <w:r>
              <w:rPr>
                <w:rFonts w:ascii="仿宋_GB2312" w:hAnsi="仿宋_GB2312" w:cs="仿宋_GB2312" w:eastAsia="仿宋_GB2312"/>
                <w:sz w:val="24"/>
                <w:color w:val="000000"/>
              </w:rPr>
              <w:t>招标图</w:t>
            </w:r>
            <w:r>
              <w:rPr>
                <w:rFonts w:ascii="仿宋_GB2312" w:hAnsi="仿宋_GB2312" w:cs="仿宋_GB2312" w:eastAsia="仿宋_GB2312"/>
                <w:sz w:val="24"/>
                <w:color w:val="000000"/>
              </w:rPr>
              <w:t>及施工图阶段按工程计划、工程实际进展状况和业主要求，积极配合</w:t>
            </w:r>
            <w:r>
              <w:rPr>
                <w:rFonts w:ascii="仿宋_GB2312" w:hAnsi="仿宋_GB2312" w:cs="仿宋_GB2312" w:eastAsia="仿宋_GB2312"/>
                <w:sz w:val="24"/>
                <w:color w:val="000000"/>
              </w:rPr>
              <w:t>，</w:t>
            </w:r>
            <w:r>
              <w:rPr>
                <w:rFonts w:ascii="仿宋_GB2312" w:hAnsi="仿宋_GB2312" w:cs="仿宋_GB2312" w:eastAsia="仿宋_GB2312"/>
                <w:sz w:val="24"/>
                <w:color w:val="000000"/>
              </w:rPr>
              <w:t>进行工程招标和施工详图设计工作，编制相关工程招标文件，提供施工技术文件及设计图纸，作好现场设代服务等。</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进度款，项目前期，项目下达后，达到付款条件起30个工作日内，支付合同总金额的30.0%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进度款，项目中期，项目下达后，达到付款条件起30个工作日内，支付合同总金额的60.0%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进度款，项目完结后，项目下达后，达到付款条件起30个工作日内，支付合同总金额的10.0%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其他要求内填写 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3、如采购文件中融资相关内容与新政策要求有出入，按照最新要求执行。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1个工作日内交至代理机构财务处换取保证金收据。3.保证金收据换取地址为:汉中市汉台区竹园天玺办公楼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供应商需具备建设行政主管部门颁发的工程勘察专业资质（工程测量、水文地质或岩土工程勘察）乙级及以上资质、工程设计水利专业河道整治乙级及以上或工程设计行业资质水利行业乙级及以上的资质。</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接受联合体投标。两个及以上供应商可以组成一个联合体参与投标。联合体各方之间应当签订《联合体协议书》，明确约定联合体各方承担的工作和相应的责任。联合体协议签订后，联合体各方不得再单独参加或者与其他供应商另外组成联合体参加同一合同项下的政府采购活动。联合体各方均应当满足《中华人民共和国政府采购法》第二十二条规定及特定资格要求。</w:t>
            </w:r>
          </w:p>
        </w:tc>
        <w:tc>
          <w:tcPr>
            <w:tcW w:type="dxa" w:w="3322"/>
          </w:tcPr>
          <w:p>
            <w:pPr>
              <w:pStyle w:val="null3"/>
            </w:pPr>
            <w:r>
              <w:rPr>
                <w:rFonts w:ascii="仿宋_GB2312" w:hAnsi="仿宋_GB2312" w:cs="仿宋_GB2312" w:eastAsia="仿宋_GB2312"/>
              </w:rPr>
              <w:t>本项目接受联合体投标。两个及以上供应商可以组成一个联合体参与投标。联合体各方之间应当签订《联合体协议书》，明确约定联合体各方承担的工作和相应的责任。联合体协议签订后，联合体各方不得再单独参加或者与其他供应商另外组成联合体参加同一合同项下的政府采购活动。联合体各方均应当满足《中华人民共和国政府采购法》第二十二条规定及特定资格要求。</w:t>
            </w:r>
          </w:p>
        </w:tc>
        <w:tc>
          <w:tcPr>
            <w:tcW w:type="dxa" w:w="1661"/>
          </w:tcPr>
          <w:p>
            <w:pPr>
              <w:pStyle w:val="null3"/>
            </w:pPr>
            <w:r>
              <w:rPr>
                <w:rFonts w:ascii="仿宋_GB2312" w:hAnsi="仿宋_GB2312" w:cs="仿宋_GB2312" w:eastAsia="仿宋_GB2312"/>
              </w:rPr>
              <w:t>联合体协议.docx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保证金交纳是否按照磋商文件格式提交</w:t>
            </w:r>
          </w:p>
        </w:tc>
        <w:tc>
          <w:tcPr>
            <w:tcW w:type="dxa" w:w="3322"/>
          </w:tcPr>
          <w:p>
            <w:pPr>
              <w:pStyle w:val="null3"/>
            </w:pPr>
            <w:r>
              <w:rPr>
                <w:rFonts w:ascii="仿宋_GB2312" w:hAnsi="仿宋_GB2312" w:cs="仿宋_GB2312" w:eastAsia="仿宋_GB2312"/>
              </w:rPr>
              <w:t>应按照磋商文件格式要求提交(以投标文件中所附的保证金证明资料为准)</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中小企业声明函 联合体协议.docx 商务应答表 服务内容及服务要求应答表 报价表 控股承诺.docx 响应文件封面 汉中市政府采购供应商资格承诺函.pdf 供应商应提交的相关资格证明材料.docx 残疾人福利性单位声明函 保证金.pdf 标的清单 响应函 法定代表人证明书及授权委托书.pdf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对本项目理解及分析(5分)内容完整、描述详尽、可实施、且有针对性得5分;内容完整、可实施得3分;方案基本完整得1分;未提供不得分。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项目理解.docx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1.总体设计方案(4分)内容完整、可实施、且有针对性得4分;内容完整、描述详尽、可实施得2分;方案基本完整得1分;未提供不得分。 2.对本项目设计方案技术可行性分析(4分)内容完整、描述详尽、可实施、且有针对性得4分;内容完整、可实施得2分;方案基本完整得1分;未提供不得分。 3.对本项目设计工作内容概述(4分)。内容完整描述详尽、可实施、且有针对性得4分;内容完整、可实施得2分;方案基本完整得1分;未提供不得分。 4.现场勘察方案(4分)内容完整、可实施、且有针对性得4分;内容完整、描述详尽、可实施得2分;方案基本完整得1分;未提供不得分。 5.技术规范规定符合性(4分)内容完整、可实施、且有针对性得4分;内容完整、描述详尽、可实施得2分;方案基本完整得1分;未提供不得分。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重、难点分析及关键过程分析</w:t>
            </w:r>
          </w:p>
        </w:tc>
        <w:tc>
          <w:tcPr>
            <w:tcW w:type="dxa" w:w="2492"/>
          </w:tcPr>
          <w:p>
            <w:pPr>
              <w:pStyle w:val="null3"/>
            </w:pPr>
            <w:r>
              <w:rPr>
                <w:rFonts w:ascii="仿宋_GB2312" w:hAnsi="仿宋_GB2312" w:cs="仿宋_GB2312" w:eastAsia="仿宋_GB2312"/>
              </w:rPr>
              <w:t>1.项目实施重点、难点及对策措施(2.5分)内容完整、可实施、且有针对性得2.5分;内容完整、可实施得2分;方案基本完整得1分;未提供不得分。2.关键过程分析(2.5分) 内容完整、可实施、且有针对性得2.5分;内容完整、可实施得2分;方案基本完整得1分;未提供不得分。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重、难点分析及关键过程分析.docx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1.项目工作进度计划安排(2.5分)内容完整、条理清晰、且有针对性得2.5分;内容完整、可实施得2分;内容基本完整1分;未提供不得分。2.项目进度保证措施(2.5分)内容完整、条理清晰、且有针对性得2.5分;内容完整、可实施得2分;内容基本完整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1.项目质量目标(2.5分)内容完整、条理清晰、且有针对性得2.5分;内容完整、可实施得2分;内容基本完整1分;未提供不得分。 2.设计阶段控制措施(2.5分)内容完整条理清晰、且有针对性得2.5分;内容完整、可实施得2分;内容基本完整1分;未提供不得分。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针对本项目后期服务配合、过程资料管理有具体的服务承诺(5分)内容完整、条理清晰可实施得5分;未提供不得分。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(5分):具有水利工程相关高级及以上职称得5分，中级职称得3分，其他不得分;2.技术负责人(5分):具有水利工程相关高级及以上职称得5分，中级职称得3分，其他不得分;3.设计人员(5分):除项目负责人和技术负责人外，配备2名及以上水利工程或相关专业中级及以上职称人员得5分，少于2名得2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设备、软件及数据资源</w:t>
            </w:r>
          </w:p>
        </w:tc>
        <w:tc>
          <w:tcPr>
            <w:tcW w:type="dxa" w:w="2492"/>
          </w:tcPr>
          <w:p>
            <w:pPr>
              <w:pStyle w:val="null3"/>
            </w:pPr>
            <w:r>
              <w:rPr>
                <w:rFonts w:ascii="仿宋_GB2312" w:hAnsi="仿宋_GB2312" w:cs="仿宋_GB2312" w:eastAsia="仿宋_GB2312"/>
              </w:rPr>
              <w:t>1.定位与外业测量设备(3分):配备GNSS/RTK或同等高精度定位设备3套及以上得3分2套得2分，1套得1分，无不得分。2.无人机与遥感处理能力(2分):同时具备无人机影像获取资源和遥感影像处理能力得2分，仅具备其中一项得1分，均无不得分;可采用自有、租赁或依法合作方式。证明材料:自有设备提供发票或资产证明;租赁提供租赁合 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设备、软件及数据资源.docx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供应商提供2023年7月1日至磋商截止日止类似项目业绩，每提供一个得2.5分，最高得5分;业绩资料提供复印件加盖公章(资料以合同或中标通知书为准)。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2、以满足本次竞争性磋商文件要求的最低报价为评审基准价，其价格为满分； 3、投标供应商报价得分=（评审基准价/报价）×30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详见附件：重、难点分析及关键过程分析.docx</w:t>
      </w:r>
    </w:p>
    <w:p>
      <w:pPr>
        <w:pStyle w:val="null3"/>
        <w:ind w:firstLine="960"/>
      </w:pPr>
      <w:r>
        <w:rPr>
          <w:rFonts w:ascii="仿宋_GB2312" w:hAnsi="仿宋_GB2312" w:cs="仿宋_GB2312" w:eastAsia="仿宋_GB2312"/>
        </w:rPr>
        <w:t>详见附件：设备、软件及数据资源.docx</w:t>
      </w:r>
    </w:p>
    <w:p>
      <w:pPr>
        <w:pStyle w:val="null3"/>
        <w:ind w:firstLine="960"/>
      </w:pPr>
      <w:r>
        <w:rPr>
          <w:rFonts w:ascii="仿宋_GB2312" w:hAnsi="仿宋_GB2312" w:cs="仿宋_GB2312" w:eastAsia="仿宋_GB2312"/>
        </w:rPr>
        <w:t>详见附件：联合体协议.docx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