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80E6A">
      <w:pPr>
        <w:adjustRightInd w:val="0"/>
        <w:snapToGrid w:val="0"/>
        <w:spacing w:line="360" w:lineRule="auto"/>
        <w:jc w:val="both"/>
        <w:rPr>
          <w:rFonts w:hint="eastAsia" w:ascii="宋体" w:hAnsi="宋体" w:eastAsia="宋体" w:cs="宋体"/>
          <w:b/>
          <w:bCs/>
          <w:sz w:val="72"/>
          <w:szCs w:val="72"/>
        </w:rPr>
      </w:pPr>
    </w:p>
    <w:p w14:paraId="5558FAEA">
      <w:pPr>
        <w:adjustRightInd w:val="0"/>
        <w:snapToGrid w:val="0"/>
        <w:spacing w:line="360" w:lineRule="auto"/>
        <w:ind w:firstLine="1446" w:firstLineChars="200"/>
        <w:jc w:val="both"/>
        <w:rPr>
          <w:rFonts w:hint="eastAsia" w:ascii="宋体" w:hAnsi="宋体" w:eastAsia="宋体" w:cs="宋体"/>
          <w:b/>
          <w:bCs/>
          <w:sz w:val="72"/>
          <w:szCs w:val="72"/>
        </w:rPr>
      </w:pPr>
    </w:p>
    <w:p w14:paraId="24FC892C">
      <w:pPr>
        <w:adjustRightInd w:val="0"/>
        <w:snapToGrid w:val="0"/>
        <w:spacing w:line="360" w:lineRule="auto"/>
        <w:ind w:firstLine="1446" w:firstLineChars="200"/>
        <w:jc w:val="both"/>
        <w:rPr>
          <w:rFonts w:hint="eastAsia" w:ascii="宋体" w:hAnsi="宋体" w:eastAsia="宋体" w:cs="宋体"/>
          <w:b/>
          <w:bCs/>
          <w:sz w:val="72"/>
          <w:szCs w:val="72"/>
        </w:rPr>
      </w:pPr>
      <w:r>
        <w:rPr>
          <w:rFonts w:hint="eastAsia" w:ascii="宋体" w:hAnsi="宋体" w:eastAsia="宋体" w:cs="宋体"/>
          <w:b/>
          <w:bCs/>
          <w:sz w:val="72"/>
          <w:szCs w:val="72"/>
        </w:rPr>
        <w:t>建设工程监理合同</w:t>
      </w:r>
    </w:p>
    <w:p w14:paraId="2560DFE6">
      <w:pPr>
        <w:adjustRightInd w:val="0"/>
        <w:snapToGrid w:val="0"/>
        <w:spacing w:line="360" w:lineRule="auto"/>
        <w:ind w:firstLine="600" w:firstLineChars="200"/>
        <w:jc w:val="center"/>
        <w:rPr>
          <w:rFonts w:hint="eastAsia" w:ascii="宋体" w:hAnsi="宋体" w:eastAsia="宋体" w:cs="宋体"/>
          <w:bCs/>
          <w:sz w:val="30"/>
          <w:szCs w:val="30"/>
        </w:rPr>
      </w:pPr>
    </w:p>
    <w:p w14:paraId="52FBF501">
      <w:pPr>
        <w:adjustRightInd w:val="0"/>
        <w:snapToGrid w:val="0"/>
        <w:spacing w:line="360" w:lineRule="auto"/>
        <w:ind w:firstLine="602" w:firstLineChars="200"/>
        <w:jc w:val="center"/>
        <w:rPr>
          <w:rFonts w:hint="eastAsia" w:ascii="宋体" w:hAnsi="宋体" w:eastAsia="宋体" w:cs="宋体"/>
          <w:b/>
          <w:bCs/>
          <w:sz w:val="30"/>
          <w:szCs w:val="30"/>
        </w:rPr>
      </w:pPr>
    </w:p>
    <w:p w14:paraId="2BCFD710">
      <w:pPr>
        <w:adjustRightInd w:val="0"/>
        <w:snapToGrid w:val="0"/>
        <w:spacing w:line="360" w:lineRule="auto"/>
        <w:ind w:firstLine="602" w:firstLineChars="200"/>
        <w:jc w:val="center"/>
        <w:rPr>
          <w:rFonts w:hint="eastAsia" w:ascii="宋体" w:hAnsi="宋体" w:eastAsia="宋体" w:cs="宋体"/>
          <w:b/>
          <w:bCs/>
          <w:sz w:val="30"/>
          <w:szCs w:val="30"/>
        </w:rPr>
      </w:pPr>
    </w:p>
    <w:p w14:paraId="3C60C429">
      <w:pPr>
        <w:adjustRightInd w:val="0"/>
        <w:snapToGrid w:val="0"/>
        <w:spacing w:line="360" w:lineRule="auto"/>
        <w:ind w:firstLine="602" w:firstLineChars="200"/>
        <w:jc w:val="center"/>
        <w:rPr>
          <w:rFonts w:hint="eastAsia" w:ascii="宋体" w:hAnsi="宋体" w:eastAsia="宋体" w:cs="宋体"/>
          <w:b/>
          <w:bCs/>
          <w:sz w:val="30"/>
          <w:szCs w:val="30"/>
        </w:rPr>
      </w:pPr>
    </w:p>
    <w:p w14:paraId="0F89450F">
      <w:pPr>
        <w:adjustRightInd w:val="0"/>
        <w:snapToGrid w:val="0"/>
        <w:spacing w:line="360" w:lineRule="auto"/>
        <w:ind w:firstLine="602" w:firstLineChars="200"/>
        <w:jc w:val="center"/>
        <w:rPr>
          <w:rFonts w:hint="eastAsia" w:ascii="宋体" w:hAnsi="宋体" w:eastAsia="宋体" w:cs="宋体"/>
          <w:b/>
          <w:bCs/>
          <w:sz w:val="30"/>
          <w:szCs w:val="30"/>
        </w:rPr>
      </w:pPr>
    </w:p>
    <w:p w14:paraId="2F275346">
      <w:pPr>
        <w:pStyle w:val="2"/>
        <w:rPr>
          <w:rFonts w:hint="eastAsia"/>
        </w:rPr>
      </w:pPr>
    </w:p>
    <w:p w14:paraId="7D97CF98">
      <w:pPr>
        <w:adjustRightInd w:val="0"/>
        <w:snapToGrid w:val="0"/>
        <w:spacing w:line="360" w:lineRule="auto"/>
        <w:jc w:val="both"/>
        <w:rPr>
          <w:rFonts w:hint="eastAsia" w:ascii="宋体" w:hAnsi="宋体" w:eastAsia="宋体" w:cs="宋体"/>
          <w:b/>
          <w:bCs/>
          <w:sz w:val="30"/>
          <w:szCs w:val="30"/>
        </w:rPr>
      </w:pPr>
    </w:p>
    <w:p w14:paraId="325E2A3F">
      <w:pPr>
        <w:pStyle w:val="4"/>
        <w:rPr>
          <w:rFonts w:hint="eastAsia" w:ascii="宋体" w:hAnsi="宋体" w:eastAsia="宋体" w:cs="宋体"/>
        </w:rPr>
      </w:pPr>
    </w:p>
    <w:p w14:paraId="510352DA">
      <w:pPr>
        <w:adjustRightInd w:val="0"/>
        <w:snapToGrid w:val="0"/>
        <w:spacing w:line="360" w:lineRule="auto"/>
        <w:ind w:firstLine="602" w:firstLineChars="200"/>
        <w:rPr>
          <w:rFonts w:hint="eastAsia" w:ascii="宋体" w:hAnsi="宋体" w:eastAsia="宋体" w:cs="宋体"/>
          <w:b/>
          <w:bCs/>
          <w:sz w:val="30"/>
          <w:szCs w:val="30"/>
        </w:rPr>
      </w:pPr>
    </w:p>
    <w:p w14:paraId="285BC393">
      <w:pPr>
        <w:adjustRightInd w:val="0"/>
        <w:snapToGrid w:val="0"/>
        <w:spacing w:line="360" w:lineRule="auto"/>
        <w:rPr>
          <w:rFonts w:hint="eastAsia" w:ascii="宋体" w:hAnsi="宋体" w:eastAsia="宋体" w:cs="宋体"/>
          <w:b/>
          <w:bCs/>
          <w:sz w:val="30"/>
          <w:szCs w:val="30"/>
        </w:rPr>
      </w:pPr>
    </w:p>
    <w:p w14:paraId="3FC1FEB5">
      <w:pPr>
        <w:adjustRightInd w:val="0"/>
        <w:snapToGrid w:val="0"/>
        <w:spacing w:line="360" w:lineRule="auto"/>
        <w:ind w:firstLine="602" w:firstLineChars="200"/>
        <w:rPr>
          <w:rFonts w:hint="eastAsia" w:ascii="宋体" w:hAnsi="宋体" w:eastAsia="宋体" w:cs="宋体"/>
          <w:b/>
          <w:bCs/>
          <w:sz w:val="30"/>
          <w:szCs w:val="30"/>
        </w:rPr>
      </w:pPr>
    </w:p>
    <w:p w14:paraId="2CC98352">
      <w:pPr>
        <w:adjustRightInd w:val="0"/>
        <w:snapToGrid w:val="0"/>
        <w:spacing w:line="360" w:lineRule="auto"/>
        <w:jc w:val="center"/>
        <w:rPr>
          <w:rFonts w:hint="eastAsia" w:ascii="宋体" w:hAnsi="宋体" w:eastAsia="宋体" w:cs="宋体"/>
          <w:b/>
          <w:sz w:val="30"/>
          <w:szCs w:val="30"/>
        </w:rPr>
      </w:pPr>
      <w:r>
        <w:rPr>
          <w:rFonts w:hint="eastAsia" w:ascii="宋体" w:hAnsi="宋体" w:eastAsia="宋体" w:cs="宋体"/>
          <w:b/>
          <w:bCs/>
          <w:sz w:val="30"/>
          <w:szCs w:val="30"/>
        </w:rPr>
        <w:t>住房和城乡建设部</w:t>
      </w:r>
    </w:p>
    <w:p w14:paraId="1782E90D">
      <w:pPr>
        <w:adjustRightInd w:val="0"/>
        <w:snapToGrid w:val="0"/>
        <w:spacing w:line="360" w:lineRule="auto"/>
        <w:ind w:right="600" w:firstLine="6325" w:firstLineChars="2100"/>
        <w:rPr>
          <w:rFonts w:hint="eastAsia" w:ascii="宋体" w:hAnsi="宋体" w:eastAsia="宋体" w:cs="宋体"/>
          <w:b/>
          <w:sz w:val="30"/>
          <w:szCs w:val="30"/>
        </w:rPr>
      </w:pPr>
      <w:r>
        <w:rPr>
          <w:rFonts w:hint="eastAsia" w:ascii="宋体" w:hAnsi="宋体" w:eastAsia="宋体" w:cs="宋体"/>
          <w:b/>
          <w:sz w:val="30"/>
          <w:szCs w:val="30"/>
        </w:rPr>
        <w:t xml:space="preserve">制定 </w:t>
      </w:r>
    </w:p>
    <w:p w14:paraId="2E503B71">
      <w:pPr>
        <w:adjustRightInd w:val="0"/>
        <w:snapToGrid w:val="0"/>
        <w:spacing w:line="360" w:lineRule="auto"/>
        <w:jc w:val="center"/>
        <w:rPr>
          <w:rFonts w:hint="eastAsia" w:ascii="宋体" w:hAnsi="宋体" w:eastAsia="宋体" w:cs="宋体"/>
          <w:b/>
          <w:sz w:val="30"/>
          <w:szCs w:val="30"/>
        </w:rPr>
      </w:pPr>
      <w:r>
        <w:rPr>
          <w:rFonts w:hint="eastAsia" w:ascii="宋体" w:hAnsi="宋体" w:eastAsia="宋体" w:cs="宋体"/>
          <w:b/>
          <w:bCs/>
          <w:sz w:val="30"/>
          <w:szCs w:val="30"/>
        </w:rPr>
        <w:t>国家工商行政管理总局</w:t>
      </w:r>
    </w:p>
    <w:p w14:paraId="3FD488AA">
      <w:pPr>
        <w:adjustRightInd w:val="0"/>
        <w:snapToGrid w:val="0"/>
        <w:spacing w:line="360" w:lineRule="auto"/>
        <w:ind w:firstLine="602" w:firstLineChars="200"/>
        <w:jc w:val="center"/>
        <w:rPr>
          <w:rFonts w:hint="eastAsia" w:ascii="宋体" w:hAnsi="宋体" w:eastAsia="宋体" w:cs="宋体"/>
          <w:b/>
          <w:bCs/>
          <w:sz w:val="30"/>
          <w:szCs w:val="30"/>
        </w:rPr>
      </w:pPr>
    </w:p>
    <w:p w14:paraId="73829E27">
      <w:pPr>
        <w:adjustRightInd w:val="0"/>
        <w:snapToGrid w:val="0"/>
        <w:spacing w:line="360" w:lineRule="auto"/>
        <w:ind w:firstLine="422" w:firstLineChars="200"/>
        <w:jc w:val="center"/>
        <w:rPr>
          <w:rFonts w:hint="eastAsia" w:ascii="宋体" w:hAnsi="宋体" w:eastAsia="宋体" w:cs="宋体"/>
          <w:b/>
          <w:bCs/>
          <w:szCs w:val="21"/>
        </w:rPr>
      </w:pPr>
    </w:p>
    <w:p w14:paraId="3DA6A78B">
      <w:pPr>
        <w:adjustRightInd w:val="0"/>
        <w:snapToGrid w:val="0"/>
        <w:spacing w:line="360" w:lineRule="auto"/>
        <w:ind w:firstLine="422" w:firstLineChars="200"/>
        <w:jc w:val="center"/>
        <w:rPr>
          <w:rFonts w:hint="eastAsia" w:ascii="宋体" w:hAnsi="宋体" w:eastAsia="宋体" w:cs="宋体"/>
          <w:b/>
          <w:bCs/>
          <w:szCs w:val="21"/>
        </w:rPr>
      </w:pPr>
    </w:p>
    <w:p w14:paraId="5D1EF251">
      <w:pPr>
        <w:adjustRightInd w:val="0"/>
        <w:snapToGrid w:val="0"/>
        <w:spacing w:line="360" w:lineRule="auto"/>
        <w:ind w:firstLine="422" w:firstLineChars="200"/>
        <w:jc w:val="center"/>
        <w:rPr>
          <w:rFonts w:hint="eastAsia" w:ascii="宋体" w:hAnsi="宋体" w:eastAsia="宋体" w:cs="宋体"/>
          <w:b/>
          <w:bCs/>
          <w:szCs w:val="21"/>
        </w:rPr>
      </w:pPr>
    </w:p>
    <w:p w14:paraId="099F917A">
      <w:pPr>
        <w:adjustRightInd w:val="0"/>
        <w:snapToGrid w:val="0"/>
        <w:spacing w:line="360" w:lineRule="auto"/>
        <w:ind w:firstLine="422" w:firstLineChars="200"/>
        <w:jc w:val="center"/>
        <w:rPr>
          <w:rFonts w:hint="eastAsia" w:ascii="宋体" w:hAnsi="宋体" w:eastAsia="宋体" w:cs="宋体"/>
          <w:b/>
          <w:bCs/>
          <w:szCs w:val="21"/>
        </w:rPr>
      </w:pPr>
      <w:r>
        <w:rPr>
          <w:rFonts w:hint="eastAsia" w:ascii="宋体" w:hAnsi="宋体" w:eastAsia="宋体" w:cs="宋体"/>
          <w:b/>
          <w:bCs/>
          <w:szCs w:val="21"/>
        </w:rPr>
        <w:t xml:space="preserve"> </w:t>
      </w:r>
    </w:p>
    <w:p w14:paraId="3C8A78C0">
      <w:pPr>
        <w:tabs>
          <w:tab w:val="left" w:pos="3120"/>
        </w:tabs>
        <w:adjustRightInd w:val="0"/>
        <w:snapToGrid w:val="0"/>
        <w:spacing w:line="360" w:lineRule="auto"/>
        <w:jc w:val="center"/>
        <w:rPr>
          <w:rFonts w:hint="eastAsia" w:ascii="宋体" w:hAnsi="宋体" w:eastAsia="宋体" w:cs="宋体"/>
          <w:b/>
          <w:bCs/>
          <w:sz w:val="36"/>
          <w:szCs w:val="36"/>
        </w:rPr>
        <w:sectPr>
          <w:footerReference r:id="rId3" w:type="default"/>
          <w:pgSz w:w="11907" w:h="16840"/>
          <w:pgMar w:top="1304" w:right="1247" w:bottom="1361" w:left="1304" w:header="907" w:footer="907" w:gutter="0"/>
          <w:pgBorders>
            <w:top w:val="none" w:sz="0" w:space="0"/>
            <w:left w:val="none" w:sz="0" w:space="0"/>
            <w:bottom w:val="none" w:sz="0" w:space="0"/>
            <w:right w:val="none" w:sz="0" w:space="0"/>
          </w:pgBorders>
          <w:pgNumType w:fmt="decimal" w:start="1"/>
          <w:cols w:space="720" w:num="1"/>
          <w:docGrid w:linePitch="312" w:charSpace="0"/>
        </w:sectPr>
      </w:pPr>
    </w:p>
    <w:p w14:paraId="0EFB295A">
      <w:pPr>
        <w:jc w:val="center"/>
        <w:rPr>
          <w:rFonts w:hint="eastAsia" w:ascii="宋体" w:hAnsi="宋体" w:eastAsia="宋体" w:cs="宋体"/>
          <w:b/>
          <w:bCs/>
          <w:sz w:val="36"/>
          <w:szCs w:val="36"/>
        </w:rPr>
      </w:pPr>
      <w:r>
        <w:rPr>
          <w:rFonts w:hint="eastAsia" w:ascii="宋体" w:hAnsi="宋体" w:eastAsia="宋体" w:cs="宋体"/>
          <w:b/>
          <w:bCs/>
          <w:sz w:val="36"/>
          <w:szCs w:val="36"/>
        </w:rPr>
        <w:t>第一部分  协议书</w:t>
      </w:r>
    </w:p>
    <w:p w14:paraId="33C62D76">
      <w:pPr>
        <w:adjustRightInd w:val="0"/>
        <w:snapToGrid w:val="0"/>
        <w:spacing w:line="360" w:lineRule="auto"/>
        <w:ind w:firstLine="482" w:firstLineChars="200"/>
        <w:rPr>
          <w:rFonts w:hint="eastAsia" w:ascii="宋体" w:hAnsi="宋体" w:eastAsia="宋体" w:cs="宋体"/>
          <w:b/>
          <w:sz w:val="24"/>
          <w:szCs w:val="24"/>
          <w:u w:val="single"/>
          <w:lang w:val="en-US" w:eastAsia="zh-CN"/>
        </w:rPr>
      </w:pPr>
      <w:r>
        <w:rPr>
          <w:rFonts w:hint="eastAsia" w:ascii="宋体" w:hAnsi="宋体" w:eastAsia="宋体" w:cs="宋体"/>
          <w:b/>
          <w:sz w:val="24"/>
          <w:szCs w:val="24"/>
        </w:rPr>
        <w:t>委托人（全称）：</w:t>
      </w:r>
      <w:r>
        <w:rPr>
          <w:rFonts w:hint="eastAsia" w:ascii="宋体" w:hAnsi="宋体" w:eastAsia="宋体" w:cs="宋体"/>
          <w:b/>
          <w:sz w:val="24"/>
          <w:szCs w:val="24"/>
          <w:u w:val="single"/>
          <w:lang w:val="en-US" w:eastAsia="zh-CN"/>
        </w:rPr>
        <w:t xml:space="preserve">                    </w:t>
      </w:r>
    </w:p>
    <w:p w14:paraId="3ACB96EF">
      <w:pPr>
        <w:adjustRightInd w:val="0"/>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监理人（全称）：</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sz w:val="24"/>
          <w:szCs w:val="24"/>
          <w:u w:val="single"/>
        </w:rPr>
        <w:t xml:space="preserve"> </w:t>
      </w:r>
    </w:p>
    <w:p w14:paraId="6594E49F">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》、《中华人民共和国建筑法》及其他有关法律、法规，遵循平等、自愿、公平和诚信的原则，双方就下述工程委托监理与相关服务事项协商一致，订立本合同。</w:t>
      </w:r>
    </w:p>
    <w:p w14:paraId="62A95BC3">
      <w:pPr>
        <w:adjustRightInd w:val="0"/>
        <w:snapToGrid w:val="0"/>
        <w:spacing w:line="360" w:lineRule="auto"/>
        <w:ind w:firstLine="482" w:firstLineChars="200"/>
        <w:outlineLvl w:val="0"/>
        <w:rPr>
          <w:rFonts w:hint="eastAsia" w:ascii="宋体" w:hAnsi="宋体" w:eastAsia="宋体" w:cs="宋体"/>
          <w:b/>
          <w:sz w:val="24"/>
          <w:szCs w:val="24"/>
        </w:rPr>
      </w:pPr>
      <w:bookmarkStart w:id="0" w:name="_Toc21822"/>
      <w:bookmarkStart w:id="1" w:name="_Toc15376"/>
      <w:r>
        <w:rPr>
          <w:rFonts w:hint="eastAsia" w:ascii="宋体" w:hAnsi="宋体" w:eastAsia="宋体" w:cs="宋体"/>
          <w:b/>
          <w:sz w:val="24"/>
          <w:szCs w:val="24"/>
        </w:rPr>
        <w:t>一、工程概况</w:t>
      </w:r>
      <w:bookmarkEnd w:id="0"/>
      <w:bookmarkEnd w:id="1"/>
    </w:p>
    <w:p w14:paraId="6CFDBE1C">
      <w:pPr>
        <w:pStyle w:val="4"/>
        <w:bidi w:val="0"/>
        <w:rPr>
          <w:rFonts w:hint="eastAsia" w:ascii="宋体" w:hAnsi="宋体" w:eastAsia="宋体" w:cs="宋体"/>
          <w:sz w:val="24"/>
          <w:szCs w:val="24"/>
        </w:rPr>
      </w:pPr>
      <w:r>
        <w:rPr>
          <w:rFonts w:hint="eastAsia" w:ascii="宋体" w:hAnsi="宋体" w:eastAsia="宋体" w:cs="宋体"/>
          <w:sz w:val="24"/>
          <w:szCs w:val="24"/>
        </w:rPr>
        <w:t>1. 工程名称：</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w:t>
      </w:r>
    </w:p>
    <w:p w14:paraId="45E65C78">
      <w:pPr>
        <w:pStyle w:val="4"/>
        <w:ind w:left="0" w:leftChars="0" w:firstLine="480" w:firstLineChars="200"/>
        <w:rPr>
          <w:rFonts w:hint="default" w:ascii="宋体" w:hAnsi="宋体" w:eastAsia="宋体" w:cs="宋体"/>
          <w:spacing w:val="0"/>
          <w:kern w:val="2"/>
          <w:sz w:val="24"/>
          <w:szCs w:val="24"/>
          <w:u w:val="single"/>
          <w:lang w:val="en-US" w:eastAsia="zh-CN" w:bidi="ar-SA"/>
        </w:rPr>
      </w:pPr>
      <w:r>
        <w:rPr>
          <w:rFonts w:hint="eastAsia" w:ascii="宋体" w:hAnsi="宋体" w:eastAsia="宋体" w:cs="宋体"/>
          <w:spacing w:val="0"/>
          <w:kern w:val="2"/>
          <w:sz w:val="24"/>
          <w:szCs w:val="24"/>
          <w:lang w:val="en-US" w:eastAsia="zh-CN" w:bidi="ar-SA"/>
        </w:rPr>
        <w:t>2. 标段名称：</w:t>
      </w:r>
      <w:r>
        <w:rPr>
          <w:rFonts w:hint="eastAsia" w:hAnsi="宋体" w:eastAsia="宋体" w:cs="宋体"/>
          <w:spacing w:val="0"/>
          <w:kern w:val="2"/>
          <w:sz w:val="24"/>
          <w:szCs w:val="24"/>
          <w:u w:val="single"/>
          <w:lang w:val="en-US" w:eastAsia="zh-CN" w:bidi="ar-SA"/>
        </w:rPr>
        <w:t xml:space="preserve">                                                      </w:t>
      </w:r>
      <w:r>
        <w:rPr>
          <w:rFonts w:hint="eastAsia" w:hAnsi="宋体" w:eastAsia="宋体" w:cs="宋体"/>
          <w:spacing w:val="0"/>
          <w:kern w:val="2"/>
          <w:sz w:val="24"/>
          <w:szCs w:val="24"/>
          <w:u w:val="none"/>
          <w:lang w:val="en-US" w:eastAsia="zh-CN" w:bidi="ar-SA"/>
        </w:rPr>
        <w:t>；</w:t>
      </w:r>
    </w:p>
    <w:p w14:paraId="113E23B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 工程地点：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A058A0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工程规模：</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74B007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 工程</w:t>
      </w:r>
      <w:r>
        <w:rPr>
          <w:rFonts w:hint="eastAsia" w:ascii="宋体" w:hAnsi="宋体" w:eastAsia="宋体" w:cs="宋体"/>
          <w:kern w:val="0"/>
          <w:sz w:val="24"/>
          <w:szCs w:val="24"/>
        </w:rPr>
        <w:t>概算投资额或建筑安装工程费</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6E6BB14">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二、词语限定</w:t>
      </w:r>
    </w:p>
    <w:p w14:paraId="6870C93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协议书中相关词语的含义与通用条件中的定义与解释相同。</w:t>
      </w:r>
    </w:p>
    <w:p w14:paraId="633A9974">
      <w:pPr>
        <w:adjustRightInd w:val="0"/>
        <w:snapToGrid w:val="0"/>
        <w:spacing w:line="360" w:lineRule="auto"/>
        <w:ind w:firstLine="482" w:firstLineChars="200"/>
        <w:outlineLvl w:val="0"/>
        <w:rPr>
          <w:rFonts w:hint="eastAsia" w:ascii="宋体" w:hAnsi="宋体" w:eastAsia="宋体" w:cs="宋体"/>
          <w:b/>
          <w:sz w:val="24"/>
          <w:szCs w:val="24"/>
        </w:rPr>
      </w:pPr>
      <w:bookmarkStart w:id="2" w:name="_Toc21059"/>
      <w:bookmarkStart w:id="3" w:name="_Toc6492"/>
      <w:r>
        <w:rPr>
          <w:rFonts w:hint="eastAsia" w:ascii="宋体" w:hAnsi="宋体" w:eastAsia="宋体" w:cs="宋体"/>
          <w:b/>
          <w:sz w:val="24"/>
          <w:szCs w:val="24"/>
        </w:rPr>
        <w:t>三、组成本合同的文件</w:t>
      </w:r>
      <w:bookmarkEnd w:id="2"/>
      <w:bookmarkEnd w:id="3"/>
    </w:p>
    <w:p w14:paraId="6883A36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协议书；</w:t>
      </w:r>
    </w:p>
    <w:p w14:paraId="4E67200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中标通知书（适用于招标工程）或委托书（适用于非招标工程）；</w:t>
      </w:r>
    </w:p>
    <w:p w14:paraId="01DBD5D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投标文件（适用于招标工程）或监理与相关服务建议书（适用于非招标工程）；</w:t>
      </w:r>
    </w:p>
    <w:p w14:paraId="6EBD91C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专用条件；</w:t>
      </w:r>
    </w:p>
    <w:p w14:paraId="665E14F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通用条件；</w:t>
      </w:r>
    </w:p>
    <w:p w14:paraId="3937EAD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附录，即：</w:t>
      </w:r>
    </w:p>
    <w:p w14:paraId="4F71C92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附录A  相关服务的范围和内容</w:t>
      </w:r>
    </w:p>
    <w:p w14:paraId="0BB9D41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附录B  委托人派遣的人员和提供的</w:t>
      </w:r>
      <w:r>
        <w:rPr>
          <w:rFonts w:hint="eastAsia" w:ascii="宋体" w:hAnsi="宋体" w:eastAsia="宋体" w:cs="宋体"/>
          <w:bCs/>
          <w:sz w:val="24"/>
          <w:szCs w:val="24"/>
        </w:rPr>
        <w:t>房屋、资料</w:t>
      </w:r>
      <w:r>
        <w:rPr>
          <w:rFonts w:hint="eastAsia" w:ascii="宋体" w:hAnsi="宋体" w:eastAsia="宋体" w:cs="宋体"/>
          <w:sz w:val="24"/>
          <w:szCs w:val="24"/>
        </w:rPr>
        <w:t>、设备</w:t>
      </w:r>
    </w:p>
    <w:p w14:paraId="0466D4C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本合同签订后，双方依法签订的补充协议也是本合同文件的组成部分。</w:t>
      </w:r>
    </w:p>
    <w:p w14:paraId="6198A602">
      <w:pPr>
        <w:adjustRightInd w:val="0"/>
        <w:snapToGrid w:val="0"/>
        <w:spacing w:line="360" w:lineRule="auto"/>
        <w:ind w:firstLine="482" w:firstLineChars="200"/>
        <w:outlineLvl w:val="0"/>
        <w:rPr>
          <w:rFonts w:hint="eastAsia" w:ascii="宋体" w:hAnsi="宋体" w:eastAsia="宋体" w:cs="宋体"/>
          <w:b/>
          <w:sz w:val="24"/>
          <w:szCs w:val="24"/>
        </w:rPr>
      </w:pPr>
      <w:bookmarkStart w:id="4" w:name="_Toc4955"/>
      <w:bookmarkStart w:id="5" w:name="_Toc23756"/>
      <w:r>
        <w:rPr>
          <w:rFonts w:hint="eastAsia" w:ascii="宋体" w:hAnsi="宋体" w:eastAsia="宋体" w:cs="宋体"/>
          <w:b/>
          <w:sz w:val="24"/>
          <w:szCs w:val="24"/>
        </w:rPr>
        <w:t>四、总监理工程师</w:t>
      </w:r>
      <w:bookmarkEnd w:id="4"/>
      <w:bookmarkEnd w:id="5"/>
    </w:p>
    <w:p w14:paraId="18C7DF6F">
      <w:pPr>
        <w:adjustRightInd w:val="0"/>
        <w:snapToGrid w:val="0"/>
        <w:spacing w:line="360" w:lineRule="auto"/>
        <w:ind w:firstLine="480" w:firstLineChars="200"/>
        <w:rPr>
          <w:rFonts w:hint="eastAsia" w:ascii="宋体" w:hAnsi="宋体" w:eastAsia="宋体" w:cs="宋体"/>
          <w:color w:val="auto"/>
          <w:kern w:val="0"/>
          <w:sz w:val="24"/>
          <w:szCs w:val="24"/>
          <w:u w:val="none"/>
        </w:rPr>
      </w:pPr>
      <w:r>
        <w:rPr>
          <w:rFonts w:hint="eastAsia" w:ascii="宋体" w:hAnsi="宋体" w:eastAsia="宋体" w:cs="宋体"/>
          <w:kern w:val="0"/>
          <w:sz w:val="24"/>
          <w:szCs w:val="24"/>
        </w:rPr>
        <w:t>总监理工程师姓名：</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，身份证号码：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，注册号：</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w:t>
      </w:r>
    </w:p>
    <w:p w14:paraId="4E50A7BA">
      <w:pPr>
        <w:adjustRightInd w:val="0"/>
        <w:snapToGrid w:val="0"/>
        <w:spacing w:line="360" w:lineRule="auto"/>
        <w:ind w:firstLine="482" w:firstLineChars="200"/>
        <w:outlineLvl w:val="0"/>
        <w:rPr>
          <w:rFonts w:hint="eastAsia" w:ascii="宋体" w:hAnsi="宋体" w:eastAsia="宋体" w:cs="宋体"/>
          <w:b/>
          <w:sz w:val="24"/>
          <w:szCs w:val="24"/>
        </w:rPr>
      </w:pPr>
      <w:bookmarkStart w:id="6" w:name="_Toc30929"/>
      <w:bookmarkStart w:id="7" w:name="_Toc30063"/>
      <w:r>
        <w:rPr>
          <w:rFonts w:hint="eastAsia" w:ascii="宋体" w:hAnsi="宋体" w:eastAsia="宋体" w:cs="宋体"/>
          <w:b/>
          <w:sz w:val="24"/>
          <w:szCs w:val="24"/>
        </w:rPr>
        <w:t>五、签约酬金</w:t>
      </w:r>
      <w:bookmarkEnd w:id="6"/>
      <w:bookmarkEnd w:id="7"/>
    </w:p>
    <w:p w14:paraId="64234F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签约酬金（大写）：</w:t>
      </w:r>
    </w:p>
    <w:p w14:paraId="72DB646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监理费率：按照该</w:t>
      </w:r>
      <w:r>
        <w:rPr>
          <w:rFonts w:hint="eastAsia" w:ascii="宋体" w:hAnsi="宋体" w:eastAsia="宋体" w:cs="宋体"/>
          <w:sz w:val="24"/>
          <w:szCs w:val="24"/>
          <w:highlight w:val="none"/>
          <w:lang w:eastAsia="zh-CN"/>
        </w:rPr>
        <w:t>工程总造价的</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计取监理费</w:t>
      </w:r>
      <w:r>
        <w:rPr>
          <w:rFonts w:hint="eastAsia" w:ascii="宋体" w:hAnsi="宋体" w:eastAsia="宋体" w:cs="宋体"/>
          <w:sz w:val="24"/>
          <w:szCs w:val="24"/>
        </w:rPr>
        <w:t>。</w:t>
      </w:r>
    </w:p>
    <w:p w14:paraId="4B475E9C">
      <w:pPr>
        <w:adjustRightInd w:val="0"/>
        <w:snapToGrid w:val="0"/>
        <w:spacing w:line="360" w:lineRule="auto"/>
        <w:ind w:firstLine="482" w:firstLineChars="200"/>
        <w:outlineLvl w:val="0"/>
        <w:rPr>
          <w:rFonts w:hint="eastAsia" w:ascii="宋体" w:hAnsi="宋体" w:eastAsia="宋体" w:cs="宋体"/>
          <w:b/>
          <w:sz w:val="24"/>
          <w:szCs w:val="24"/>
        </w:rPr>
      </w:pPr>
      <w:bookmarkStart w:id="8" w:name="_Toc3535"/>
      <w:bookmarkStart w:id="9" w:name="_Toc28855"/>
    </w:p>
    <w:p w14:paraId="6DBE49C0">
      <w:pPr>
        <w:adjustRightInd w:val="0"/>
        <w:snapToGrid w:val="0"/>
        <w:spacing w:line="360" w:lineRule="auto"/>
        <w:ind w:firstLine="482" w:firstLineChars="200"/>
        <w:outlineLvl w:val="0"/>
        <w:rPr>
          <w:rFonts w:hint="eastAsia" w:ascii="宋体" w:hAnsi="宋体" w:eastAsia="宋体" w:cs="宋体"/>
          <w:b/>
          <w:sz w:val="24"/>
          <w:szCs w:val="24"/>
        </w:rPr>
      </w:pPr>
      <w:r>
        <w:rPr>
          <w:rFonts w:hint="eastAsia" w:ascii="宋体" w:hAnsi="宋体" w:eastAsia="宋体" w:cs="宋体"/>
          <w:b/>
          <w:sz w:val="24"/>
          <w:szCs w:val="24"/>
        </w:rPr>
        <w:t>六、期限</w:t>
      </w:r>
      <w:bookmarkEnd w:id="8"/>
      <w:bookmarkEnd w:id="9"/>
    </w:p>
    <w:p w14:paraId="0DBB8E1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 xml:space="preserve">1. </w:t>
      </w:r>
      <w:r>
        <w:rPr>
          <w:rFonts w:hint="eastAsia" w:ascii="宋体" w:hAnsi="宋体" w:eastAsia="宋体" w:cs="宋体"/>
          <w:sz w:val="24"/>
          <w:szCs w:val="24"/>
        </w:rPr>
        <w:t>监理期限：</w:t>
      </w:r>
    </w:p>
    <w:p w14:paraId="0C28565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自</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日始，至</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日止。</w:t>
      </w:r>
    </w:p>
    <w:p w14:paraId="68718B7E">
      <w:pPr>
        <w:adjustRightInd w:val="0"/>
        <w:snapToGrid w:val="0"/>
        <w:spacing w:line="360" w:lineRule="auto"/>
        <w:ind w:firstLine="482" w:firstLineChars="200"/>
        <w:outlineLvl w:val="0"/>
        <w:rPr>
          <w:rFonts w:hint="eastAsia" w:ascii="宋体" w:hAnsi="宋体" w:eastAsia="宋体" w:cs="宋体"/>
          <w:b/>
          <w:sz w:val="24"/>
          <w:szCs w:val="24"/>
        </w:rPr>
      </w:pPr>
      <w:bookmarkStart w:id="10" w:name="_Toc15562"/>
      <w:bookmarkStart w:id="11" w:name="_Toc26704"/>
      <w:r>
        <w:rPr>
          <w:rFonts w:hint="eastAsia" w:ascii="宋体" w:hAnsi="宋体" w:eastAsia="宋体" w:cs="宋体"/>
          <w:b/>
          <w:sz w:val="24"/>
          <w:szCs w:val="24"/>
        </w:rPr>
        <w:t>七、双方承诺</w:t>
      </w:r>
      <w:bookmarkEnd w:id="10"/>
      <w:bookmarkEnd w:id="11"/>
    </w:p>
    <w:p w14:paraId="5D5BC7D5">
      <w:pPr>
        <w:adjustRightInd w:val="0"/>
        <w:snapToGrid w:val="0"/>
        <w:spacing w:line="360" w:lineRule="auto"/>
        <w:ind w:firstLine="480" w:firstLineChars="200"/>
        <w:outlineLvl w:val="0"/>
        <w:rPr>
          <w:rFonts w:hint="eastAsia" w:ascii="宋体" w:hAnsi="宋体" w:eastAsia="宋体" w:cs="宋体"/>
          <w:b/>
          <w:sz w:val="24"/>
          <w:szCs w:val="24"/>
        </w:rPr>
      </w:pPr>
      <w:bookmarkStart w:id="12" w:name="_Toc23063"/>
      <w:bookmarkStart w:id="13" w:name="_Toc27573"/>
      <w:r>
        <w:rPr>
          <w:rFonts w:hint="eastAsia" w:ascii="宋体" w:hAnsi="宋体" w:eastAsia="宋体" w:cs="宋体"/>
          <w:sz w:val="24"/>
          <w:szCs w:val="24"/>
        </w:rPr>
        <w:t>1. 监理人向委托人承诺，按照本合同约定</w:t>
      </w:r>
      <w:r>
        <w:rPr>
          <w:rFonts w:hint="eastAsia" w:ascii="宋体" w:hAnsi="宋体" w:eastAsia="宋体" w:cs="宋体"/>
          <w:kern w:val="0"/>
          <w:sz w:val="24"/>
          <w:szCs w:val="24"/>
        </w:rPr>
        <w:t>提供</w:t>
      </w:r>
      <w:r>
        <w:rPr>
          <w:rFonts w:hint="eastAsia" w:ascii="宋体" w:hAnsi="宋体" w:eastAsia="宋体" w:cs="宋体"/>
          <w:sz w:val="24"/>
          <w:szCs w:val="24"/>
        </w:rPr>
        <w:t>监理与相关服务。</w:t>
      </w:r>
      <w:bookmarkEnd w:id="12"/>
      <w:bookmarkEnd w:id="13"/>
    </w:p>
    <w:p w14:paraId="008232D2">
      <w:pPr>
        <w:adjustRightInd w:val="0"/>
        <w:snapToGrid w:val="0"/>
        <w:spacing w:line="360" w:lineRule="auto"/>
        <w:ind w:firstLine="480" w:firstLineChars="200"/>
        <w:outlineLvl w:val="0"/>
        <w:rPr>
          <w:rFonts w:hint="eastAsia" w:ascii="宋体" w:hAnsi="宋体" w:eastAsia="宋体" w:cs="宋体"/>
          <w:sz w:val="24"/>
          <w:szCs w:val="24"/>
        </w:rPr>
      </w:pPr>
      <w:bookmarkStart w:id="14" w:name="_Toc32459"/>
      <w:bookmarkStart w:id="15" w:name="_Toc22467"/>
      <w:r>
        <w:rPr>
          <w:rFonts w:hint="eastAsia" w:ascii="宋体" w:hAnsi="宋体" w:eastAsia="宋体" w:cs="宋体"/>
          <w:sz w:val="24"/>
          <w:szCs w:val="24"/>
        </w:rPr>
        <w:t>2. 委托人向监理人承诺，按本合同约定支付酬金。</w:t>
      </w:r>
      <w:bookmarkEnd w:id="14"/>
      <w:bookmarkEnd w:id="15"/>
    </w:p>
    <w:p w14:paraId="08F6C43F">
      <w:pPr>
        <w:adjustRightInd w:val="0"/>
        <w:snapToGrid w:val="0"/>
        <w:spacing w:line="360" w:lineRule="auto"/>
        <w:ind w:firstLine="482" w:firstLineChars="200"/>
        <w:outlineLvl w:val="0"/>
        <w:rPr>
          <w:rFonts w:hint="eastAsia" w:ascii="宋体" w:hAnsi="宋体" w:eastAsia="宋体" w:cs="宋体"/>
          <w:b/>
          <w:sz w:val="24"/>
          <w:szCs w:val="24"/>
        </w:rPr>
      </w:pPr>
      <w:bookmarkStart w:id="16" w:name="_Toc4008"/>
      <w:bookmarkStart w:id="17" w:name="_Toc11193"/>
      <w:r>
        <w:rPr>
          <w:rFonts w:hint="eastAsia" w:ascii="宋体" w:hAnsi="宋体" w:eastAsia="宋体" w:cs="宋体"/>
          <w:b/>
          <w:sz w:val="24"/>
          <w:szCs w:val="24"/>
        </w:rPr>
        <w:t>八、合同订立</w:t>
      </w:r>
      <w:bookmarkEnd w:id="16"/>
      <w:bookmarkEnd w:id="17"/>
    </w:p>
    <w:p w14:paraId="45DD9DC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7E9605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149DAB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陆</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叁</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14:paraId="47AD0700">
      <w:pPr>
        <w:adjustRightInd w:val="0"/>
        <w:snapToGrid w:val="0"/>
        <w:spacing w:line="360" w:lineRule="auto"/>
        <w:ind w:firstLine="480" w:firstLineChars="200"/>
        <w:rPr>
          <w:rFonts w:hint="eastAsia" w:ascii="宋体" w:hAnsi="宋体" w:eastAsia="宋体" w:cs="宋体"/>
          <w:sz w:val="24"/>
          <w:szCs w:val="24"/>
        </w:rPr>
      </w:pPr>
    </w:p>
    <w:p w14:paraId="66717EB6">
      <w:pPr>
        <w:adjustRightInd w:val="0"/>
        <w:snapToGrid w:val="0"/>
        <w:spacing w:line="360" w:lineRule="auto"/>
        <w:ind w:firstLine="480" w:firstLineChars="200"/>
        <w:rPr>
          <w:rFonts w:hint="eastAsia" w:ascii="宋体" w:hAnsi="宋体" w:eastAsia="宋体" w:cs="宋体"/>
          <w:sz w:val="24"/>
          <w:szCs w:val="24"/>
        </w:rPr>
      </w:pPr>
    </w:p>
    <w:p w14:paraId="56800C6E">
      <w:pPr>
        <w:adjustRightInd w:val="0"/>
        <w:snapToGrid w:val="0"/>
        <w:spacing w:line="360" w:lineRule="auto"/>
        <w:ind w:firstLine="480" w:firstLineChars="200"/>
        <w:rPr>
          <w:rFonts w:hint="eastAsia" w:ascii="宋体" w:hAnsi="宋体" w:eastAsia="宋体" w:cs="宋体"/>
          <w:sz w:val="24"/>
          <w:szCs w:val="24"/>
        </w:rPr>
      </w:pPr>
    </w:p>
    <w:p w14:paraId="56ADFE70">
      <w:pPr>
        <w:keepNext w:val="0"/>
        <w:keepLines w:val="0"/>
        <w:pageBreakBefore w:val="0"/>
        <w:widowControl w:val="0"/>
        <w:kinsoku/>
        <w:wordWrap/>
        <w:overflowPunct/>
        <w:topLinePunct w:val="0"/>
        <w:autoSpaceDE/>
        <w:autoSpaceDN/>
        <w:bidi w:val="0"/>
        <w:adjustRightInd w:val="0"/>
        <w:snapToGrid w:val="0"/>
        <w:spacing w:line="480" w:lineRule="auto"/>
        <w:ind w:left="5999" w:leftChars="228" w:hanging="5520" w:hangingChars="2300"/>
        <w:textAlignment w:val="auto"/>
        <w:rPr>
          <w:rFonts w:hint="eastAsia" w:ascii="宋体" w:hAnsi="宋体" w:eastAsia="宋体" w:cs="宋体"/>
          <w:sz w:val="24"/>
          <w:szCs w:val="24"/>
        </w:rPr>
      </w:pPr>
      <w:r>
        <w:rPr>
          <w:rFonts w:hint="eastAsia" w:ascii="宋体" w:hAnsi="宋体" w:eastAsia="宋体" w:cs="宋体"/>
          <w:sz w:val="24"/>
          <w:szCs w:val="24"/>
        </w:rPr>
        <w:t>委托人：</w:t>
      </w:r>
      <w:r>
        <w:rPr>
          <w:rFonts w:hint="eastAsia" w:ascii="宋体" w:hAnsi="宋体" w:eastAsia="宋体" w:cs="宋体"/>
          <w:sz w:val="24"/>
          <w:szCs w:val="24"/>
          <w:u w:val="single"/>
        </w:rPr>
        <w:t xml:space="preserve">   （盖章）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监理人：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（盖章）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9586DB9">
      <w:pPr>
        <w:keepNext w:val="0"/>
        <w:keepLines w:val="0"/>
        <w:pageBreakBefore w:val="0"/>
        <w:widowControl w:val="0"/>
        <w:kinsoku/>
        <w:wordWrap/>
        <w:overflowPunct/>
        <w:topLinePunct w:val="0"/>
        <w:autoSpaceDE/>
        <w:autoSpaceDN/>
        <w:bidi w:val="0"/>
        <w:adjustRightInd w:val="0"/>
        <w:snapToGrid w:val="0"/>
        <w:spacing w:line="480" w:lineRule="auto"/>
        <w:ind w:left="5519" w:leftChars="228" w:hanging="5040" w:hangingChars="21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 xml:space="preserve">住所：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住所：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2E17DB18">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359D2E1">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法定代表人或其授权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法定代表人或其授权</w:t>
      </w:r>
    </w:p>
    <w:p w14:paraId="344F1056">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的代理人：</w:t>
      </w:r>
      <w:r>
        <w:rPr>
          <w:rFonts w:hint="eastAsia" w:ascii="宋体" w:hAnsi="宋体" w:eastAsia="宋体" w:cs="宋体"/>
          <w:color w:val="auto"/>
          <w:sz w:val="24"/>
          <w:szCs w:val="24"/>
          <w:u w:val="single"/>
        </w:rPr>
        <w:t xml:space="preserve">（盖章）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的代理人：</w:t>
      </w:r>
      <w:r>
        <w:rPr>
          <w:rFonts w:hint="eastAsia" w:ascii="宋体" w:hAnsi="宋体" w:eastAsia="宋体" w:cs="宋体"/>
          <w:color w:val="auto"/>
          <w:sz w:val="24"/>
          <w:szCs w:val="24"/>
          <w:u w:val="single"/>
        </w:rPr>
        <w:t xml:space="preserve">（盖章）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D0C3D93">
      <w:pPr>
        <w:keepNext w:val="0"/>
        <w:keepLines w:val="0"/>
        <w:pageBreakBefore w:val="0"/>
        <w:widowControl w:val="0"/>
        <w:kinsoku/>
        <w:wordWrap/>
        <w:overflowPunct/>
        <w:topLinePunct w:val="0"/>
        <w:autoSpaceDE/>
        <w:autoSpaceDN/>
        <w:bidi w:val="0"/>
        <w:adjustRightInd w:val="0"/>
        <w:snapToGrid w:val="0"/>
        <w:spacing w:line="480" w:lineRule="auto"/>
        <w:ind w:left="5999" w:leftChars="228" w:hanging="5520" w:hangingChars="23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7CDF88DE">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rPr>
        <w:t>账号：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账号：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 xml:space="preserve"> </w:t>
      </w:r>
    </w:p>
    <w:p w14:paraId="2F5A3571">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3E9C8A38">
      <w:pPr>
        <w:tabs>
          <w:tab w:val="left" w:pos="3120"/>
        </w:tabs>
        <w:spacing w:line="360" w:lineRule="auto"/>
        <w:jc w:val="center"/>
        <w:rPr>
          <w:rFonts w:hint="eastAsia" w:ascii="宋体" w:hAnsi="宋体" w:eastAsia="宋体" w:cs="宋体"/>
          <w:b/>
          <w:bCs/>
          <w:color w:val="auto"/>
          <w:sz w:val="24"/>
          <w:szCs w:val="24"/>
        </w:rPr>
      </w:pPr>
    </w:p>
    <w:p w14:paraId="2FADC28C">
      <w:pPr>
        <w:tabs>
          <w:tab w:val="left" w:pos="3120"/>
        </w:tabs>
        <w:adjustRightInd w:val="0"/>
        <w:snapToGrid w:val="0"/>
        <w:spacing w:line="360" w:lineRule="auto"/>
        <w:jc w:val="center"/>
        <w:rPr>
          <w:rFonts w:hint="eastAsia" w:ascii="宋体" w:hAnsi="宋体" w:eastAsia="宋体" w:cs="宋体"/>
          <w:b/>
          <w:bCs/>
          <w:sz w:val="30"/>
          <w:szCs w:val="30"/>
        </w:rPr>
      </w:pPr>
    </w:p>
    <w:p w14:paraId="224C73F2">
      <w:pPr>
        <w:tabs>
          <w:tab w:val="left" w:pos="3120"/>
        </w:tabs>
        <w:adjustRightInd w:val="0"/>
        <w:snapToGrid w:val="0"/>
        <w:spacing w:line="360" w:lineRule="auto"/>
        <w:jc w:val="center"/>
        <w:rPr>
          <w:rFonts w:hint="eastAsia" w:ascii="宋体" w:hAnsi="宋体" w:eastAsia="宋体" w:cs="宋体"/>
          <w:b/>
          <w:bCs/>
          <w:sz w:val="30"/>
          <w:szCs w:val="30"/>
        </w:rPr>
      </w:pPr>
    </w:p>
    <w:p w14:paraId="236181D2">
      <w:pPr>
        <w:tabs>
          <w:tab w:val="left" w:pos="3120"/>
        </w:tabs>
        <w:adjustRightInd w:val="0"/>
        <w:snapToGrid w:val="0"/>
        <w:spacing w:line="360" w:lineRule="auto"/>
        <w:jc w:val="center"/>
        <w:rPr>
          <w:rFonts w:hint="eastAsia" w:ascii="宋体" w:hAnsi="宋体" w:eastAsia="宋体" w:cs="宋体"/>
          <w:b/>
          <w:bCs/>
          <w:sz w:val="36"/>
          <w:szCs w:val="36"/>
        </w:rPr>
      </w:pPr>
    </w:p>
    <w:p w14:paraId="33BC014C">
      <w:pPr>
        <w:tabs>
          <w:tab w:val="left" w:pos="3120"/>
        </w:tabs>
        <w:adjustRightInd w:val="0"/>
        <w:snapToGrid w:val="0"/>
        <w:spacing w:line="360" w:lineRule="auto"/>
        <w:jc w:val="both"/>
        <w:rPr>
          <w:rFonts w:hint="eastAsia" w:ascii="宋体" w:hAnsi="宋体" w:eastAsia="宋体" w:cs="宋体"/>
          <w:b/>
          <w:bCs/>
          <w:sz w:val="36"/>
          <w:szCs w:val="36"/>
        </w:rPr>
      </w:pPr>
      <w:bookmarkStart w:id="25" w:name="_GoBack"/>
      <w:bookmarkEnd w:id="25"/>
    </w:p>
    <w:p w14:paraId="150931DE">
      <w:pPr>
        <w:tabs>
          <w:tab w:val="left" w:pos="3120"/>
        </w:tabs>
        <w:adjustRightInd w:val="0"/>
        <w:snapToGrid w:val="0"/>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第二部分  通用条件</w:t>
      </w:r>
    </w:p>
    <w:p w14:paraId="6C77D2CB">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 定义与解释</w:t>
      </w:r>
    </w:p>
    <w:p w14:paraId="7AF98079">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1.1 </w:t>
      </w:r>
      <w:r>
        <w:rPr>
          <w:rFonts w:hint="eastAsia" w:ascii="宋体" w:hAnsi="宋体" w:eastAsia="宋体" w:cs="宋体"/>
          <w:bCs/>
          <w:sz w:val="24"/>
          <w:szCs w:val="24"/>
        </w:rPr>
        <w:t>定义</w:t>
      </w:r>
    </w:p>
    <w:p w14:paraId="566EDFE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除根据上下文另有其意义外，组成本合同的全部文件中的下列名词和用语应具有本款所赋予的含义：</w:t>
      </w:r>
    </w:p>
    <w:p w14:paraId="3DC13E9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“工程”是指按照本合同约定实施监理与相关服务的建设工程。</w:t>
      </w:r>
    </w:p>
    <w:p w14:paraId="258A0ED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“委托人”是指本合同中委托监理与相关服务的一方，及其合法的继承人或受让人。</w:t>
      </w:r>
    </w:p>
    <w:p w14:paraId="45FBAB1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“监理人”是指本合同中提供监理与相关服务的一方，及其合法的继承人。</w:t>
      </w:r>
    </w:p>
    <w:p w14:paraId="6E3D936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 “承包人”是指在工程范围内与委托人签订勘察、设计、施工等有关合同的当事人，及其合法的继承人。</w:t>
      </w:r>
    </w:p>
    <w:p w14:paraId="72014A33">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0F06DE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1.1.6 “相关服务”是指监理人受委托人的委托 ，按照本合同约定，在勘察、设计、保修等阶段提供的服务活动。</w:t>
      </w:r>
    </w:p>
    <w:p w14:paraId="1226E9E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1.1.7 “正常工作”指本合同订立时通用条件和专用条件中约定的监理人的</w:t>
      </w:r>
      <w:r>
        <w:rPr>
          <w:rFonts w:hint="eastAsia" w:ascii="宋体" w:hAnsi="宋体" w:eastAsia="宋体" w:cs="宋体"/>
          <w:color w:val="000000"/>
          <w:sz w:val="24"/>
          <w:szCs w:val="24"/>
        </w:rPr>
        <w:t>工作</w:t>
      </w:r>
      <w:r>
        <w:rPr>
          <w:rFonts w:hint="eastAsia" w:ascii="宋体" w:hAnsi="宋体" w:eastAsia="宋体" w:cs="宋体"/>
          <w:sz w:val="24"/>
          <w:szCs w:val="24"/>
        </w:rPr>
        <w:t>。</w:t>
      </w:r>
    </w:p>
    <w:p w14:paraId="5E69A38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1.1.8 “附加工作”是指本合同约定的正常工作以外监理人的工作。</w:t>
      </w:r>
    </w:p>
    <w:p w14:paraId="67CF0D5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1.1.9 “项目监理机构”是指监理人派驻工程负责履行本合同的组织机构。</w:t>
      </w:r>
    </w:p>
    <w:p w14:paraId="55D7F59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1.1.10 “总监理工程师”是指由监理人的法定代表人书面授权，全面负责履行本合同、主持项目监理机构工作的注册监理工程师。</w:t>
      </w:r>
    </w:p>
    <w:p w14:paraId="63F0593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1.1.11 “酬金”是指监理人履行本合同义务，委托人按照本合同约定给付监理人的金额。</w:t>
      </w:r>
    </w:p>
    <w:p w14:paraId="71A6440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1.1.12 “正常工作</w:t>
      </w:r>
      <w:r>
        <w:rPr>
          <w:rFonts w:hint="eastAsia" w:ascii="宋体" w:hAnsi="宋体" w:eastAsia="宋体" w:cs="宋体"/>
          <w:kern w:val="0"/>
          <w:sz w:val="24"/>
          <w:szCs w:val="24"/>
        </w:rPr>
        <w:t>酬金”</w:t>
      </w:r>
      <w:r>
        <w:rPr>
          <w:rFonts w:hint="eastAsia" w:ascii="宋体" w:hAnsi="宋体" w:eastAsia="宋体" w:cs="宋体"/>
          <w:sz w:val="24"/>
          <w:szCs w:val="24"/>
        </w:rPr>
        <w:t>是指监理人完成正常工作，委托人应给付监理人并在协议书中载明的签约</w:t>
      </w:r>
      <w:r>
        <w:rPr>
          <w:rFonts w:hint="eastAsia" w:ascii="宋体" w:hAnsi="宋体" w:eastAsia="宋体" w:cs="宋体"/>
          <w:kern w:val="0"/>
          <w:sz w:val="24"/>
          <w:szCs w:val="24"/>
        </w:rPr>
        <w:t>酬金额</w:t>
      </w:r>
      <w:r>
        <w:rPr>
          <w:rFonts w:hint="eastAsia" w:ascii="宋体" w:hAnsi="宋体" w:eastAsia="宋体" w:cs="宋体"/>
          <w:sz w:val="24"/>
          <w:szCs w:val="24"/>
        </w:rPr>
        <w:t>。</w:t>
      </w:r>
    </w:p>
    <w:p w14:paraId="6453677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1.1.13 “附加工作酬金”是指监理人完成附加工作，委托人应给付监理人的金额。</w:t>
      </w:r>
    </w:p>
    <w:p w14:paraId="679E55E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1.1.14 “一方”是指委托人或监理人；“双方”是指委托人和监理人；“第三方”是指除委托人和监理人以外的有关方。</w:t>
      </w:r>
    </w:p>
    <w:p w14:paraId="3744E58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1.1.15 “书面形式”是指合同书、信件和数据电文（包括电报、电传、传真、电子数据交换和电子邮件）等可以有形地表现所载内容的形式。</w:t>
      </w:r>
    </w:p>
    <w:p w14:paraId="422D3BA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1.1.16 “天”是指第一天零时至第二天零时的时间。</w:t>
      </w:r>
    </w:p>
    <w:p w14:paraId="48343B9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1.1.17“月”是指按公历从一个月中任何一天开始的一个公历月时间。</w:t>
      </w:r>
    </w:p>
    <w:p w14:paraId="5ED1DA5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75591B3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 xml:space="preserve">1.2 </w:t>
      </w:r>
      <w:r>
        <w:rPr>
          <w:rFonts w:hint="eastAsia" w:ascii="宋体" w:hAnsi="宋体" w:eastAsia="宋体" w:cs="宋体"/>
          <w:sz w:val="24"/>
          <w:szCs w:val="24"/>
        </w:rPr>
        <w:t>解释</w:t>
      </w:r>
    </w:p>
    <w:p w14:paraId="3A729B0B">
      <w:pPr>
        <w:tabs>
          <w:tab w:val="left" w:pos="6140"/>
        </w:tabs>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1.2.1本合同使用中文书写、解释和说明。如专用条件约定使用两种及以上语言文字时，应以中文为准。</w:t>
      </w:r>
    </w:p>
    <w:p w14:paraId="76128782">
      <w:pPr>
        <w:tabs>
          <w:tab w:val="left" w:pos="6140"/>
        </w:tabs>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组成本合同的下列文件彼此应能相互解释、互为说明。除专用条件另有约定外，本合同文件的解释顺序如下：</w:t>
      </w:r>
    </w:p>
    <w:p w14:paraId="07C7688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（1）协议书；</w:t>
      </w:r>
    </w:p>
    <w:p w14:paraId="3FC4E1D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（2）中标通知书（适用于招标工程）或委托书（适用于非招标工程）；</w:t>
      </w:r>
    </w:p>
    <w:p w14:paraId="3F25AA4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（3）专用条件及附录A、附录B；</w:t>
      </w:r>
    </w:p>
    <w:p w14:paraId="6C5A016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（4）通用条件；</w:t>
      </w:r>
    </w:p>
    <w:p w14:paraId="56EF036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（5）投标文件（适用于招标工程）或监理与相关服务建议书（适用于非招标工程）。</w:t>
      </w:r>
    </w:p>
    <w:p w14:paraId="6FEAC0C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双方签订的补充协议与其他文件发生矛盾或歧义时，属于同一类内容的文件，应以最新签署的为准。</w:t>
      </w:r>
    </w:p>
    <w:p w14:paraId="2B88C570">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 监理人的义务</w:t>
      </w:r>
    </w:p>
    <w:p w14:paraId="6485221A">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2.1 监理的范围和工作内容</w:t>
      </w:r>
    </w:p>
    <w:p w14:paraId="6179421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监理范围在专用条件中约定。</w:t>
      </w:r>
    </w:p>
    <w:p w14:paraId="6D1A3E8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 除专用条件另有约定外，监理工作内容包括：</w:t>
      </w:r>
    </w:p>
    <w:p w14:paraId="54827F3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（1）收到工程设计文件后编制监理规划，并在第一次工地会议7天前报委托人。根据有关规定和监理工作需要，编制监理实施细则；</w:t>
      </w:r>
    </w:p>
    <w:p w14:paraId="797150B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（2）熟悉工程设计文件，并参加由委托人主持的图纸会审和设计交底会议；</w:t>
      </w:r>
    </w:p>
    <w:p w14:paraId="7F69D48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（3）参加由委托人主持的第一次工地会议；主持监理例会并根据工程需要主持或参加专题会议；</w:t>
      </w:r>
    </w:p>
    <w:p w14:paraId="4010983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（4）审查施工承包人提交的施工组织设计，重点审查其中的质量安全技术措施、专项施工方案与工程建设强制性标准的符合性；</w:t>
      </w:r>
    </w:p>
    <w:p w14:paraId="1B7328F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（5）检查施工承包人工程质量、安全生产管理制度及组织机构和人员资格； </w:t>
      </w:r>
    </w:p>
    <w:p w14:paraId="4F1CEAD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（6）检查施工承包人专职安全生产管理人员的配备情况；</w:t>
      </w:r>
    </w:p>
    <w:p w14:paraId="6793462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（7）审查施工承包人提交的施工进度计划，核查承包人对施工进度计划的调整；</w:t>
      </w:r>
    </w:p>
    <w:p w14:paraId="2E31AC5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（8）检查施工承包人的试验室；</w:t>
      </w:r>
    </w:p>
    <w:p w14:paraId="6324867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（9）审核施工分包人资质条件；</w:t>
      </w:r>
    </w:p>
    <w:p w14:paraId="1835458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（10）查验施工承包人的施工测量放线成果；</w:t>
      </w:r>
    </w:p>
    <w:p w14:paraId="3325F3C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（11）审查工程开工条件，对条件具备的签发开工令；</w:t>
      </w:r>
    </w:p>
    <w:p w14:paraId="5BC32ED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（12）审查施工承包人报送的工程材料、构配件、设备质量证明文件的有效性和符合性，并按规定对用于工程的材料采取平行检验或见证取样方式进行抽检；</w:t>
      </w:r>
    </w:p>
    <w:p w14:paraId="78CAA09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（13）审核施工承包人提交的工程款支付申请，签发或出具工程款支付证书，并报委托人审核、批准；</w:t>
      </w:r>
    </w:p>
    <w:p w14:paraId="353BD23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（14）在巡视、旁站和检验过程中，发现工程质量、施工安全存在事故隐患的，要求施工承包人整改并报委托人；</w:t>
      </w:r>
    </w:p>
    <w:p w14:paraId="5092C5B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（15）经委托人同意，签发工程暂停令和复工令；</w:t>
      </w:r>
    </w:p>
    <w:p w14:paraId="5AE671B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（16）审查施工承包人提交的采用新材料、新工艺、新技术、新设备的论证材料及相关验收标准；</w:t>
      </w:r>
    </w:p>
    <w:p w14:paraId="632AAA8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（17）验收隐蔽工程、分部分项工程；</w:t>
      </w:r>
    </w:p>
    <w:p w14:paraId="3C5911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（18）审查施工承包人提交的工程变更申请，协调处理施工进度调整、费用索赔、合同争议等事项；</w:t>
      </w:r>
    </w:p>
    <w:p w14:paraId="415D00B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（19）审查施工承包人提交的竣工验收申请，编写工程质量评估报告；</w:t>
      </w:r>
    </w:p>
    <w:p w14:paraId="422A0D6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（20）参加工程竣工验收，签署竣工验收意见；</w:t>
      </w:r>
    </w:p>
    <w:p w14:paraId="22129E4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（21）审查施工承包人提交的竣工结算申请并报委托人；</w:t>
      </w:r>
    </w:p>
    <w:p w14:paraId="5F26243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（22）编制、整理工程监理归档文件并报委托人。</w:t>
      </w:r>
    </w:p>
    <w:p w14:paraId="1C7BAB8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 相关服务的范围和内容在附录A中约定。</w:t>
      </w:r>
    </w:p>
    <w:p w14:paraId="3AE7AA0C">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2.2 </w:t>
      </w:r>
      <w:r>
        <w:rPr>
          <w:rFonts w:hint="eastAsia" w:ascii="宋体" w:hAnsi="宋体" w:eastAsia="宋体" w:cs="宋体"/>
          <w:bCs/>
          <w:sz w:val="24"/>
          <w:szCs w:val="24"/>
        </w:rPr>
        <w:t>监理与相关服务依据</w:t>
      </w:r>
    </w:p>
    <w:p w14:paraId="4DA6CE9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 监理依据包括：</w:t>
      </w:r>
    </w:p>
    <w:p w14:paraId="40FCFA9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（1）适用的法律、行政法规及部门规章；</w:t>
      </w:r>
    </w:p>
    <w:p w14:paraId="3A35033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（2）与工程有关的标准；</w:t>
      </w:r>
    </w:p>
    <w:p w14:paraId="2AC6001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（3）工程设计及有关文件；</w:t>
      </w:r>
    </w:p>
    <w:p w14:paraId="3DB4E87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（4）本合同及委托人与第三方签订的与实施工程有关的其他合同。</w:t>
      </w:r>
    </w:p>
    <w:p w14:paraId="3DB0FCEB">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双方根据工程的行业和地域特点，在专用条件中具体约定监理依据。</w:t>
      </w:r>
    </w:p>
    <w:p w14:paraId="09CD365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 相关服务依据在专用条件中约定。</w:t>
      </w:r>
    </w:p>
    <w:p w14:paraId="35E1F5D9">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 项目监理机构和人员</w:t>
      </w:r>
    </w:p>
    <w:p w14:paraId="622487F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2.3.1 监理人应组建满足工作需要的项目监理机构，配备必要的检测设备。项目监理机构的主要人员应具有相应的资格条件。</w:t>
      </w:r>
    </w:p>
    <w:p w14:paraId="04AB106F">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2.3.2本合同履行过程中，总监理工程师及重要岗位监理人员应保持相对稳定，以保证监理工作正常进行。</w:t>
      </w:r>
    </w:p>
    <w:p w14:paraId="2DDFCC78">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7AFE1B05">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2.3.4 监理人应及时更换有下列情形之一的监理人员：</w:t>
      </w:r>
    </w:p>
    <w:p w14:paraId="03117A12">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（1）严重过失行为的；</w:t>
      </w:r>
    </w:p>
    <w:p w14:paraId="6CC7A97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（2）有违法行为不能履行职责的；</w:t>
      </w:r>
    </w:p>
    <w:p w14:paraId="212E6223">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（3）涉嫌犯罪的；</w:t>
      </w:r>
    </w:p>
    <w:p w14:paraId="075419F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（4）不能胜任岗位职责的；</w:t>
      </w:r>
    </w:p>
    <w:p w14:paraId="024A7F49">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（5）严重违反职业道德的；</w:t>
      </w:r>
    </w:p>
    <w:p w14:paraId="1FD3B0A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（6）专用条件约定的其他情形。</w:t>
      </w:r>
    </w:p>
    <w:p w14:paraId="0752E0F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2.3.5 委托人可要求监理人更换不能胜任本职工作的项目监理机构人员。</w:t>
      </w:r>
    </w:p>
    <w:p w14:paraId="2AF8578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 履行职责</w:t>
      </w:r>
    </w:p>
    <w:p w14:paraId="646E068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监理人应遵循职业道德准则和行为规范，严格按照法律法规、工程建设有关标准及本合同履行职责。</w:t>
      </w:r>
    </w:p>
    <w:p w14:paraId="2C9F05E4">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2.4.1 在监理与相关服务范围内，委托人和承包人提出的意见和要求，监理人应及时提出处置意见。当委托人与承包人之间发生合同争议时，监理人应协助委托人、承包人协商解决。</w:t>
      </w:r>
    </w:p>
    <w:p w14:paraId="0B8E669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2.4.2 当委托人与承包人之间的合同争议提交仲裁机构仲裁或人民法院审理时，监理人应提供必要的证明资料。</w:t>
      </w:r>
    </w:p>
    <w:p w14:paraId="35CD7D08">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2.4.3 监理人应在专用条件约定的授权范围内，处理委托人与承包人所签订合同的变更事宜。如果变更超过授权范围，应以书面形式报委托人批准。</w:t>
      </w:r>
    </w:p>
    <w:p w14:paraId="40A7FE33">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在紧急情况下，为了保护财产和人身安全，监理人所发出的指令未能事先报委托人批准时，应在发出指令后的24小时内以书面形式报委托人。</w:t>
      </w:r>
    </w:p>
    <w:p w14:paraId="044AB93A">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2.4.4 除专用条件另有约定外，监理人发现承包人的人员不能胜任本职工作的，有权要求承包人予以调换。</w:t>
      </w:r>
    </w:p>
    <w:p w14:paraId="2DABC96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2.5 提交报告</w:t>
      </w:r>
    </w:p>
    <w:p w14:paraId="20DDC7B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监理人应按专用条件约定的种类、时间和份数向委托人提交监理与相关服务的报告。</w:t>
      </w:r>
    </w:p>
    <w:p w14:paraId="1DE754A5">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2.6 文件资料</w:t>
      </w:r>
    </w:p>
    <w:p w14:paraId="3A03002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在本合同履行期内，监理人应在现场保留工作所用的图纸、报告及记录监理工</w:t>
      </w:r>
      <w:r>
        <w:rPr>
          <w:rFonts w:hint="eastAsia" w:ascii="宋体" w:hAnsi="宋体" w:eastAsia="宋体" w:cs="宋体"/>
          <w:sz w:val="24"/>
          <w:szCs w:val="24"/>
        </w:rPr>
        <w:t>作的相关文件。工程竣工后，应当按照档案管理规定将监理有关文件归档。</w:t>
      </w:r>
    </w:p>
    <w:p w14:paraId="359F3362">
      <w:pPr>
        <w:adjustRightInd w:val="0"/>
        <w:snapToGrid w:val="0"/>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3．委托人的义务</w:t>
      </w:r>
    </w:p>
    <w:p w14:paraId="2079EADE">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3.1 告知</w:t>
      </w:r>
    </w:p>
    <w:p w14:paraId="5052ABF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委托人应在委托人与承包人签订的合同中明确监理人、总监理工程师和授予项目监理机构的权限。如有变更，应及时通知承包人。</w:t>
      </w:r>
    </w:p>
    <w:p w14:paraId="2A47C95F">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 提供资料</w:t>
      </w:r>
    </w:p>
    <w:p w14:paraId="20E41F4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委托人应按照附录B约定，</w:t>
      </w:r>
      <w:r>
        <w:rPr>
          <w:rFonts w:hint="eastAsia" w:ascii="宋体" w:hAnsi="宋体" w:eastAsia="宋体" w:cs="宋体"/>
          <w:color w:val="000000"/>
          <w:kern w:val="0"/>
          <w:sz w:val="24"/>
          <w:szCs w:val="24"/>
        </w:rPr>
        <w:t>无偿</w:t>
      </w:r>
      <w:r>
        <w:rPr>
          <w:rFonts w:hint="eastAsia" w:ascii="宋体" w:hAnsi="宋体" w:eastAsia="宋体" w:cs="宋体"/>
          <w:kern w:val="0"/>
          <w:sz w:val="24"/>
          <w:szCs w:val="24"/>
        </w:rPr>
        <w:t>向监理人提供工程有关的资料。</w:t>
      </w:r>
      <w:r>
        <w:rPr>
          <w:rFonts w:hint="eastAsia" w:ascii="宋体" w:hAnsi="宋体" w:eastAsia="宋体" w:cs="宋体"/>
          <w:sz w:val="24"/>
          <w:szCs w:val="24"/>
        </w:rPr>
        <w:t>在本合同履行过程中，委托人应及时向监理人提供最新的与工程有关的资料。</w:t>
      </w:r>
    </w:p>
    <w:p w14:paraId="521E2485">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 提供工作条件</w:t>
      </w:r>
    </w:p>
    <w:p w14:paraId="3E3076E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委托人应为监理人完成监理与相关服务提供必要的条件。</w:t>
      </w:r>
    </w:p>
    <w:p w14:paraId="065531D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3.3.1 </w:t>
      </w:r>
      <w:r>
        <w:rPr>
          <w:rFonts w:hint="eastAsia" w:ascii="宋体" w:hAnsi="宋体" w:eastAsia="宋体" w:cs="宋体"/>
          <w:sz w:val="24"/>
          <w:szCs w:val="24"/>
        </w:rPr>
        <w:t>委托人应按照附录B约定，派遣相应的人员，提供房屋、设备，供监理人</w:t>
      </w:r>
      <w:r>
        <w:rPr>
          <w:rFonts w:hint="eastAsia" w:ascii="宋体" w:hAnsi="宋体" w:eastAsia="宋体" w:cs="宋体"/>
          <w:kern w:val="0"/>
          <w:sz w:val="24"/>
          <w:szCs w:val="24"/>
        </w:rPr>
        <w:t>无偿</w:t>
      </w:r>
      <w:r>
        <w:rPr>
          <w:rFonts w:hint="eastAsia" w:ascii="宋体" w:hAnsi="宋体" w:eastAsia="宋体" w:cs="宋体"/>
          <w:sz w:val="24"/>
          <w:szCs w:val="24"/>
        </w:rPr>
        <w:t>使用。</w:t>
      </w:r>
    </w:p>
    <w:p w14:paraId="77A5BFA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3.3.2 </w:t>
      </w:r>
      <w:r>
        <w:rPr>
          <w:rFonts w:hint="eastAsia" w:ascii="宋体" w:hAnsi="宋体" w:eastAsia="宋体" w:cs="宋体"/>
          <w:sz w:val="24"/>
          <w:szCs w:val="24"/>
        </w:rPr>
        <w:t>委托人应负责协调工程建设中所有外部关系，为监理人履行本合同提供必要的外部条件。</w:t>
      </w:r>
    </w:p>
    <w:p w14:paraId="29B72E24">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 委托人代表</w:t>
      </w:r>
    </w:p>
    <w:p w14:paraId="5CB3737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委托人应授权一名熟悉工程情况的代表，负责与监理人联系。委托人应在双方签订本合同后7天内，将委托人代表的姓名和职责书面告知监理人。当委托人更换委托人代表时，应提前7天通知监理人。</w:t>
      </w:r>
    </w:p>
    <w:p w14:paraId="3EAF86E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 委托人意见或要求</w:t>
      </w:r>
    </w:p>
    <w:p w14:paraId="6D65684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在本合同约定的监理与相关服务工作范围内，委托人对承包人的任何意见或要求应通知监理人，由监理人向承包人发出相应指令。</w:t>
      </w:r>
    </w:p>
    <w:p w14:paraId="6375913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 答复</w:t>
      </w:r>
    </w:p>
    <w:p w14:paraId="3BE0AB9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委托人应在专用条件约定的时间内，对监理人以书面形式提交并要求作出决定的事宜，给予书面答复。逾期未答复的，视为委托人认可。</w:t>
      </w:r>
    </w:p>
    <w:p w14:paraId="6D86A28E">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3.7 支付</w:t>
      </w:r>
    </w:p>
    <w:p w14:paraId="3307BB8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委托人应按本合同约定，向监理人支付酬金。</w:t>
      </w:r>
    </w:p>
    <w:p w14:paraId="79643DFE">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4. 违约责任</w:t>
      </w:r>
    </w:p>
    <w:p w14:paraId="28738A6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 监理人的违约责任</w:t>
      </w:r>
    </w:p>
    <w:p w14:paraId="6FAD62B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监理人未履行本合同义务的，应承担相应的责任。</w:t>
      </w:r>
    </w:p>
    <w:p w14:paraId="102ABBBF">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4.1.1 因监理人违反本合同约定</w:t>
      </w:r>
      <w:r>
        <w:rPr>
          <w:rFonts w:hint="eastAsia" w:ascii="宋体" w:hAnsi="宋体" w:eastAsia="宋体" w:cs="宋体"/>
          <w:sz w:val="24"/>
          <w:szCs w:val="24"/>
        </w:rPr>
        <w:t>给委托人造成损失的，监理人应当赔偿委托人损失</w:t>
      </w:r>
      <w:r>
        <w:rPr>
          <w:rFonts w:hint="eastAsia" w:ascii="宋体" w:hAnsi="宋体" w:eastAsia="宋体" w:cs="宋体"/>
          <w:kern w:val="0"/>
          <w:sz w:val="24"/>
          <w:szCs w:val="24"/>
        </w:rPr>
        <w:t>。赔偿金额的确定方法在专用条件中约定。监理人承担部分赔偿责任的，其承担赔偿金额由双方协商确定。</w:t>
      </w:r>
    </w:p>
    <w:p w14:paraId="4F2AA53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4.1.2 监理人向委托人的索赔不成立时，监理人应赔偿委托人由此发生的费用。</w:t>
      </w:r>
    </w:p>
    <w:p w14:paraId="2C8EA4DA">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 委托人的违约责任</w:t>
      </w:r>
    </w:p>
    <w:p w14:paraId="5B33F800">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委托人未履行本合同义务的，应承担相应的责任。</w:t>
      </w:r>
    </w:p>
    <w:p w14:paraId="1BA3BE8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4.2.1 委托人违反本合同约定造成监理人损失的，委托人应予以赔偿。</w:t>
      </w:r>
    </w:p>
    <w:p w14:paraId="2C22839E">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4.2.2 委托人向监理人的索赔不成立时，应赔偿监理人由此引起的费用。</w:t>
      </w:r>
    </w:p>
    <w:p w14:paraId="5CBCBE75">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4.2.3 </w:t>
      </w:r>
      <w:r>
        <w:rPr>
          <w:rFonts w:hint="eastAsia" w:ascii="宋体" w:hAnsi="宋体" w:eastAsia="宋体" w:cs="宋体"/>
          <w:kern w:val="0"/>
          <w:sz w:val="24"/>
          <w:szCs w:val="24"/>
        </w:rPr>
        <w:t>委托人未能按期支付</w:t>
      </w:r>
      <w:r>
        <w:rPr>
          <w:rFonts w:hint="eastAsia" w:ascii="宋体" w:hAnsi="宋体" w:eastAsia="宋体" w:cs="宋体"/>
          <w:sz w:val="24"/>
          <w:szCs w:val="24"/>
        </w:rPr>
        <w:t>酬金</w:t>
      </w:r>
      <w:r>
        <w:rPr>
          <w:rFonts w:hint="eastAsia" w:ascii="宋体" w:hAnsi="宋体" w:eastAsia="宋体" w:cs="宋体"/>
          <w:kern w:val="0"/>
          <w:sz w:val="24"/>
          <w:szCs w:val="24"/>
        </w:rPr>
        <w:t>超过28天，应按专用条件约定支付逾期付款利息。</w:t>
      </w:r>
    </w:p>
    <w:p w14:paraId="494ABEC3">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 除外责任</w:t>
      </w:r>
    </w:p>
    <w:p w14:paraId="469802AE">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因非监理人的原因，且监理人无过错，发生工程质量事故、安全事故、工期延误等造成的损失，监理人不承担赔偿责任。</w:t>
      </w:r>
    </w:p>
    <w:p w14:paraId="2C7C8DE9">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因不可抗力导致本合同全部或部分不能履行时，双方各自承担其因此而造成的损失、损害。</w:t>
      </w:r>
    </w:p>
    <w:p w14:paraId="7B9C76BB">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5. 支付</w:t>
      </w:r>
    </w:p>
    <w:p w14:paraId="5DD16E13">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5.1 </w:t>
      </w:r>
      <w:r>
        <w:rPr>
          <w:rFonts w:hint="eastAsia" w:ascii="宋体" w:hAnsi="宋体" w:eastAsia="宋体" w:cs="宋体"/>
          <w:bCs/>
          <w:sz w:val="24"/>
          <w:szCs w:val="24"/>
        </w:rPr>
        <w:t>支付货币</w:t>
      </w:r>
    </w:p>
    <w:p w14:paraId="7BCA07EA">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除专用条件另有约定外，酬金均以人民币支付。涉及外币支付的，所采用的货币种类、比例和汇率在专用条件中约定。</w:t>
      </w:r>
    </w:p>
    <w:p w14:paraId="3D0DB29F">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5.2 支付申请</w:t>
      </w:r>
    </w:p>
    <w:p w14:paraId="08E3F4E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监理人应在本合同约定的每次应付款时间的7天前，向委托人提交支付申请书。支付申请书应当说明当期应付款总额，并列出当期应支付的款项及其金额。</w:t>
      </w:r>
    </w:p>
    <w:p w14:paraId="3A3BE33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5.3 支付酬金</w:t>
      </w:r>
    </w:p>
    <w:p w14:paraId="518B5E1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支付的酬金包括正常工作酬金、附加工作酬金、合理化建议奖励金额及费用。</w:t>
      </w:r>
    </w:p>
    <w:p w14:paraId="3B662A41">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  5.4 </w:t>
      </w:r>
      <w:r>
        <w:rPr>
          <w:rFonts w:hint="eastAsia" w:ascii="宋体" w:hAnsi="宋体" w:eastAsia="宋体" w:cs="宋体"/>
          <w:bCs/>
          <w:sz w:val="24"/>
          <w:szCs w:val="24"/>
        </w:rPr>
        <w:t>有争议部分的付款</w:t>
      </w:r>
    </w:p>
    <w:p w14:paraId="4A39FA2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264634D4">
      <w:pPr>
        <w:adjustRightInd w:val="0"/>
        <w:snapToGrid w:val="0"/>
        <w:spacing w:line="360" w:lineRule="auto"/>
        <w:ind w:firstLine="482" w:firstLineChars="200"/>
        <w:rPr>
          <w:rFonts w:hint="eastAsia" w:ascii="宋体" w:hAnsi="宋体" w:eastAsia="宋体" w:cs="宋体"/>
          <w:b/>
          <w:bCs/>
          <w:color w:val="FF0000"/>
          <w:sz w:val="24"/>
          <w:szCs w:val="24"/>
        </w:rPr>
      </w:pPr>
      <w:r>
        <w:rPr>
          <w:rFonts w:hint="eastAsia" w:ascii="宋体" w:hAnsi="宋体" w:eastAsia="宋体" w:cs="宋体"/>
          <w:b/>
          <w:bCs/>
          <w:sz w:val="24"/>
          <w:szCs w:val="24"/>
        </w:rPr>
        <w:t>6. 合同生效、变更、暂停、解除与终止</w:t>
      </w:r>
    </w:p>
    <w:p w14:paraId="5F33EA7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6.1生效</w:t>
      </w:r>
    </w:p>
    <w:p w14:paraId="4A94A38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除法律另有规定或者专用条件另有约定外，委托人和监理人的法定代表人或其授权代理人在协议书上签字并盖单位章后本合同生效。</w:t>
      </w:r>
    </w:p>
    <w:p w14:paraId="293113CD">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6.2</w:t>
      </w:r>
      <w:r>
        <w:rPr>
          <w:rFonts w:hint="eastAsia" w:ascii="宋体" w:hAnsi="宋体" w:eastAsia="宋体" w:cs="宋体"/>
          <w:bCs/>
          <w:sz w:val="24"/>
          <w:szCs w:val="24"/>
        </w:rPr>
        <w:t>变更</w:t>
      </w:r>
    </w:p>
    <w:p w14:paraId="5A7452B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6.2.1 任何一方提出变更请求时，双方经协商一致后可进行变更。</w:t>
      </w:r>
    </w:p>
    <w:p w14:paraId="473631C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4F717A1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07D47B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6.2.4合同签订后，遇有与工程相关的法律法规、标准颁布或修订的，双方应遵照执行。由此引起监理与相关服务的范围、时间、酬金变化的，双方应通过协商进行相应调整。</w:t>
      </w:r>
    </w:p>
    <w:p w14:paraId="21B90F8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6.2.5 因非监理人原因造成工程概算投资额或建筑安装工程费增加时，正常工作酬金应作相应调整。调整方法在专用条件中约定。</w:t>
      </w:r>
    </w:p>
    <w:p w14:paraId="242309A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6.2.6 因工程规模、监理范围的变化导致监理人的正常工作量减少时，正常工作酬金应作相应调整。调整方法在专用条件中约定。</w:t>
      </w:r>
    </w:p>
    <w:p w14:paraId="4D3599BB">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  6.3 暂停与</w:t>
      </w:r>
      <w:r>
        <w:rPr>
          <w:rFonts w:hint="eastAsia" w:ascii="宋体" w:hAnsi="宋体" w:eastAsia="宋体" w:cs="宋体"/>
          <w:bCs/>
          <w:sz w:val="24"/>
          <w:szCs w:val="24"/>
        </w:rPr>
        <w:t>解除</w:t>
      </w:r>
    </w:p>
    <w:p w14:paraId="1C0EA9C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除双方协商一致可以解除本合同外，当一方无正当理由未履行本合同约定的义务时，另一方可以根据本合同约定暂停履行本合同直至解除本合同。</w:t>
      </w:r>
    </w:p>
    <w:p w14:paraId="23A9397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1C3BDEF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因解除本合同或解除监理人的部分义务导致监理人遭受的损失，除依法可以免除责任的情况外，应由委托人予以补偿，补偿金额由双方协商确定。</w:t>
      </w:r>
    </w:p>
    <w:p w14:paraId="0616A49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解除本合同的协议必须采取书面形式，协议未达成之前，本合同仍然有效。</w:t>
      </w:r>
    </w:p>
    <w:p w14:paraId="4C40B84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49841A1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暂停部分监理与相关服务时间超过</w:t>
      </w:r>
      <w:r>
        <w:rPr>
          <w:rFonts w:hint="eastAsia" w:ascii="宋体" w:hAnsi="宋体" w:eastAsia="宋体" w:cs="宋体"/>
          <w:sz w:val="24"/>
          <w:szCs w:val="24"/>
          <w:lang w:eastAsia="zh-CN"/>
        </w:rPr>
        <w:t>365天</w:t>
      </w:r>
      <w:r>
        <w:rPr>
          <w:rFonts w:hint="eastAsia" w:ascii="宋体" w:hAnsi="宋体" w:eastAsia="宋体" w:cs="宋体"/>
          <w:sz w:val="24"/>
          <w:szCs w:val="24"/>
        </w:rPr>
        <w:t>，监理人可发出解除本合同约定的该部分义务的通知；暂停全部工作时间超过</w:t>
      </w:r>
      <w:r>
        <w:rPr>
          <w:rFonts w:hint="eastAsia" w:ascii="宋体" w:hAnsi="宋体" w:eastAsia="宋体" w:cs="宋体"/>
          <w:sz w:val="24"/>
          <w:szCs w:val="24"/>
          <w:lang w:eastAsia="zh-CN"/>
        </w:rPr>
        <w:t>365天</w:t>
      </w:r>
      <w:r>
        <w:rPr>
          <w:rFonts w:hint="eastAsia" w:ascii="宋体" w:hAnsi="宋体" w:eastAsia="宋体" w:cs="宋体"/>
          <w:sz w:val="24"/>
          <w:szCs w:val="24"/>
        </w:rPr>
        <w:t>，监理人可发出解除本合同的通知，本合同自通知到达委托人时解除。委托人应将监理与相关服务</w:t>
      </w:r>
      <w:r>
        <w:rPr>
          <w:rFonts w:hint="eastAsia" w:ascii="宋体" w:hAnsi="宋体" w:eastAsia="宋体" w:cs="宋体"/>
          <w:kern w:val="0"/>
          <w:sz w:val="24"/>
          <w:szCs w:val="24"/>
        </w:rPr>
        <w:t>的</w:t>
      </w:r>
      <w:r>
        <w:rPr>
          <w:rFonts w:hint="eastAsia" w:ascii="宋体" w:hAnsi="宋体" w:eastAsia="宋体" w:cs="宋体"/>
          <w:sz w:val="24"/>
          <w:szCs w:val="24"/>
        </w:rPr>
        <w:t>酬金支付至本合同解除日，且应承担第4.2款约定的责任。</w:t>
      </w:r>
    </w:p>
    <w:p w14:paraId="4663CCF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kern w:val="0"/>
          <w:sz w:val="24"/>
          <w:szCs w:val="24"/>
        </w:rPr>
        <w:t>的</w:t>
      </w:r>
      <w:r>
        <w:rPr>
          <w:rFonts w:hint="eastAsia" w:ascii="宋体" w:hAnsi="宋体" w:eastAsia="宋体" w:cs="宋体"/>
          <w:sz w:val="24"/>
          <w:szCs w:val="24"/>
        </w:rPr>
        <w:t>酬金支付至</w:t>
      </w:r>
      <w:r>
        <w:rPr>
          <w:rFonts w:hint="eastAsia" w:ascii="宋体" w:hAnsi="宋体" w:eastAsia="宋体" w:cs="宋体"/>
          <w:kern w:val="0"/>
          <w:sz w:val="24"/>
          <w:szCs w:val="24"/>
        </w:rPr>
        <w:t>限期改正通知到达监理人之日</w:t>
      </w:r>
      <w:r>
        <w:rPr>
          <w:rFonts w:hint="eastAsia" w:ascii="宋体" w:hAnsi="宋体" w:eastAsia="宋体" w:cs="宋体"/>
          <w:sz w:val="24"/>
          <w:szCs w:val="24"/>
        </w:rPr>
        <w:t>，但监理人应承担第4.1款约定的责任。</w:t>
      </w:r>
    </w:p>
    <w:p w14:paraId="3720710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21789FE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6.3.5 因不可抗力致使本合同部分或全部不能履行时，一方应立即通知另一方，可暂停或解除本合同。</w:t>
      </w:r>
    </w:p>
    <w:p w14:paraId="58E59BE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6.3.6 本合同解除后，本合同约定的有关结算、清理、争议解决方式的条件仍然有效。</w:t>
      </w:r>
    </w:p>
    <w:p w14:paraId="63243C4D">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6.4 </w:t>
      </w:r>
      <w:r>
        <w:rPr>
          <w:rFonts w:hint="eastAsia" w:ascii="宋体" w:hAnsi="宋体" w:eastAsia="宋体" w:cs="宋体"/>
          <w:bCs/>
          <w:sz w:val="24"/>
          <w:szCs w:val="24"/>
        </w:rPr>
        <w:t>终止</w:t>
      </w:r>
    </w:p>
    <w:p w14:paraId="49C3F85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以下条件全部满足时，本合同即告终止：</w:t>
      </w:r>
    </w:p>
    <w:p w14:paraId="1128C17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（1）监理人完成本合同约定的全部工作；</w:t>
      </w:r>
    </w:p>
    <w:p w14:paraId="24E74B0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（2）委托人与监理人结清并支付全部酬金。</w:t>
      </w:r>
    </w:p>
    <w:p w14:paraId="4F0C1DB6">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7. 争议解决</w:t>
      </w:r>
    </w:p>
    <w:p w14:paraId="749CA768">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7.1</w:t>
      </w:r>
      <w:r>
        <w:rPr>
          <w:rFonts w:hint="eastAsia" w:ascii="宋体" w:hAnsi="宋体" w:eastAsia="宋体" w:cs="宋体"/>
          <w:bCs/>
          <w:sz w:val="24"/>
          <w:szCs w:val="24"/>
        </w:rPr>
        <w:t>协商</w:t>
      </w:r>
    </w:p>
    <w:p w14:paraId="349B685C">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双方应本着诚信原则协商解决彼此间的争议。</w:t>
      </w:r>
    </w:p>
    <w:p w14:paraId="42C0EA84">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7.2</w:t>
      </w:r>
      <w:r>
        <w:rPr>
          <w:rFonts w:hint="eastAsia" w:ascii="宋体" w:hAnsi="宋体" w:eastAsia="宋体" w:cs="宋体"/>
          <w:bCs/>
          <w:sz w:val="24"/>
          <w:szCs w:val="24"/>
        </w:rPr>
        <w:t>调解</w:t>
      </w:r>
    </w:p>
    <w:p w14:paraId="3C4F4B2E">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如果双方不能在14天内或双方商定的其他时间内解决本合同争议，可以将其提交给专用条件约定的或事后达成协议的调解人进行调解。</w:t>
      </w:r>
    </w:p>
    <w:p w14:paraId="7BB7A25F">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7.3</w:t>
      </w:r>
      <w:r>
        <w:rPr>
          <w:rFonts w:hint="eastAsia" w:ascii="宋体" w:hAnsi="宋体" w:eastAsia="宋体" w:cs="宋体"/>
          <w:bCs/>
          <w:sz w:val="24"/>
          <w:szCs w:val="24"/>
        </w:rPr>
        <w:t>仲裁或诉讼</w:t>
      </w:r>
    </w:p>
    <w:p w14:paraId="2008A66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双方均有权不经调解直接向专用条件约定的仲裁机构申请仲裁或向有管辖权的人民法院提起诉讼。</w:t>
      </w:r>
    </w:p>
    <w:p w14:paraId="6848DA0B">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 其他</w:t>
      </w:r>
    </w:p>
    <w:p w14:paraId="195B1FB6">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8.1 </w:t>
      </w:r>
      <w:r>
        <w:rPr>
          <w:rFonts w:hint="eastAsia" w:ascii="宋体" w:hAnsi="宋体" w:eastAsia="宋体" w:cs="宋体"/>
          <w:bCs/>
          <w:sz w:val="24"/>
          <w:szCs w:val="24"/>
        </w:rPr>
        <w:t>外出考察费用</w:t>
      </w:r>
    </w:p>
    <w:p w14:paraId="785F4FDE">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经委托人同意，监理人员外出考察发生的费用由委托人审核后支付。</w:t>
      </w:r>
    </w:p>
    <w:p w14:paraId="33F7AEEA">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8.2 </w:t>
      </w:r>
      <w:r>
        <w:rPr>
          <w:rFonts w:hint="eastAsia" w:ascii="宋体" w:hAnsi="宋体" w:eastAsia="宋体" w:cs="宋体"/>
          <w:bCs/>
          <w:sz w:val="24"/>
          <w:szCs w:val="24"/>
        </w:rPr>
        <w:t>检测费用</w:t>
      </w:r>
    </w:p>
    <w:p w14:paraId="343E1E59">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委托人要求监理人进行的材料和设备检测所发生的费用，由委托人支付，支付时间在专用条件中约定。</w:t>
      </w:r>
    </w:p>
    <w:p w14:paraId="63D60440">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8.3 </w:t>
      </w:r>
      <w:r>
        <w:rPr>
          <w:rFonts w:hint="eastAsia" w:ascii="宋体" w:hAnsi="宋体" w:eastAsia="宋体" w:cs="宋体"/>
          <w:bCs/>
          <w:sz w:val="24"/>
          <w:szCs w:val="24"/>
        </w:rPr>
        <w:t>咨询费用</w:t>
      </w:r>
    </w:p>
    <w:p w14:paraId="67E6D02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经委托人同意，根据工程需要由监理人组织的相关咨询论证会以及聘请相关专家等发生的费用由委托人支付，支付时间在专用条件中约定。</w:t>
      </w:r>
    </w:p>
    <w:p w14:paraId="43B6E70D">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8.4 </w:t>
      </w:r>
      <w:r>
        <w:rPr>
          <w:rFonts w:hint="eastAsia" w:ascii="宋体" w:hAnsi="宋体" w:eastAsia="宋体" w:cs="宋体"/>
          <w:bCs/>
          <w:sz w:val="24"/>
          <w:szCs w:val="24"/>
        </w:rPr>
        <w:t>奖励</w:t>
      </w:r>
    </w:p>
    <w:p w14:paraId="095D595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监理人在服务过程中提出的合理化建议，使委托人获得经济效益的，双方在专用条件中约定奖励金额的确定方法。奖励金额在合理化建议被采纳后，与最近一期的正常工作酬金同期支付。</w:t>
      </w:r>
    </w:p>
    <w:p w14:paraId="09D253DB">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8.5 </w:t>
      </w:r>
      <w:r>
        <w:rPr>
          <w:rFonts w:hint="eastAsia" w:ascii="宋体" w:hAnsi="宋体" w:eastAsia="宋体" w:cs="宋体"/>
          <w:bCs/>
          <w:sz w:val="24"/>
          <w:szCs w:val="24"/>
        </w:rPr>
        <w:t>守法诚信</w:t>
      </w:r>
    </w:p>
    <w:p w14:paraId="5324774D">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监理人及其工作人员不得从与实施工程有关的第三方处获得任何经济利益。</w:t>
      </w:r>
    </w:p>
    <w:p w14:paraId="224F569A">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8.6 </w:t>
      </w:r>
      <w:r>
        <w:rPr>
          <w:rFonts w:hint="eastAsia" w:ascii="宋体" w:hAnsi="宋体" w:eastAsia="宋体" w:cs="宋体"/>
          <w:bCs/>
          <w:sz w:val="24"/>
          <w:szCs w:val="24"/>
        </w:rPr>
        <w:t>保密</w:t>
      </w:r>
    </w:p>
    <w:p w14:paraId="4E7D632D">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双方不得泄露对方申明的保密资料，亦不得泄露与实施工程有关的第三方所提供的保密资料，保密事项在专用条件中约定。</w:t>
      </w:r>
    </w:p>
    <w:p w14:paraId="7C25FEDF">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8.7 </w:t>
      </w:r>
      <w:r>
        <w:rPr>
          <w:rFonts w:hint="eastAsia" w:ascii="宋体" w:hAnsi="宋体" w:eastAsia="宋体" w:cs="宋体"/>
          <w:bCs/>
          <w:sz w:val="24"/>
          <w:szCs w:val="24"/>
        </w:rPr>
        <w:t>通知</w:t>
      </w:r>
    </w:p>
    <w:p w14:paraId="5E063392">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本合同涉及的通知均应当采用书面形式，并在送达对方时生效，收件人应书面签收。</w:t>
      </w:r>
    </w:p>
    <w:p w14:paraId="32A25C3D">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8.8 </w:t>
      </w:r>
      <w:r>
        <w:rPr>
          <w:rFonts w:hint="eastAsia" w:ascii="宋体" w:hAnsi="宋体" w:eastAsia="宋体" w:cs="宋体"/>
          <w:bCs/>
          <w:sz w:val="24"/>
          <w:szCs w:val="24"/>
        </w:rPr>
        <w:t>著作权</w:t>
      </w:r>
    </w:p>
    <w:p w14:paraId="451B684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监理人对其编制的文件拥有著作权。</w:t>
      </w:r>
    </w:p>
    <w:p w14:paraId="3D74AE4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9E070B1">
      <w:pPr>
        <w:tabs>
          <w:tab w:val="left" w:pos="3120"/>
        </w:tabs>
        <w:adjustRightInd w:val="0"/>
        <w:snapToGrid w:val="0"/>
        <w:spacing w:line="360" w:lineRule="auto"/>
        <w:jc w:val="center"/>
        <w:rPr>
          <w:rFonts w:hint="eastAsia" w:ascii="宋体" w:hAnsi="宋体" w:eastAsia="宋体" w:cs="宋体"/>
          <w:b/>
          <w:bCs/>
          <w:sz w:val="30"/>
          <w:szCs w:val="30"/>
        </w:rPr>
      </w:pPr>
    </w:p>
    <w:p w14:paraId="71F8F0C5">
      <w:pPr>
        <w:tabs>
          <w:tab w:val="left" w:pos="3120"/>
        </w:tabs>
        <w:adjustRightInd w:val="0"/>
        <w:snapToGrid w:val="0"/>
        <w:spacing w:line="360" w:lineRule="auto"/>
        <w:jc w:val="center"/>
        <w:rPr>
          <w:rFonts w:hint="eastAsia" w:ascii="宋体" w:hAnsi="宋体" w:eastAsia="宋体" w:cs="宋体"/>
          <w:b/>
          <w:bCs/>
          <w:sz w:val="30"/>
          <w:szCs w:val="30"/>
        </w:rPr>
        <w:sectPr>
          <w:footerReference r:id="rId4" w:type="default"/>
          <w:pgSz w:w="11907" w:h="16840"/>
          <w:pgMar w:top="1304" w:right="1247" w:bottom="1361" w:left="1304" w:header="907" w:footer="907" w:gutter="0"/>
          <w:pgBorders>
            <w:top w:val="none" w:sz="0" w:space="0"/>
            <w:left w:val="none" w:sz="0" w:space="0"/>
            <w:bottom w:val="none" w:sz="0" w:space="0"/>
            <w:right w:val="none" w:sz="0" w:space="0"/>
          </w:pgBorders>
          <w:pgNumType w:fmt="decimal" w:start="1"/>
          <w:cols w:space="720" w:num="1"/>
          <w:docGrid w:linePitch="312" w:charSpace="0"/>
        </w:sectPr>
      </w:pPr>
    </w:p>
    <w:p w14:paraId="17FF3802">
      <w:pPr>
        <w:tabs>
          <w:tab w:val="left" w:pos="3120"/>
        </w:tabs>
        <w:adjustRightInd w:val="0"/>
        <w:snapToGrid w:val="0"/>
        <w:spacing w:line="360" w:lineRule="auto"/>
        <w:jc w:val="center"/>
        <w:rPr>
          <w:rFonts w:hint="eastAsia" w:ascii="宋体" w:hAnsi="宋体" w:eastAsia="宋体" w:cs="宋体"/>
          <w:b/>
          <w:sz w:val="36"/>
          <w:szCs w:val="36"/>
        </w:rPr>
      </w:pPr>
      <w:r>
        <w:rPr>
          <w:rFonts w:hint="eastAsia" w:ascii="宋体" w:hAnsi="宋体" w:eastAsia="宋体" w:cs="宋体"/>
          <w:b/>
          <w:bCs/>
          <w:sz w:val="36"/>
          <w:szCs w:val="36"/>
        </w:rPr>
        <w:t>第三部分  专用条件</w:t>
      </w:r>
    </w:p>
    <w:p w14:paraId="56802D06">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 定义与解释</w:t>
      </w:r>
    </w:p>
    <w:p w14:paraId="766C3A8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  解释</w:t>
      </w:r>
    </w:p>
    <w:p w14:paraId="4D54BDF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本合同文件除使用中文外，还可用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E06AF0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约定本合同文件的解释顺序为：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01D66B">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 监理人义务</w:t>
      </w:r>
    </w:p>
    <w:p w14:paraId="1EDFCCC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监理的范围和</w:t>
      </w:r>
      <w:r>
        <w:rPr>
          <w:rFonts w:hint="eastAsia" w:ascii="宋体" w:hAnsi="宋体" w:eastAsia="宋体" w:cs="宋体"/>
          <w:bCs/>
          <w:sz w:val="24"/>
          <w:szCs w:val="24"/>
        </w:rPr>
        <w:t>内容</w:t>
      </w:r>
    </w:p>
    <w:p w14:paraId="7C233A4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监理范围包括：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DBC9AD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 监理工作内容还包括：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875A85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监理与相关服务依据</w:t>
      </w:r>
    </w:p>
    <w:p w14:paraId="434E37D0">
      <w:pPr>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2.2.1 监理依据包括：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p>
    <w:p w14:paraId="1930AB33">
      <w:pPr>
        <w:adjustRightInd w:val="0"/>
        <w:snapToGrid w:val="0"/>
        <w:spacing w:line="360" w:lineRule="auto"/>
        <w:ind w:firstLine="480" w:firstLineChars="200"/>
        <w:rPr>
          <w:rFonts w:hint="eastAsia" w:ascii="宋体" w:hAnsi="宋体" w:eastAsia="宋体" w:cs="宋体"/>
          <w:dstrike/>
          <w:sz w:val="24"/>
          <w:szCs w:val="24"/>
        </w:rPr>
      </w:pPr>
      <w:r>
        <w:rPr>
          <w:rFonts w:hint="eastAsia" w:ascii="宋体" w:hAnsi="宋体" w:eastAsia="宋体" w:cs="宋体"/>
          <w:sz w:val="24"/>
          <w:szCs w:val="24"/>
        </w:rPr>
        <w:t>2.2.2 相关服务依据包括：</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8284C2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2.3</w:t>
      </w:r>
      <w:r>
        <w:rPr>
          <w:rFonts w:hint="eastAsia" w:ascii="宋体" w:hAnsi="宋体" w:eastAsia="宋体" w:cs="宋体"/>
          <w:kern w:val="0"/>
          <w:sz w:val="24"/>
          <w:szCs w:val="24"/>
        </w:rPr>
        <w:t>项目监理机构和人员</w:t>
      </w:r>
    </w:p>
    <w:p w14:paraId="3D6EA6A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2.3.4 </w:t>
      </w:r>
      <w:r>
        <w:rPr>
          <w:rFonts w:hint="eastAsia" w:ascii="宋体" w:hAnsi="宋体" w:eastAsia="宋体" w:cs="宋体"/>
          <w:kern w:val="0"/>
          <w:sz w:val="24"/>
          <w:szCs w:val="24"/>
        </w:rPr>
        <w:t>更换监理人员的其他情形：</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53C6973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2.4 </w:t>
      </w:r>
      <w:r>
        <w:rPr>
          <w:rFonts w:hint="eastAsia" w:ascii="宋体" w:hAnsi="宋体" w:eastAsia="宋体" w:cs="宋体"/>
          <w:kern w:val="0"/>
          <w:sz w:val="24"/>
          <w:szCs w:val="24"/>
        </w:rPr>
        <w:t>履行职责</w:t>
      </w:r>
    </w:p>
    <w:p w14:paraId="36BC9CE6">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2.4.3 对监理人的授权范围：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3F724F0">
      <w:pPr>
        <w:adjustRightInd w:val="0"/>
        <w:snapToGrid w:val="0"/>
        <w:spacing w:line="360" w:lineRule="auto"/>
        <w:ind w:firstLine="480" w:firstLineChars="200"/>
        <w:outlineLvl w:val="0"/>
        <w:rPr>
          <w:rFonts w:hint="eastAsia" w:ascii="宋体" w:hAnsi="宋体" w:eastAsia="宋体" w:cs="宋体"/>
          <w:sz w:val="24"/>
          <w:szCs w:val="24"/>
        </w:rPr>
      </w:pPr>
      <w:bookmarkStart w:id="18" w:name="_Toc24912"/>
      <w:bookmarkStart w:id="19" w:name="_Toc5994"/>
      <w:r>
        <w:rPr>
          <w:rFonts w:hint="eastAsia" w:ascii="宋体" w:hAnsi="宋体" w:eastAsia="宋体" w:cs="宋体"/>
          <w:sz w:val="24"/>
          <w:szCs w:val="24"/>
        </w:rPr>
        <w:t>在涉及工程延期</w:t>
      </w:r>
      <w:r>
        <w:rPr>
          <w:rFonts w:hint="eastAsia" w:ascii="宋体" w:hAnsi="宋体" w:eastAsia="宋体" w:cs="宋体"/>
          <w:sz w:val="24"/>
          <w:szCs w:val="24"/>
          <w:u w:val="single"/>
        </w:rPr>
        <w:t xml:space="preserve">   </w:t>
      </w:r>
      <w:r>
        <w:rPr>
          <w:rFonts w:hint="eastAsia" w:ascii="宋体" w:hAnsi="宋体" w:eastAsia="宋体" w:cs="宋体"/>
          <w:sz w:val="24"/>
          <w:szCs w:val="24"/>
        </w:rPr>
        <w:t>天内和（或）金额</w:t>
      </w:r>
      <w:r>
        <w:rPr>
          <w:rFonts w:hint="eastAsia" w:ascii="宋体" w:hAnsi="宋体" w:eastAsia="宋体" w:cs="宋体"/>
          <w:sz w:val="24"/>
          <w:szCs w:val="24"/>
          <w:u w:val="single"/>
        </w:rPr>
        <w:t xml:space="preserve">   </w:t>
      </w:r>
      <w:r>
        <w:rPr>
          <w:rFonts w:hint="eastAsia" w:ascii="宋体" w:hAnsi="宋体" w:eastAsia="宋体" w:cs="宋体"/>
          <w:sz w:val="24"/>
          <w:szCs w:val="24"/>
        </w:rPr>
        <w:t>万元内的变更，监理人不需请示委托人即可向承包人发布变更通知。</w:t>
      </w:r>
      <w:bookmarkEnd w:id="18"/>
      <w:bookmarkEnd w:id="19"/>
    </w:p>
    <w:p w14:paraId="40041D5A">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2.4.4 监理人有权要求承包人调换其人员</w:t>
      </w:r>
      <w:r>
        <w:rPr>
          <w:rFonts w:hint="eastAsia" w:ascii="宋体" w:hAnsi="宋体" w:eastAsia="宋体" w:cs="宋体"/>
          <w:sz w:val="24"/>
          <w:szCs w:val="24"/>
        </w:rPr>
        <w:t>的限制条件：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65FE3F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2.5 </w:t>
      </w:r>
      <w:r>
        <w:rPr>
          <w:rFonts w:hint="eastAsia" w:ascii="宋体" w:hAnsi="宋体" w:eastAsia="宋体" w:cs="宋体"/>
          <w:sz w:val="24"/>
          <w:szCs w:val="24"/>
        </w:rPr>
        <w:t>提交</w:t>
      </w:r>
      <w:r>
        <w:rPr>
          <w:rFonts w:hint="eastAsia" w:ascii="宋体" w:hAnsi="宋体" w:eastAsia="宋体" w:cs="宋体"/>
          <w:kern w:val="0"/>
          <w:sz w:val="24"/>
          <w:szCs w:val="24"/>
        </w:rPr>
        <w:t>报告</w:t>
      </w:r>
    </w:p>
    <w:p w14:paraId="48902AE0">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监理人应提交报告的种类(</w:t>
      </w:r>
      <w:r>
        <w:rPr>
          <w:rFonts w:hint="eastAsia" w:ascii="宋体" w:hAnsi="宋体" w:eastAsia="宋体" w:cs="宋体"/>
          <w:kern w:val="0"/>
          <w:sz w:val="24"/>
          <w:szCs w:val="24"/>
        </w:rPr>
        <w:t>包括监理规划、监理月报及约定的专项报告)</w:t>
      </w:r>
      <w:r>
        <w:rPr>
          <w:rFonts w:hint="eastAsia" w:ascii="宋体" w:hAnsi="宋体" w:eastAsia="宋体" w:cs="宋体"/>
          <w:sz w:val="24"/>
          <w:szCs w:val="24"/>
        </w:rPr>
        <w:t>、时间和份数</w:t>
      </w:r>
      <w:r>
        <w:rPr>
          <w:rFonts w:hint="eastAsia" w:ascii="宋体" w:hAnsi="宋体" w:eastAsia="宋体" w:cs="宋体"/>
          <w:kern w:val="0"/>
          <w:sz w:val="24"/>
          <w:szCs w:val="24"/>
        </w:rPr>
        <w:t>：</w:t>
      </w:r>
      <w:r>
        <w:rPr>
          <w:rFonts w:hint="eastAsia" w:ascii="宋体" w:hAnsi="宋体" w:eastAsia="宋体" w:cs="宋体"/>
          <w:sz w:val="24"/>
          <w:szCs w:val="24"/>
          <w:u w:val="single"/>
        </w:rPr>
        <w:t xml:space="preserve">                                 </w:t>
      </w:r>
    </w:p>
    <w:p w14:paraId="7BEB48A8">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55CC31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2.7 使用委托人的财产</w:t>
      </w:r>
    </w:p>
    <w:p w14:paraId="6153E5F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附录B中由委托人无偿提供的房屋、设备的所有权属于：</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A31421F">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监理人应在本合同终止后</w:t>
      </w:r>
      <w:r>
        <w:rPr>
          <w:rFonts w:hint="eastAsia" w:ascii="宋体" w:hAnsi="宋体" w:eastAsia="宋体" w:cs="宋体"/>
          <w:sz w:val="24"/>
          <w:szCs w:val="24"/>
          <w:u w:val="single"/>
        </w:rPr>
        <w:t xml:space="preserve">  </w:t>
      </w:r>
      <w:r>
        <w:rPr>
          <w:rFonts w:hint="eastAsia" w:ascii="宋体" w:hAnsi="宋体" w:eastAsia="宋体" w:cs="宋体"/>
          <w:sz w:val="24"/>
          <w:szCs w:val="24"/>
        </w:rPr>
        <w:t>天内移交委托人无偿提供的房屋、设备，移交的时间和方式为：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A835846">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 xml:space="preserve">3. 委托人义务  </w:t>
      </w:r>
    </w:p>
    <w:p w14:paraId="536A615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kern w:val="0"/>
          <w:sz w:val="24"/>
          <w:szCs w:val="24"/>
        </w:rPr>
        <w:t>3.4 委托人代表</w:t>
      </w:r>
    </w:p>
    <w:p w14:paraId="5568009B">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委托人代表为：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7C36D0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 答复</w:t>
      </w:r>
    </w:p>
    <w:p w14:paraId="00D69B8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委托人同意在</w:t>
      </w:r>
      <w:r>
        <w:rPr>
          <w:rFonts w:hint="eastAsia" w:ascii="宋体" w:hAnsi="宋体" w:eastAsia="宋体" w:cs="宋体"/>
          <w:sz w:val="24"/>
          <w:szCs w:val="24"/>
          <w:u w:val="single"/>
        </w:rPr>
        <w:t xml:space="preserve">    </w:t>
      </w:r>
      <w:r>
        <w:rPr>
          <w:rFonts w:hint="eastAsia" w:ascii="宋体" w:hAnsi="宋体" w:eastAsia="宋体" w:cs="宋体"/>
          <w:sz w:val="24"/>
          <w:szCs w:val="24"/>
        </w:rPr>
        <w:t>天内，对监理人书面提交并要求做出决定的事宜给予书面答复。</w:t>
      </w:r>
    </w:p>
    <w:p w14:paraId="5AE9FECA">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4. 违约责任</w:t>
      </w:r>
    </w:p>
    <w:p w14:paraId="5BF5C908">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 监理人的违约责任</w:t>
      </w:r>
    </w:p>
    <w:p w14:paraId="745A6BD0">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4.1.1监理人赔偿金额按下列方法确定：</w:t>
      </w:r>
    </w:p>
    <w:p w14:paraId="2C28C1FA">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赔偿金＝直接经济损失×正常工作酬金÷工程概算</w:t>
      </w:r>
      <w:r>
        <w:rPr>
          <w:rFonts w:hint="eastAsia" w:ascii="宋体" w:hAnsi="宋体" w:eastAsia="宋体" w:cs="宋体"/>
          <w:kern w:val="0"/>
          <w:sz w:val="24"/>
          <w:szCs w:val="24"/>
        </w:rPr>
        <w:t>投资额（或建筑安装工程费）</w:t>
      </w:r>
    </w:p>
    <w:p w14:paraId="488664CA">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 委托人的违约责任</w:t>
      </w:r>
    </w:p>
    <w:p w14:paraId="3A8FF74F">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4.2.3 委托人</w:t>
      </w:r>
      <w:r>
        <w:rPr>
          <w:rFonts w:hint="eastAsia" w:ascii="宋体" w:hAnsi="宋体" w:eastAsia="宋体" w:cs="宋体"/>
          <w:kern w:val="0"/>
          <w:sz w:val="24"/>
          <w:szCs w:val="24"/>
        </w:rPr>
        <w:t>逾期付款利息按下列方法确定：</w:t>
      </w:r>
    </w:p>
    <w:p w14:paraId="1526316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逾期付款利息＝当期应付款总额×银行同期贷款利率×拖延支付天数</w:t>
      </w:r>
    </w:p>
    <w:p w14:paraId="77BA1211">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bCs/>
          <w:sz w:val="24"/>
          <w:szCs w:val="24"/>
        </w:rPr>
        <w:t>5. 支付</w:t>
      </w:r>
    </w:p>
    <w:p w14:paraId="02520583">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 xml:space="preserve">5.1 </w:t>
      </w:r>
      <w:r>
        <w:rPr>
          <w:rFonts w:hint="eastAsia" w:ascii="宋体" w:hAnsi="宋体" w:eastAsia="宋体" w:cs="宋体"/>
          <w:bCs/>
          <w:sz w:val="24"/>
          <w:szCs w:val="24"/>
        </w:rPr>
        <w:t>支付货币</w:t>
      </w:r>
    </w:p>
    <w:p w14:paraId="61E4D4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币种为：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人民币</w:t>
      </w:r>
      <w:r>
        <w:rPr>
          <w:rFonts w:hint="eastAsia" w:ascii="宋体" w:hAnsi="宋体" w:eastAsia="宋体" w:cs="宋体"/>
          <w:sz w:val="24"/>
          <w:szCs w:val="24"/>
          <w:u w:val="single"/>
        </w:rPr>
        <w:t xml:space="preserve"> </w:t>
      </w:r>
      <w:r>
        <w:rPr>
          <w:rFonts w:hint="eastAsia" w:ascii="宋体" w:hAnsi="宋体" w:eastAsia="宋体" w:cs="宋体"/>
          <w:sz w:val="24"/>
          <w:szCs w:val="24"/>
        </w:rPr>
        <w:t>，比例为：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，汇率为：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3C2570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5.3 支付酬金</w:t>
      </w:r>
    </w:p>
    <w:p w14:paraId="30C6BAE1">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正常工作</w:t>
      </w:r>
      <w:r>
        <w:rPr>
          <w:rFonts w:hint="eastAsia" w:ascii="宋体" w:hAnsi="宋体" w:eastAsia="宋体" w:cs="宋体"/>
          <w:sz w:val="24"/>
          <w:szCs w:val="24"/>
        </w:rPr>
        <w:t>酬金的</w:t>
      </w:r>
      <w:r>
        <w:rPr>
          <w:rFonts w:hint="eastAsia" w:ascii="宋体" w:hAnsi="宋体" w:eastAsia="宋体" w:cs="宋体"/>
          <w:kern w:val="0"/>
          <w:sz w:val="24"/>
          <w:szCs w:val="24"/>
        </w:rPr>
        <w:t>支付</w:t>
      </w:r>
      <w:r>
        <w:rPr>
          <w:rFonts w:hint="eastAsia" w:ascii="宋体" w:hAnsi="宋体" w:eastAsia="宋体" w:cs="宋体"/>
          <w:sz w:val="24"/>
          <w:szCs w:val="24"/>
        </w:rPr>
        <w:t>：</w:t>
      </w:r>
      <w:r>
        <w:rPr>
          <w:rFonts w:hint="eastAsia" w:ascii="宋体" w:hAnsi="宋体" w:eastAsia="宋体" w:cs="宋体"/>
          <w:sz w:val="24"/>
          <w:szCs w:val="24"/>
          <w:lang w:val="en-US" w:eastAsia="zh-CN"/>
        </w:rPr>
        <w:t>按工程进度分期支付。</w:t>
      </w:r>
    </w:p>
    <w:p w14:paraId="63DB7F2A">
      <w:pPr>
        <w:adjustRightInd w:val="0"/>
        <w:snapToGrid w:val="0"/>
        <w:spacing w:line="360" w:lineRule="auto"/>
        <w:ind w:firstLine="480" w:firstLineChars="200"/>
        <w:rPr>
          <w:rFonts w:hint="eastAsia" w:ascii="宋体" w:hAnsi="宋体" w:eastAsia="宋体" w:cs="宋体"/>
          <w:b/>
          <w:bCs/>
          <w:color w:val="FF0000"/>
          <w:sz w:val="24"/>
          <w:szCs w:val="24"/>
        </w:rPr>
      </w:pPr>
      <w:r>
        <w:rPr>
          <w:rFonts w:hint="eastAsia" w:ascii="宋体" w:hAnsi="宋体" w:eastAsia="宋体" w:cs="宋体"/>
          <w:bCs/>
          <w:sz w:val="24"/>
          <w:szCs w:val="24"/>
        </w:rPr>
        <w:t>6</w:t>
      </w:r>
      <w:r>
        <w:rPr>
          <w:rFonts w:hint="eastAsia" w:ascii="宋体" w:hAnsi="宋体" w:eastAsia="宋体" w:cs="宋体"/>
          <w:b/>
          <w:bCs/>
          <w:sz w:val="24"/>
          <w:szCs w:val="24"/>
        </w:rPr>
        <w:t>. 合同生效、变更、暂停、解除与终止</w:t>
      </w:r>
    </w:p>
    <w:p w14:paraId="2EA1EC7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 生效</w:t>
      </w:r>
    </w:p>
    <w:p w14:paraId="79428BC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本合同生效条件：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双方签字盖章后生效</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C32424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 变更</w:t>
      </w:r>
    </w:p>
    <w:p w14:paraId="1511C66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6.2.2 除不可抗力外， 因非监理人原因导致本合同期限延长时，附加工作酬金按下列方法确定：</w:t>
      </w:r>
    </w:p>
    <w:p w14:paraId="31BAA886">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附加工作</w:t>
      </w:r>
      <w:r>
        <w:rPr>
          <w:rFonts w:hint="eastAsia" w:ascii="宋体" w:hAnsi="宋体" w:eastAsia="宋体" w:cs="宋体"/>
          <w:sz w:val="24"/>
          <w:szCs w:val="24"/>
        </w:rPr>
        <w:t>酬金</w:t>
      </w:r>
      <w:r>
        <w:rPr>
          <w:rFonts w:hint="eastAsia" w:ascii="宋体" w:hAnsi="宋体" w:eastAsia="宋体" w:cs="宋体"/>
          <w:kern w:val="0"/>
          <w:sz w:val="24"/>
          <w:szCs w:val="24"/>
        </w:rPr>
        <w:t>=</w:t>
      </w:r>
      <w:r>
        <w:rPr>
          <w:rFonts w:hint="eastAsia" w:ascii="宋体" w:hAnsi="宋体" w:eastAsia="宋体" w:cs="宋体"/>
          <w:sz w:val="24"/>
          <w:szCs w:val="24"/>
        </w:rPr>
        <w:t>本合同期限延长</w:t>
      </w:r>
      <w:r>
        <w:rPr>
          <w:rFonts w:hint="eastAsia" w:ascii="宋体" w:hAnsi="宋体" w:eastAsia="宋体" w:cs="宋体"/>
          <w:kern w:val="0"/>
          <w:sz w:val="24"/>
          <w:szCs w:val="24"/>
        </w:rPr>
        <w:t>时间（天）×正常工作酬金÷</w:t>
      </w:r>
      <w:r>
        <w:rPr>
          <w:rFonts w:hint="eastAsia" w:ascii="宋体" w:hAnsi="宋体" w:eastAsia="宋体" w:cs="宋体"/>
          <w:sz w:val="24"/>
          <w:szCs w:val="24"/>
        </w:rPr>
        <w:t>协议书约定的监理与相关服务期限</w:t>
      </w:r>
      <w:r>
        <w:rPr>
          <w:rFonts w:hint="eastAsia" w:ascii="宋体" w:hAnsi="宋体" w:eastAsia="宋体" w:cs="宋体"/>
          <w:kern w:val="0"/>
          <w:sz w:val="24"/>
          <w:szCs w:val="24"/>
        </w:rPr>
        <w:t>（天）</w:t>
      </w:r>
    </w:p>
    <w:p w14:paraId="51D8C51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6.2.3附加工作酬金按下列方法确定：</w:t>
      </w:r>
    </w:p>
    <w:p w14:paraId="33BF2984">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附加工作</w:t>
      </w:r>
      <w:r>
        <w:rPr>
          <w:rFonts w:hint="eastAsia" w:ascii="宋体" w:hAnsi="宋体" w:eastAsia="宋体" w:cs="宋体"/>
          <w:sz w:val="24"/>
          <w:szCs w:val="24"/>
        </w:rPr>
        <w:t>酬金</w:t>
      </w:r>
      <w:r>
        <w:rPr>
          <w:rFonts w:hint="eastAsia" w:ascii="宋体" w:hAnsi="宋体" w:eastAsia="宋体" w:cs="宋体"/>
          <w:kern w:val="0"/>
          <w:sz w:val="24"/>
          <w:szCs w:val="24"/>
        </w:rPr>
        <w:t>=善后工作及恢复服务的准备工作时间（天）×正常工作酬金÷</w:t>
      </w:r>
      <w:r>
        <w:rPr>
          <w:rFonts w:hint="eastAsia" w:ascii="宋体" w:hAnsi="宋体" w:eastAsia="宋体" w:cs="宋体"/>
          <w:sz w:val="24"/>
          <w:szCs w:val="24"/>
        </w:rPr>
        <w:t>协议书约定的监理与相关服务期限</w:t>
      </w:r>
      <w:r>
        <w:rPr>
          <w:rFonts w:hint="eastAsia" w:ascii="宋体" w:hAnsi="宋体" w:eastAsia="宋体" w:cs="宋体"/>
          <w:kern w:val="0"/>
          <w:sz w:val="24"/>
          <w:szCs w:val="24"/>
        </w:rPr>
        <w:t>（天）</w:t>
      </w:r>
    </w:p>
    <w:p w14:paraId="1309485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6.2.5 正常工作酬金增加额按下列方法确定： </w:t>
      </w:r>
    </w:p>
    <w:p w14:paraId="7B3D1559">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正常工作酬金增加额</w:t>
      </w:r>
      <w:r>
        <w:rPr>
          <w:rFonts w:hint="eastAsia" w:ascii="宋体" w:hAnsi="宋体" w:eastAsia="宋体" w:cs="宋体"/>
          <w:kern w:val="0"/>
          <w:sz w:val="24"/>
          <w:szCs w:val="24"/>
        </w:rPr>
        <w:t>=工程投资额</w:t>
      </w:r>
      <w:r>
        <w:rPr>
          <w:rFonts w:hint="eastAsia" w:ascii="宋体" w:hAnsi="宋体" w:eastAsia="宋体" w:cs="宋体"/>
          <w:sz w:val="24"/>
          <w:szCs w:val="24"/>
        </w:rPr>
        <w:t>或建筑安装工程费</w:t>
      </w:r>
      <w:r>
        <w:rPr>
          <w:rFonts w:hint="eastAsia" w:ascii="宋体" w:hAnsi="宋体" w:eastAsia="宋体" w:cs="宋体"/>
          <w:kern w:val="0"/>
          <w:sz w:val="24"/>
          <w:szCs w:val="24"/>
        </w:rPr>
        <w:t>增加额×正常工作酬金÷工程概算投资额（或建筑安装工程费）</w:t>
      </w:r>
    </w:p>
    <w:p w14:paraId="2F5CE52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6.2.6 因工程规模、监理范围的变化导致监理人的正常工作量减少时，按减少工作量的比例从协议书约定的正常工作酬金中扣减相同比例的酬金。</w:t>
      </w:r>
    </w:p>
    <w:p w14:paraId="38150EF6">
      <w:pPr>
        <w:adjustRightInd w:val="0"/>
        <w:snapToGrid w:val="0"/>
        <w:spacing w:line="360" w:lineRule="auto"/>
        <w:ind w:firstLine="482" w:firstLineChars="200"/>
        <w:rPr>
          <w:rFonts w:hint="eastAsia" w:ascii="宋体" w:hAnsi="宋体" w:eastAsia="宋体" w:cs="宋体"/>
          <w:b/>
          <w:bCs/>
          <w:sz w:val="24"/>
          <w:szCs w:val="24"/>
        </w:rPr>
      </w:pPr>
    </w:p>
    <w:p w14:paraId="01A8EEE1">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bCs/>
          <w:sz w:val="24"/>
          <w:szCs w:val="24"/>
        </w:rPr>
        <w:t>7. 争议解决</w:t>
      </w:r>
    </w:p>
    <w:p w14:paraId="3F87E3B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7.2 </w:t>
      </w:r>
      <w:r>
        <w:rPr>
          <w:rFonts w:hint="eastAsia" w:ascii="宋体" w:hAnsi="宋体" w:eastAsia="宋体" w:cs="宋体"/>
          <w:bCs/>
          <w:sz w:val="24"/>
          <w:szCs w:val="24"/>
        </w:rPr>
        <w:t>调解</w:t>
      </w:r>
    </w:p>
    <w:p w14:paraId="7ADD0EC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本合同争议进行调解时，可提交</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蒲城县人民法院</w:t>
      </w:r>
      <w:r>
        <w:rPr>
          <w:rFonts w:hint="eastAsia" w:ascii="宋体" w:hAnsi="宋体" w:eastAsia="宋体" w:cs="宋体"/>
          <w:sz w:val="24"/>
          <w:szCs w:val="24"/>
          <w:u w:val="single"/>
        </w:rPr>
        <w:t xml:space="preserve"> </w:t>
      </w:r>
      <w:r>
        <w:rPr>
          <w:rFonts w:hint="eastAsia" w:ascii="宋体" w:hAnsi="宋体" w:eastAsia="宋体" w:cs="宋体"/>
          <w:sz w:val="24"/>
          <w:szCs w:val="24"/>
        </w:rPr>
        <w:t>进行调解。</w:t>
      </w:r>
    </w:p>
    <w:p w14:paraId="237A320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7.3 </w:t>
      </w:r>
      <w:r>
        <w:rPr>
          <w:rFonts w:hint="eastAsia" w:ascii="宋体" w:hAnsi="宋体" w:eastAsia="宋体" w:cs="宋体"/>
          <w:bCs/>
          <w:sz w:val="24"/>
          <w:szCs w:val="24"/>
        </w:rPr>
        <w:t>仲裁或诉讼</w:t>
      </w:r>
    </w:p>
    <w:p w14:paraId="0B3A462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合同争议的最终解决方式为下列第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种方式：</w:t>
      </w:r>
    </w:p>
    <w:p w14:paraId="26D3EC7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（1）提请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项目所在地</w:t>
      </w:r>
      <w:r>
        <w:rPr>
          <w:rFonts w:hint="eastAsia" w:ascii="宋体" w:hAnsi="宋体" w:eastAsia="宋体" w:cs="宋体"/>
          <w:sz w:val="24"/>
          <w:szCs w:val="24"/>
          <w:u w:val="single"/>
        </w:rPr>
        <w:t xml:space="preserve">  </w:t>
      </w:r>
      <w:r>
        <w:rPr>
          <w:rFonts w:hint="eastAsia" w:ascii="宋体" w:hAnsi="宋体" w:eastAsia="宋体" w:cs="宋体"/>
          <w:sz w:val="24"/>
          <w:szCs w:val="24"/>
        </w:rPr>
        <w:t>仲裁委员会进行仲裁。</w:t>
      </w:r>
    </w:p>
    <w:p w14:paraId="000C31E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项目所在地</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0B81C3DB">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 其他</w:t>
      </w:r>
    </w:p>
    <w:p w14:paraId="4609EEF8">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8.2 检测费用</w:t>
      </w:r>
    </w:p>
    <w:p w14:paraId="53A0661A">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委托人应在检测工作完成后</w:t>
      </w:r>
      <w:r>
        <w:rPr>
          <w:rFonts w:hint="eastAsia" w:ascii="宋体" w:hAnsi="宋体" w:eastAsia="宋体" w:cs="宋体"/>
          <w:sz w:val="24"/>
          <w:szCs w:val="24"/>
          <w:u w:val="single"/>
        </w:rPr>
        <w:t xml:space="preserve">     </w:t>
      </w:r>
      <w:r>
        <w:rPr>
          <w:rFonts w:hint="eastAsia" w:ascii="宋体" w:hAnsi="宋体" w:eastAsia="宋体" w:cs="宋体"/>
          <w:bCs/>
          <w:sz w:val="24"/>
          <w:szCs w:val="24"/>
        </w:rPr>
        <w:t>天内支付检测费用。</w:t>
      </w:r>
    </w:p>
    <w:p w14:paraId="5D61B407">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8.3 咨询费用</w:t>
      </w:r>
    </w:p>
    <w:p w14:paraId="4114E989">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委托人应在咨询工作完成后</w:t>
      </w:r>
      <w:r>
        <w:rPr>
          <w:rFonts w:hint="eastAsia" w:ascii="宋体" w:hAnsi="宋体" w:eastAsia="宋体" w:cs="宋体"/>
          <w:sz w:val="24"/>
          <w:szCs w:val="24"/>
          <w:u w:val="single"/>
        </w:rPr>
        <w:t xml:space="preserve">     </w:t>
      </w:r>
      <w:r>
        <w:rPr>
          <w:rFonts w:hint="eastAsia" w:ascii="宋体" w:hAnsi="宋体" w:eastAsia="宋体" w:cs="宋体"/>
          <w:bCs/>
          <w:sz w:val="24"/>
          <w:szCs w:val="24"/>
        </w:rPr>
        <w:t>天内支付咨询费用。</w:t>
      </w:r>
    </w:p>
    <w:p w14:paraId="071FBDC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8.4 奖励</w:t>
      </w:r>
    </w:p>
    <w:p w14:paraId="3C8D011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合理化建议的奖励金额按下列方法确定为：</w:t>
      </w:r>
    </w:p>
    <w:p w14:paraId="555D0A7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奖励金额＝工程投资节省额×奖励金额的比率；</w:t>
      </w:r>
    </w:p>
    <w:p w14:paraId="3590379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奖励金额的比率为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31147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8.6 保密</w:t>
      </w:r>
    </w:p>
    <w:p w14:paraId="0E256C56">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委托人申明的保密事项和期限：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A2B8DB3">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监理人申明的保密事项和期限：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8136F68">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第三方申明的保密事项和期限：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220B781">
      <w:pPr>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8.8</w:t>
      </w:r>
      <w:r>
        <w:rPr>
          <w:rFonts w:hint="eastAsia" w:ascii="宋体" w:hAnsi="宋体" w:eastAsia="宋体" w:cs="宋体"/>
          <w:bCs/>
          <w:sz w:val="24"/>
          <w:szCs w:val="24"/>
        </w:rPr>
        <w:t>著作权</w:t>
      </w:r>
    </w:p>
    <w:p w14:paraId="29C098C7">
      <w:pPr>
        <w:adjustRightInd w:val="0"/>
        <w:snapToGrid w:val="0"/>
        <w:spacing w:line="360" w:lineRule="auto"/>
        <w:ind w:firstLine="480" w:firstLineChars="200"/>
        <w:rPr>
          <w:rFonts w:hint="eastAsia" w:ascii="宋体" w:hAnsi="宋体" w:eastAsia="宋体" w:cs="宋体"/>
          <w:sz w:val="24"/>
          <w:szCs w:val="24"/>
          <w:u w:val="none"/>
          <w:lang w:eastAsia="zh-CN"/>
        </w:rPr>
      </w:pPr>
      <w:r>
        <w:rPr>
          <w:rFonts w:hint="eastAsia" w:ascii="宋体" w:hAnsi="宋体" w:eastAsia="宋体" w:cs="宋体"/>
          <w:sz w:val="24"/>
          <w:szCs w:val="24"/>
        </w:rPr>
        <w:t>监理人在本合同履行期间及本合同终止后两年内出版涉及本工程的有关监理与相关服务的资料的限制条件：</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p>
    <w:p w14:paraId="6232E38A">
      <w:pPr>
        <w:pageBreakBefore/>
        <w:adjustRightInd w:val="0"/>
        <w:snapToGrid w:val="0"/>
        <w:spacing w:line="360" w:lineRule="auto"/>
        <w:ind w:firstLine="482" w:firstLineChars="200"/>
        <w:jc w:val="center"/>
        <w:outlineLvl w:val="0"/>
        <w:rPr>
          <w:rFonts w:hint="eastAsia" w:ascii="宋体" w:hAnsi="宋体" w:eastAsia="宋体" w:cs="宋体"/>
          <w:b/>
          <w:bCs/>
          <w:sz w:val="24"/>
          <w:szCs w:val="24"/>
        </w:rPr>
      </w:pPr>
      <w:bookmarkStart w:id="20" w:name="_Toc27461"/>
      <w:r>
        <w:rPr>
          <w:rFonts w:hint="eastAsia" w:ascii="宋体" w:hAnsi="宋体" w:eastAsia="宋体" w:cs="宋体"/>
          <w:b/>
          <w:bCs/>
          <w:sz w:val="24"/>
          <w:szCs w:val="24"/>
        </w:rPr>
        <w:t>附录A  相关服务的范围和内容</w:t>
      </w:r>
      <w:bookmarkEnd w:id="20"/>
    </w:p>
    <w:p w14:paraId="214216B4">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A-1 勘察阶段：</w:t>
      </w:r>
      <w:r>
        <w:rPr>
          <w:rFonts w:hint="eastAsia" w:ascii="宋体" w:hAnsi="宋体" w:eastAsia="宋体" w:cs="宋体"/>
          <w:sz w:val="24"/>
          <w:szCs w:val="24"/>
          <w:u w:val="single"/>
        </w:rPr>
        <w:t xml:space="preserve">                                        </w:t>
      </w:r>
    </w:p>
    <w:p w14:paraId="101083B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22CFA98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A-2 设计阶段：</w:t>
      </w:r>
      <w:r>
        <w:rPr>
          <w:rFonts w:hint="eastAsia" w:ascii="宋体" w:hAnsi="宋体" w:eastAsia="宋体" w:cs="宋体"/>
          <w:sz w:val="24"/>
          <w:szCs w:val="24"/>
          <w:u w:val="single"/>
        </w:rPr>
        <w:t xml:space="preserve">                                </w:t>
      </w:r>
    </w:p>
    <w:p w14:paraId="443E67F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47D3A40">
      <w:pPr>
        <w:adjustRightInd w:val="0"/>
        <w:snapToGrid w:val="0"/>
        <w:spacing w:line="360" w:lineRule="auto"/>
        <w:ind w:firstLine="480" w:firstLineChars="200"/>
        <w:rPr>
          <w:rFonts w:hint="eastAsia" w:ascii="宋体" w:hAnsi="宋体" w:eastAsia="宋体" w:cs="宋体"/>
          <w:kern w:val="0"/>
          <w:sz w:val="24"/>
          <w:szCs w:val="24"/>
          <w:u w:val="none"/>
          <w:lang w:eastAsia="zh-CN"/>
        </w:rPr>
      </w:pPr>
      <w:r>
        <w:rPr>
          <w:rFonts w:hint="eastAsia" w:ascii="宋体" w:hAnsi="宋体" w:eastAsia="宋体" w:cs="宋体"/>
          <w:kern w:val="0"/>
          <w:sz w:val="24"/>
          <w:szCs w:val="24"/>
        </w:rPr>
        <w:t>A-3 保修阶段：</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p>
    <w:p w14:paraId="4B7A19A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87EAE3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A-4 </w:t>
      </w:r>
      <w:r>
        <w:rPr>
          <w:rFonts w:hint="eastAsia" w:ascii="宋体" w:hAnsi="宋体" w:eastAsia="宋体" w:cs="宋体"/>
          <w:sz w:val="24"/>
          <w:szCs w:val="24"/>
        </w:rPr>
        <w:t>其他（专业技术咨询、外部协调工作等）：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AD09C41">
      <w:pPr>
        <w:adjustRightInd w:val="0"/>
        <w:snapToGrid w:val="0"/>
        <w:spacing w:line="360" w:lineRule="auto"/>
        <w:ind w:firstLine="480" w:firstLineChars="200"/>
        <w:rPr>
          <w:rFonts w:hint="eastAsia" w:ascii="宋体" w:hAnsi="宋体" w:eastAsia="宋体" w:cs="宋体"/>
          <w:sz w:val="24"/>
          <w:szCs w:val="24"/>
        </w:rPr>
      </w:pPr>
    </w:p>
    <w:p w14:paraId="505873D5">
      <w:pPr>
        <w:adjustRightInd w:val="0"/>
        <w:snapToGrid w:val="0"/>
        <w:spacing w:line="360" w:lineRule="auto"/>
        <w:ind w:firstLine="480" w:firstLineChars="200"/>
        <w:rPr>
          <w:rFonts w:hint="eastAsia" w:ascii="宋体" w:hAnsi="宋体" w:eastAsia="宋体" w:cs="宋体"/>
          <w:bCs/>
          <w:sz w:val="24"/>
          <w:szCs w:val="24"/>
        </w:rPr>
      </w:pPr>
    </w:p>
    <w:p w14:paraId="2C579265">
      <w:pPr>
        <w:pageBreakBefore/>
        <w:adjustRightInd w:val="0"/>
        <w:snapToGri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附录B  委托人派遣的人员和提供的房屋、资料、设备</w:t>
      </w:r>
    </w:p>
    <w:p w14:paraId="177BAE9A">
      <w:pPr>
        <w:adjustRightInd w:val="0"/>
        <w:snapToGrid w:val="0"/>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B-1  委托人派遣的人员</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6016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A02C6B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1770" w:type="dxa"/>
            <w:noWrap w:val="0"/>
            <w:vAlign w:val="top"/>
          </w:tcPr>
          <w:p w14:paraId="3F51B9C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2130" w:type="dxa"/>
            <w:noWrap w:val="0"/>
            <w:vAlign w:val="top"/>
          </w:tcPr>
          <w:p w14:paraId="67182AD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工作要求</w:t>
            </w:r>
          </w:p>
        </w:tc>
        <w:tc>
          <w:tcPr>
            <w:tcW w:w="1860" w:type="dxa"/>
            <w:noWrap w:val="0"/>
            <w:vAlign w:val="top"/>
          </w:tcPr>
          <w:p w14:paraId="049F20F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提供时间</w:t>
            </w:r>
          </w:p>
        </w:tc>
      </w:tr>
      <w:tr w14:paraId="0245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289A99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1. 工程技术人员 </w:t>
            </w:r>
          </w:p>
        </w:tc>
        <w:tc>
          <w:tcPr>
            <w:tcW w:w="1770" w:type="dxa"/>
            <w:noWrap w:val="0"/>
            <w:vAlign w:val="top"/>
          </w:tcPr>
          <w:p w14:paraId="2E6E967A">
            <w:pPr>
              <w:adjustRightInd w:val="0"/>
              <w:snapToGrid w:val="0"/>
              <w:spacing w:line="360" w:lineRule="auto"/>
              <w:rPr>
                <w:rFonts w:hint="eastAsia" w:ascii="宋体" w:hAnsi="宋体" w:eastAsia="宋体" w:cs="宋体"/>
                <w:sz w:val="24"/>
                <w:szCs w:val="24"/>
              </w:rPr>
            </w:pPr>
          </w:p>
        </w:tc>
        <w:tc>
          <w:tcPr>
            <w:tcW w:w="2130" w:type="dxa"/>
            <w:noWrap w:val="0"/>
            <w:vAlign w:val="top"/>
          </w:tcPr>
          <w:p w14:paraId="67BF8EC5">
            <w:pPr>
              <w:adjustRightInd w:val="0"/>
              <w:snapToGrid w:val="0"/>
              <w:spacing w:line="360" w:lineRule="auto"/>
              <w:rPr>
                <w:rFonts w:hint="eastAsia" w:ascii="宋体" w:hAnsi="宋体" w:eastAsia="宋体" w:cs="宋体"/>
                <w:sz w:val="24"/>
                <w:szCs w:val="24"/>
              </w:rPr>
            </w:pPr>
          </w:p>
        </w:tc>
        <w:tc>
          <w:tcPr>
            <w:tcW w:w="1860" w:type="dxa"/>
            <w:noWrap w:val="0"/>
            <w:vAlign w:val="top"/>
          </w:tcPr>
          <w:p w14:paraId="7CCA0D1D">
            <w:pPr>
              <w:adjustRightInd w:val="0"/>
              <w:snapToGrid w:val="0"/>
              <w:spacing w:line="360" w:lineRule="auto"/>
              <w:rPr>
                <w:rFonts w:hint="eastAsia" w:ascii="宋体" w:hAnsi="宋体" w:eastAsia="宋体" w:cs="宋体"/>
                <w:sz w:val="24"/>
                <w:szCs w:val="24"/>
              </w:rPr>
            </w:pPr>
          </w:p>
        </w:tc>
      </w:tr>
      <w:tr w14:paraId="2F449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3A77E69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2. 辅助工作人员</w:t>
            </w:r>
          </w:p>
        </w:tc>
        <w:tc>
          <w:tcPr>
            <w:tcW w:w="1770" w:type="dxa"/>
            <w:noWrap w:val="0"/>
            <w:vAlign w:val="top"/>
          </w:tcPr>
          <w:p w14:paraId="5F9A9E61">
            <w:pPr>
              <w:adjustRightInd w:val="0"/>
              <w:snapToGrid w:val="0"/>
              <w:spacing w:line="360" w:lineRule="auto"/>
              <w:rPr>
                <w:rFonts w:hint="eastAsia" w:ascii="宋体" w:hAnsi="宋体" w:eastAsia="宋体" w:cs="宋体"/>
                <w:sz w:val="24"/>
                <w:szCs w:val="24"/>
              </w:rPr>
            </w:pPr>
          </w:p>
        </w:tc>
        <w:tc>
          <w:tcPr>
            <w:tcW w:w="2130" w:type="dxa"/>
            <w:noWrap w:val="0"/>
            <w:vAlign w:val="top"/>
          </w:tcPr>
          <w:p w14:paraId="02515375">
            <w:pPr>
              <w:adjustRightInd w:val="0"/>
              <w:snapToGrid w:val="0"/>
              <w:spacing w:line="360" w:lineRule="auto"/>
              <w:rPr>
                <w:rFonts w:hint="eastAsia" w:ascii="宋体" w:hAnsi="宋体" w:eastAsia="宋体" w:cs="宋体"/>
                <w:sz w:val="24"/>
                <w:szCs w:val="24"/>
              </w:rPr>
            </w:pPr>
          </w:p>
        </w:tc>
        <w:tc>
          <w:tcPr>
            <w:tcW w:w="1860" w:type="dxa"/>
            <w:noWrap w:val="0"/>
            <w:vAlign w:val="top"/>
          </w:tcPr>
          <w:p w14:paraId="6AF6C52C">
            <w:pPr>
              <w:adjustRightInd w:val="0"/>
              <w:snapToGrid w:val="0"/>
              <w:spacing w:line="360" w:lineRule="auto"/>
              <w:rPr>
                <w:rFonts w:hint="eastAsia" w:ascii="宋体" w:hAnsi="宋体" w:eastAsia="宋体" w:cs="宋体"/>
                <w:sz w:val="24"/>
                <w:szCs w:val="24"/>
              </w:rPr>
            </w:pPr>
          </w:p>
        </w:tc>
      </w:tr>
      <w:tr w14:paraId="3521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CA1370F">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3. 其他人员</w:t>
            </w:r>
          </w:p>
        </w:tc>
        <w:tc>
          <w:tcPr>
            <w:tcW w:w="1770" w:type="dxa"/>
            <w:noWrap w:val="0"/>
            <w:vAlign w:val="top"/>
          </w:tcPr>
          <w:p w14:paraId="7656BF30">
            <w:pPr>
              <w:adjustRightInd w:val="0"/>
              <w:snapToGrid w:val="0"/>
              <w:spacing w:line="360" w:lineRule="auto"/>
              <w:rPr>
                <w:rFonts w:hint="eastAsia" w:ascii="宋体" w:hAnsi="宋体" w:eastAsia="宋体" w:cs="宋体"/>
                <w:sz w:val="24"/>
                <w:szCs w:val="24"/>
              </w:rPr>
            </w:pPr>
          </w:p>
        </w:tc>
        <w:tc>
          <w:tcPr>
            <w:tcW w:w="2130" w:type="dxa"/>
            <w:noWrap w:val="0"/>
            <w:vAlign w:val="top"/>
          </w:tcPr>
          <w:p w14:paraId="29360FBC">
            <w:pPr>
              <w:adjustRightInd w:val="0"/>
              <w:snapToGrid w:val="0"/>
              <w:spacing w:line="360" w:lineRule="auto"/>
              <w:rPr>
                <w:rFonts w:hint="eastAsia" w:ascii="宋体" w:hAnsi="宋体" w:eastAsia="宋体" w:cs="宋体"/>
                <w:sz w:val="24"/>
                <w:szCs w:val="24"/>
              </w:rPr>
            </w:pPr>
          </w:p>
        </w:tc>
        <w:tc>
          <w:tcPr>
            <w:tcW w:w="1860" w:type="dxa"/>
            <w:noWrap w:val="0"/>
            <w:vAlign w:val="top"/>
          </w:tcPr>
          <w:p w14:paraId="7E4CF507">
            <w:pPr>
              <w:adjustRightInd w:val="0"/>
              <w:snapToGrid w:val="0"/>
              <w:spacing w:line="360" w:lineRule="auto"/>
              <w:rPr>
                <w:rFonts w:hint="eastAsia" w:ascii="宋体" w:hAnsi="宋体" w:eastAsia="宋体" w:cs="宋体"/>
                <w:sz w:val="24"/>
                <w:szCs w:val="24"/>
              </w:rPr>
            </w:pPr>
          </w:p>
        </w:tc>
      </w:tr>
      <w:tr w14:paraId="7A7F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706EFF1E">
            <w:pPr>
              <w:adjustRightInd w:val="0"/>
              <w:snapToGrid w:val="0"/>
              <w:spacing w:line="360" w:lineRule="auto"/>
              <w:rPr>
                <w:rFonts w:hint="eastAsia" w:ascii="宋体" w:hAnsi="宋体" w:eastAsia="宋体" w:cs="宋体"/>
                <w:sz w:val="24"/>
                <w:szCs w:val="24"/>
              </w:rPr>
            </w:pPr>
          </w:p>
        </w:tc>
        <w:tc>
          <w:tcPr>
            <w:tcW w:w="1770" w:type="dxa"/>
            <w:noWrap w:val="0"/>
            <w:vAlign w:val="top"/>
          </w:tcPr>
          <w:p w14:paraId="5CBFCAD1">
            <w:pPr>
              <w:adjustRightInd w:val="0"/>
              <w:snapToGrid w:val="0"/>
              <w:spacing w:line="360" w:lineRule="auto"/>
              <w:rPr>
                <w:rFonts w:hint="eastAsia" w:ascii="宋体" w:hAnsi="宋体" w:eastAsia="宋体" w:cs="宋体"/>
                <w:sz w:val="24"/>
                <w:szCs w:val="24"/>
              </w:rPr>
            </w:pPr>
          </w:p>
        </w:tc>
        <w:tc>
          <w:tcPr>
            <w:tcW w:w="2130" w:type="dxa"/>
            <w:noWrap w:val="0"/>
            <w:vAlign w:val="top"/>
          </w:tcPr>
          <w:p w14:paraId="1052EBBC">
            <w:pPr>
              <w:adjustRightInd w:val="0"/>
              <w:snapToGrid w:val="0"/>
              <w:spacing w:line="360" w:lineRule="auto"/>
              <w:rPr>
                <w:rFonts w:hint="eastAsia" w:ascii="宋体" w:hAnsi="宋体" w:eastAsia="宋体" w:cs="宋体"/>
                <w:sz w:val="24"/>
                <w:szCs w:val="24"/>
              </w:rPr>
            </w:pPr>
          </w:p>
        </w:tc>
        <w:tc>
          <w:tcPr>
            <w:tcW w:w="1860" w:type="dxa"/>
            <w:noWrap w:val="0"/>
            <w:vAlign w:val="top"/>
          </w:tcPr>
          <w:p w14:paraId="27C3398C">
            <w:pPr>
              <w:adjustRightInd w:val="0"/>
              <w:snapToGrid w:val="0"/>
              <w:spacing w:line="360" w:lineRule="auto"/>
              <w:rPr>
                <w:rFonts w:hint="eastAsia" w:ascii="宋体" w:hAnsi="宋体" w:eastAsia="宋体" w:cs="宋体"/>
                <w:sz w:val="24"/>
                <w:szCs w:val="24"/>
              </w:rPr>
            </w:pPr>
          </w:p>
        </w:tc>
      </w:tr>
    </w:tbl>
    <w:p w14:paraId="58632D00">
      <w:pPr>
        <w:adjustRightInd w:val="0"/>
        <w:snapToGrid w:val="0"/>
        <w:spacing w:line="360" w:lineRule="auto"/>
        <w:ind w:firstLine="482" w:firstLineChars="200"/>
        <w:outlineLvl w:val="0"/>
        <w:rPr>
          <w:rFonts w:hint="eastAsia" w:ascii="宋体" w:hAnsi="宋体" w:eastAsia="宋体" w:cs="宋体"/>
          <w:b/>
          <w:kern w:val="0"/>
          <w:sz w:val="24"/>
          <w:szCs w:val="24"/>
        </w:rPr>
      </w:pPr>
      <w:bookmarkStart w:id="21" w:name="_Toc32403"/>
      <w:bookmarkStart w:id="22" w:name="_Toc513"/>
      <w:r>
        <w:rPr>
          <w:rFonts w:hint="eastAsia" w:ascii="宋体" w:hAnsi="宋体" w:eastAsia="宋体" w:cs="宋体"/>
          <w:b/>
          <w:kern w:val="0"/>
          <w:sz w:val="24"/>
          <w:szCs w:val="24"/>
        </w:rPr>
        <w:t>B-2  委托人提供的房屋</w:t>
      </w:r>
      <w:bookmarkEnd w:id="21"/>
      <w:bookmarkEnd w:id="22"/>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2A93E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2A2A1FE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2130" w:type="dxa"/>
            <w:noWrap w:val="0"/>
            <w:vAlign w:val="top"/>
          </w:tcPr>
          <w:p w14:paraId="0EC9011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2130" w:type="dxa"/>
            <w:noWrap w:val="0"/>
            <w:vAlign w:val="top"/>
          </w:tcPr>
          <w:p w14:paraId="398C86F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面积</w:t>
            </w:r>
          </w:p>
        </w:tc>
        <w:tc>
          <w:tcPr>
            <w:tcW w:w="1860" w:type="dxa"/>
            <w:noWrap w:val="0"/>
            <w:vAlign w:val="top"/>
          </w:tcPr>
          <w:p w14:paraId="3483F72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提供时间</w:t>
            </w:r>
          </w:p>
        </w:tc>
      </w:tr>
      <w:tr w14:paraId="33E3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849970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1. 办公用房</w:t>
            </w:r>
          </w:p>
        </w:tc>
        <w:tc>
          <w:tcPr>
            <w:tcW w:w="2130" w:type="dxa"/>
            <w:noWrap w:val="0"/>
            <w:vAlign w:val="top"/>
          </w:tcPr>
          <w:p w14:paraId="7F2C35A4">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tc>
        <w:tc>
          <w:tcPr>
            <w:tcW w:w="2130" w:type="dxa"/>
            <w:noWrap w:val="0"/>
            <w:vAlign w:val="top"/>
          </w:tcPr>
          <w:p w14:paraId="4A965933">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tc>
        <w:tc>
          <w:tcPr>
            <w:tcW w:w="1860" w:type="dxa"/>
            <w:noWrap w:val="0"/>
            <w:vAlign w:val="top"/>
          </w:tcPr>
          <w:p w14:paraId="57730AB4">
            <w:pPr>
              <w:adjustRightInd w:val="0"/>
              <w:snapToGrid w:val="0"/>
              <w:spacing w:line="360" w:lineRule="auto"/>
              <w:rPr>
                <w:rFonts w:hint="eastAsia" w:ascii="宋体" w:hAnsi="宋体" w:eastAsia="宋体" w:cs="宋体"/>
                <w:sz w:val="24"/>
                <w:szCs w:val="24"/>
              </w:rPr>
            </w:pPr>
          </w:p>
        </w:tc>
      </w:tr>
      <w:tr w14:paraId="7240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4D3ACFE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2. 生活用房</w:t>
            </w:r>
          </w:p>
        </w:tc>
        <w:tc>
          <w:tcPr>
            <w:tcW w:w="2130" w:type="dxa"/>
            <w:noWrap w:val="0"/>
            <w:vAlign w:val="top"/>
          </w:tcPr>
          <w:p w14:paraId="559396AA">
            <w:pPr>
              <w:adjustRightInd w:val="0"/>
              <w:snapToGrid w:val="0"/>
              <w:spacing w:line="360" w:lineRule="auto"/>
              <w:rPr>
                <w:rFonts w:hint="eastAsia" w:ascii="宋体" w:hAnsi="宋体" w:eastAsia="宋体" w:cs="宋体"/>
                <w:sz w:val="24"/>
                <w:szCs w:val="24"/>
              </w:rPr>
            </w:pPr>
          </w:p>
        </w:tc>
        <w:tc>
          <w:tcPr>
            <w:tcW w:w="2130" w:type="dxa"/>
            <w:noWrap w:val="0"/>
            <w:vAlign w:val="top"/>
          </w:tcPr>
          <w:p w14:paraId="70371A37">
            <w:pPr>
              <w:adjustRightInd w:val="0"/>
              <w:snapToGrid w:val="0"/>
              <w:spacing w:line="360" w:lineRule="auto"/>
              <w:rPr>
                <w:rFonts w:hint="eastAsia" w:ascii="宋体" w:hAnsi="宋体" w:eastAsia="宋体" w:cs="宋体"/>
                <w:sz w:val="24"/>
                <w:szCs w:val="24"/>
              </w:rPr>
            </w:pPr>
          </w:p>
        </w:tc>
        <w:tc>
          <w:tcPr>
            <w:tcW w:w="1860" w:type="dxa"/>
            <w:noWrap w:val="0"/>
            <w:vAlign w:val="top"/>
          </w:tcPr>
          <w:p w14:paraId="77C1654C">
            <w:pPr>
              <w:adjustRightInd w:val="0"/>
              <w:snapToGrid w:val="0"/>
              <w:spacing w:line="360" w:lineRule="auto"/>
              <w:rPr>
                <w:rFonts w:hint="eastAsia" w:ascii="宋体" w:hAnsi="宋体" w:eastAsia="宋体" w:cs="宋体"/>
                <w:sz w:val="24"/>
                <w:szCs w:val="24"/>
              </w:rPr>
            </w:pPr>
          </w:p>
        </w:tc>
      </w:tr>
      <w:tr w14:paraId="384B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9788ED8">
            <w:pPr>
              <w:adjustRightInd w:val="0"/>
              <w:snapToGrid w:val="0"/>
              <w:spacing w:line="360" w:lineRule="auto"/>
              <w:rPr>
                <w:rFonts w:hint="eastAsia" w:ascii="宋体" w:hAnsi="宋体" w:eastAsia="宋体" w:cs="宋体"/>
                <w:dstrike/>
                <w:sz w:val="24"/>
                <w:szCs w:val="24"/>
              </w:rPr>
            </w:pPr>
            <w:r>
              <w:rPr>
                <w:rFonts w:hint="eastAsia" w:ascii="宋体" w:hAnsi="宋体" w:eastAsia="宋体" w:cs="宋体"/>
                <w:sz w:val="24"/>
                <w:szCs w:val="24"/>
              </w:rPr>
              <w:t>3. 试验用房</w:t>
            </w:r>
          </w:p>
        </w:tc>
        <w:tc>
          <w:tcPr>
            <w:tcW w:w="2130" w:type="dxa"/>
            <w:noWrap w:val="0"/>
            <w:vAlign w:val="top"/>
          </w:tcPr>
          <w:p w14:paraId="27FB31E7">
            <w:pPr>
              <w:adjustRightInd w:val="0"/>
              <w:snapToGrid w:val="0"/>
              <w:spacing w:line="360" w:lineRule="auto"/>
              <w:rPr>
                <w:rFonts w:hint="eastAsia" w:ascii="宋体" w:hAnsi="宋体" w:eastAsia="宋体" w:cs="宋体"/>
                <w:sz w:val="24"/>
                <w:szCs w:val="24"/>
              </w:rPr>
            </w:pPr>
          </w:p>
        </w:tc>
        <w:tc>
          <w:tcPr>
            <w:tcW w:w="2130" w:type="dxa"/>
            <w:noWrap w:val="0"/>
            <w:vAlign w:val="top"/>
          </w:tcPr>
          <w:p w14:paraId="4D7D9AD5">
            <w:pPr>
              <w:adjustRightInd w:val="0"/>
              <w:snapToGrid w:val="0"/>
              <w:spacing w:line="360" w:lineRule="auto"/>
              <w:rPr>
                <w:rFonts w:hint="eastAsia" w:ascii="宋体" w:hAnsi="宋体" w:eastAsia="宋体" w:cs="宋体"/>
                <w:sz w:val="24"/>
                <w:szCs w:val="24"/>
              </w:rPr>
            </w:pPr>
          </w:p>
        </w:tc>
        <w:tc>
          <w:tcPr>
            <w:tcW w:w="1860" w:type="dxa"/>
            <w:noWrap w:val="0"/>
            <w:vAlign w:val="top"/>
          </w:tcPr>
          <w:p w14:paraId="1AAB3236">
            <w:pPr>
              <w:adjustRightInd w:val="0"/>
              <w:snapToGrid w:val="0"/>
              <w:spacing w:line="360" w:lineRule="auto"/>
              <w:rPr>
                <w:rFonts w:hint="eastAsia" w:ascii="宋体" w:hAnsi="宋体" w:eastAsia="宋体" w:cs="宋体"/>
                <w:sz w:val="24"/>
                <w:szCs w:val="24"/>
              </w:rPr>
            </w:pPr>
          </w:p>
        </w:tc>
      </w:tr>
      <w:tr w14:paraId="0FE1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1CC97797">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4. 样品用房</w:t>
            </w:r>
          </w:p>
        </w:tc>
        <w:tc>
          <w:tcPr>
            <w:tcW w:w="2130" w:type="dxa"/>
            <w:noWrap w:val="0"/>
            <w:vAlign w:val="top"/>
          </w:tcPr>
          <w:p w14:paraId="327BA5B7">
            <w:pPr>
              <w:adjustRightInd w:val="0"/>
              <w:snapToGrid w:val="0"/>
              <w:spacing w:line="360" w:lineRule="auto"/>
              <w:rPr>
                <w:rFonts w:hint="eastAsia" w:ascii="宋体" w:hAnsi="宋体" w:eastAsia="宋体" w:cs="宋体"/>
                <w:sz w:val="24"/>
                <w:szCs w:val="24"/>
              </w:rPr>
            </w:pPr>
          </w:p>
        </w:tc>
        <w:tc>
          <w:tcPr>
            <w:tcW w:w="2130" w:type="dxa"/>
            <w:noWrap w:val="0"/>
            <w:vAlign w:val="top"/>
          </w:tcPr>
          <w:p w14:paraId="2980CDEB">
            <w:pPr>
              <w:adjustRightInd w:val="0"/>
              <w:snapToGrid w:val="0"/>
              <w:spacing w:line="360" w:lineRule="auto"/>
              <w:rPr>
                <w:rFonts w:hint="eastAsia" w:ascii="宋体" w:hAnsi="宋体" w:eastAsia="宋体" w:cs="宋体"/>
                <w:sz w:val="24"/>
                <w:szCs w:val="24"/>
              </w:rPr>
            </w:pPr>
          </w:p>
        </w:tc>
        <w:tc>
          <w:tcPr>
            <w:tcW w:w="1860" w:type="dxa"/>
            <w:noWrap w:val="0"/>
            <w:vAlign w:val="top"/>
          </w:tcPr>
          <w:p w14:paraId="64A49EEA">
            <w:pPr>
              <w:adjustRightInd w:val="0"/>
              <w:snapToGrid w:val="0"/>
              <w:spacing w:line="360" w:lineRule="auto"/>
              <w:rPr>
                <w:rFonts w:hint="eastAsia" w:ascii="宋体" w:hAnsi="宋体" w:eastAsia="宋体" w:cs="宋体"/>
                <w:sz w:val="24"/>
                <w:szCs w:val="24"/>
              </w:rPr>
            </w:pPr>
          </w:p>
        </w:tc>
      </w:tr>
      <w:tr w14:paraId="1917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1AD8EB53">
            <w:pPr>
              <w:adjustRightInd w:val="0"/>
              <w:snapToGrid w:val="0"/>
              <w:spacing w:line="360" w:lineRule="auto"/>
              <w:rPr>
                <w:rFonts w:hint="eastAsia" w:ascii="宋体" w:hAnsi="宋体" w:eastAsia="宋体" w:cs="宋体"/>
                <w:sz w:val="24"/>
                <w:szCs w:val="24"/>
              </w:rPr>
            </w:pPr>
          </w:p>
        </w:tc>
        <w:tc>
          <w:tcPr>
            <w:tcW w:w="2130" w:type="dxa"/>
            <w:noWrap w:val="0"/>
            <w:vAlign w:val="top"/>
          </w:tcPr>
          <w:p w14:paraId="6BC8CB8B">
            <w:pPr>
              <w:adjustRightInd w:val="0"/>
              <w:snapToGrid w:val="0"/>
              <w:spacing w:line="360" w:lineRule="auto"/>
              <w:rPr>
                <w:rFonts w:hint="eastAsia" w:ascii="宋体" w:hAnsi="宋体" w:eastAsia="宋体" w:cs="宋体"/>
                <w:sz w:val="24"/>
                <w:szCs w:val="24"/>
              </w:rPr>
            </w:pPr>
          </w:p>
        </w:tc>
        <w:tc>
          <w:tcPr>
            <w:tcW w:w="2130" w:type="dxa"/>
            <w:noWrap w:val="0"/>
            <w:vAlign w:val="top"/>
          </w:tcPr>
          <w:p w14:paraId="42FC9A94">
            <w:pPr>
              <w:adjustRightInd w:val="0"/>
              <w:snapToGrid w:val="0"/>
              <w:spacing w:line="360" w:lineRule="auto"/>
              <w:rPr>
                <w:rFonts w:hint="eastAsia" w:ascii="宋体" w:hAnsi="宋体" w:eastAsia="宋体" w:cs="宋体"/>
                <w:sz w:val="24"/>
                <w:szCs w:val="24"/>
              </w:rPr>
            </w:pPr>
          </w:p>
        </w:tc>
        <w:tc>
          <w:tcPr>
            <w:tcW w:w="1860" w:type="dxa"/>
            <w:noWrap w:val="0"/>
            <w:vAlign w:val="top"/>
          </w:tcPr>
          <w:p w14:paraId="1F6A08FE">
            <w:pPr>
              <w:adjustRightInd w:val="0"/>
              <w:snapToGrid w:val="0"/>
              <w:spacing w:line="360" w:lineRule="auto"/>
              <w:rPr>
                <w:rFonts w:hint="eastAsia" w:ascii="宋体" w:hAnsi="宋体" w:eastAsia="宋体" w:cs="宋体"/>
                <w:sz w:val="24"/>
                <w:szCs w:val="24"/>
              </w:rPr>
            </w:pPr>
          </w:p>
        </w:tc>
      </w:tr>
      <w:tr w14:paraId="344F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0EB6BAB6">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用餐及其他生活条件</w:t>
            </w:r>
          </w:p>
        </w:tc>
        <w:tc>
          <w:tcPr>
            <w:tcW w:w="6120" w:type="dxa"/>
            <w:gridSpan w:val="3"/>
            <w:noWrap w:val="0"/>
            <w:vAlign w:val="top"/>
          </w:tcPr>
          <w:p w14:paraId="17396F33">
            <w:pPr>
              <w:adjustRightInd w:val="0"/>
              <w:snapToGrid w:val="0"/>
              <w:spacing w:line="360" w:lineRule="auto"/>
              <w:rPr>
                <w:rFonts w:hint="eastAsia" w:ascii="宋体" w:hAnsi="宋体" w:eastAsia="宋体" w:cs="宋体"/>
                <w:sz w:val="24"/>
                <w:szCs w:val="24"/>
              </w:rPr>
            </w:pPr>
          </w:p>
        </w:tc>
      </w:tr>
    </w:tbl>
    <w:p w14:paraId="5978CDEB">
      <w:pPr>
        <w:adjustRightInd w:val="0"/>
        <w:snapToGrid w:val="0"/>
        <w:spacing w:line="360" w:lineRule="auto"/>
        <w:ind w:firstLine="482" w:firstLineChars="200"/>
        <w:outlineLvl w:val="9"/>
        <w:rPr>
          <w:rFonts w:hint="eastAsia" w:ascii="宋体" w:hAnsi="宋体" w:eastAsia="宋体" w:cs="宋体"/>
          <w:b/>
          <w:kern w:val="0"/>
          <w:sz w:val="24"/>
          <w:szCs w:val="24"/>
        </w:rPr>
      </w:pPr>
    </w:p>
    <w:p w14:paraId="03D73988">
      <w:pPr>
        <w:adjustRightInd w:val="0"/>
        <w:snapToGrid w:val="0"/>
        <w:spacing w:line="360" w:lineRule="auto"/>
        <w:ind w:firstLine="482" w:firstLineChars="200"/>
        <w:outlineLvl w:val="0"/>
        <w:rPr>
          <w:rFonts w:hint="eastAsia" w:ascii="宋体" w:hAnsi="宋体" w:eastAsia="宋体" w:cs="宋体"/>
          <w:b/>
          <w:kern w:val="0"/>
          <w:sz w:val="24"/>
          <w:szCs w:val="24"/>
        </w:rPr>
      </w:pPr>
      <w:bookmarkStart w:id="23" w:name="_Toc21286"/>
      <w:bookmarkStart w:id="24" w:name="_Toc19415"/>
      <w:r>
        <w:rPr>
          <w:rFonts w:hint="eastAsia" w:ascii="宋体" w:hAnsi="宋体" w:eastAsia="宋体" w:cs="宋体"/>
          <w:b/>
          <w:kern w:val="0"/>
          <w:sz w:val="24"/>
          <w:szCs w:val="24"/>
        </w:rPr>
        <w:t>B-3  委托人提供的资料</w:t>
      </w:r>
      <w:bookmarkEnd w:id="23"/>
      <w:bookmarkEnd w:id="24"/>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06B5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35FE4D9">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名称</w:t>
            </w:r>
          </w:p>
        </w:tc>
        <w:tc>
          <w:tcPr>
            <w:tcW w:w="1491" w:type="dxa"/>
            <w:noWrap w:val="0"/>
            <w:vAlign w:val="top"/>
          </w:tcPr>
          <w:p w14:paraId="1ECBEA39">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份数</w:t>
            </w:r>
          </w:p>
        </w:tc>
        <w:tc>
          <w:tcPr>
            <w:tcW w:w="2147" w:type="dxa"/>
            <w:noWrap w:val="0"/>
            <w:vAlign w:val="top"/>
          </w:tcPr>
          <w:p w14:paraId="51BA874F">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提供时间</w:t>
            </w:r>
          </w:p>
        </w:tc>
        <w:tc>
          <w:tcPr>
            <w:tcW w:w="2082" w:type="dxa"/>
            <w:noWrap w:val="0"/>
            <w:vAlign w:val="top"/>
          </w:tcPr>
          <w:p w14:paraId="03F698C1">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备注</w:t>
            </w:r>
          </w:p>
        </w:tc>
      </w:tr>
      <w:tr w14:paraId="5664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398E320">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1. 工程立项文件</w:t>
            </w:r>
          </w:p>
        </w:tc>
        <w:tc>
          <w:tcPr>
            <w:tcW w:w="1491" w:type="dxa"/>
            <w:noWrap w:val="0"/>
            <w:vAlign w:val="top"/>
          </w:tcPr>
          <w:p w14:paraId="2D8CF105">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7CB8EDA6">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64B99952">
            <w:pPr>
              <w:adjustRightInd w:val="0"/>
              <w:snapToGrid w:val="0"/>
              <w:spacing w:line="360" w:lineRule="auto"/>
              <w:rPr>
                <w:rFonts w:hint="eastAsia" w:ascii="宋体" w:hAnsi="宋体" w:eastAsia="宋体" w:cs="宋体"/>
                <w:kern w:val="0"/>
                <w:sz w:val="24"/>
                <w:szCs w:val="24"/>
              </w:rPr>
            </w:pPr>
          </w:p>
        </w:tc>
      </w:tr>
      <w:tr w14:paraId="585D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469CCF5">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2. 工程勘察文件</w:t>
            </w:r>
          </w:p>
        </w:tc>
        <w:tc>
          <w:tcPr>
            <w:tcW w:w="1491" w:type="dxa"/>
            <w:noWrap w:val="0"/>
            <w:vAlign w:val="top"/>
          </w:tcPr>
          <w:p w14:paraId="1DB2DAC5">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3A7BEAE4">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0E83BDBB">
            <w:pPr>
              <w:adjustRightInd w:val="0"/>
              <w:snapToGrid w:val="0"/>
              <w:spacing w:line="360" w:lineRule="auto"/>
              <w:rPr>
                <w:rFonts w:hint="eastAsia" w:ascii="宋体" w:hAnsi="宋体" w:eastAsia="宋体" w:cs="宋体"/>
                <w:kern w:val="0"/>
                <w:sz w:val="24"/>
                <w:szCs w:val="24"/>
              </w:rPr>
            </w:pPr>
          </w:p>
        </w:tc>
      </w:tr>
      <w:tr w14:paraId="4F7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2403533">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3. 工程设计及施工图纸</w:t>
            </w:r>
          </w:p>
        </w:tc>
        <w:tc>
          <w:tcPr>
            <w:tcW w:w="1491" w:type="dxa"/>
            <w:noWrap w:val="0"/>
            <w:vAlign w:val="top"/>
          </w:tcPr>
          <w:p w14:paraId="2ABE5D5B">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1A55FB1C">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2B25EA2A">
            <w:pPr>
              <w:adjustRightInd w:val="0"/>
              <w:snapToGrid w:val="0"/>
              <w:spacing w:line="360" w:lineRule="auto"/>
              <w:rPr>
                <w:rFonts w:hint="eastAsia" w:ascii="宋体" w:hAnsi="宋体" w:eastAsia="宋体" w:cs="宋体"/>
                <w:kern w:val="0"/>
                <w:sz w:val="24"/>
                <w:szCs w:val="24"/>
              </w:rPr>
            </w:pPr>
          </w:p>
        </w:tc>
      </w:tr>
      <w:tr w14:paraId="30E6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A17787B">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4. 工程承包合同及其他相关合同</w:t>
            </w:r>
          </w:p>
        </w:tc>
        <w:tc>
          <w:tcPr>
            <w:tcW w:w="1491" w:type="dxa"/>
            <w:noWrap w:val="0"/>
            <w:vAlign w:val="top"/>
          </w:tcPr>
          <w:p w14:paraId="393C44F8">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065792FC">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2A98952B">
            <w:pPr>
              <w:adjustRightInd w:val="0"/>
              <w:snapToGrid w:val="0"/>
              <w:spacing w:line="360" w:lineRule="auto"/>
              <w:rPr>
                <w:rFonts w:hint="eastAsia" w:ascii="宋体" w:hAnsi="宋体" w:eastAsia="宋体" w:cs="宋体"/>
                <w:kern w:val="0"/>
                <w:sz w:val="24"/>
                <w:szCs w:val="24"/>
              </w:rPr>
            </w:pPr>
          </w:p>
        </w:tc>
      </w:tr>
      <w:tr w14:paraId="10A4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17C9068A">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5. 施工许可文件</w:t>
            </w:r>
          </w:p>
        </w:tc>
        <w:tc>
          <w:tcPr>
            <w:tcW w:w="1491" w:type="dxa"/>
            <w:noWrap w:val="0"/>
            <w:vAlign w:val="top"/>
          </w:tcPr>
          <w:p w14:paraId="0B213C24">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0BB3144B">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6E85B2E9">
            <w:pPr>
              <w:adjustRightInd w:val="0"/>
              <w:snapToGrid w:val="0"/>
              <w:spacing w:line="360" w:lineRule="auto"/>
              <w:rPr>
                <w:rFonts w:hint="eastAsia" w:ascii="宋体" w:hAnsi="宋体" w:eastAsia="宋体" w:cs="宋体"/>
                <w:kern w:val="0"/>
                <w:sz w:val="24"/>
                <w:szCs w:val="24"/>
              </w:rPr>
            </w:pPr>
          </w:p>
        </w:tc>
      </w:tr>
      <w:tr w14:paraId="5BFE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1C3669B6">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6. 其他文件</w:t>
            </w:r>
          </w:p>
        </w:tc>
        <w:tc>
          <w:tcPr>
            <w:tcW w:w="1491" w:type="dxa"/>
            <w:noWrap w:val="0"/>
            <w:vAlign w:val="top"/>
          </w:tcPr>
          <w:p w14:paraId="4EE4B703">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1DA66B0C">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5C566ACE">
            <w:pPr>
              <w:adjustRightInd w:val="0"/>
              <w:snapToGrid w:val="0"/>
              <w:spacing w:line="360" w:lineRule="auto"/>
              <w:rPr>
                <w:rFonts w:hint="eastAsia" w:ascii="宋体" w:hAnsi="宋体" w:eastAsia="宋体" w:cs="宋体"/>
                <w:kern w:val="0"/>
                <w:sz w:val="24"/>
                <w:szCs w:val="24"/>
              </w:rPr>
            </w:pPr>
          </w:p>
        </w:tc>
      </w:tr>
      <w:tr w14:paraId="06444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1A8CB673">
            <w:pPr>
              <w:adjustRightInd w:val="0"/>
              <w:snapToGrid w:val="0"/>
              <w:spacing w:line="360" w:lineRule="auto"/>
              <w:rPr>
                <w:rFonts w:hint="eastAsia" w:ascii="宋体" w:hAnsi="宋体" w:eastAsia="宋体" w:cs="宋体"/>
                <w:kern w:val="0"/>
                <w:sz w:val="24"/>
                <w:szCs w:val="24"/>
              </w:rPr>
            </w:pPr>
          </w:p>
        </w:tc>
        <w:tc>
          <w:tcPr>
            <w:tcW w:w="1491" w:type="dxa"/>
            <w:noWrap w:val="0"/>
            <w:vAlign w:val="top"/>
          </w:tcPr>
          <w:p w14:paraId="457027E9">
            <w:pPr>
              <w:adjustRightInd w:val="0"/>
              <w:snapToGrid w:val="0"/>
              <w:spacing w:line="360" w:lineRule="auto"/>
              <w:rPr>
                <w:rFonts w:hint="eastAsia" w:ascii="宋体" w:hAnsi="宋体" w:eastAsia="宋体" w:cs="宋体"/>
                <w:kern w:val="0"/>
                <w:sz w:val="24"/>
                <w:szCs w:val="24"/>
              </w:rPr>
            </w:pPr>
          </w:p>
        </w:tc>
        <w:tc>
          <w:tcPr>
            <w:tcW w:w="2147" w:type="dxa"/>
            <w:noWrap w:val="0"/>
            <w:vAlign w:val="top"/>
          </w:tcPr>
          <w:p w14:paraId="1276A75A">
            <w:pPr>
              <w:adjustRightInd w:val="0"/>
              <w:snapToGrid w:val="0"/>
              <w:spacing w:line="360" w:lineRule="auto"/>
              <w:rPr>
                <w:rFonts w:hint="eastAsia" w:ascii="宋体" w:hAnsi="宋体" w:eastAsia="宋体" w:cs="宋体"/>
                <w:kern w:val="0"/>
                <w:sz w:val="24"/>
                <w:szCs w:val="24"/>
              </w:rPr>
            </w:pPr>
          </w:p>
        </w:tc>
        <w:tc>
          <w:tcPr>
            <w:tcW w:w="2082" w:type="dxa"/>
            <w:noWrap w:val="0"/>
            <w:vAlign w:val="top"/>
          </w:tcPr>
          <w:p w14:paraId="66FDB9EF">
            <w:pPr>
              <w:adjustRightInd w:val="0"/>
              <w:snapToGrid w:val="0"/>
              <w:spacing w:line="360" w:lineRule="auto"/>
              <w:rPr>
                <w:rFonts w:hint="eastAsia" w:ascii="宋体" w:hAnsi="宋体" w:eastAsia="宋体" w:cs="宋体"/>
                <w:kern w:val="0"/>
                <w:sz w:val="24"/>
                <w:szCs w:val="24"/>
              </w:rPr>
            </w:pPr>
          </w:p>
        </w:tc>
      </w:tr>
    </w:tbl>
    <w:p w14:paraId="56CED8EB">
      <w:pPr>
        <w:adjustRightInd w:val="0"/>
        <w:snapToGrid w:val="0"/>
        <w:spacing w:line="360" w:lineRule="auto"/>
        <w:ind w:firstLine="482" w:firstLineChars="200"/>
        <w:rPr>
          <w:rFonts w:hint="eastAsia" w:ascii="宋体" w:hAnsi="宋体" w:eastAsia="宋体" w:cs="宋体"/>
          <w:b/>
          <w:kern w:val="0"/>
          <w:sz w:val="24"/>
          <w:szCs w:val="24"/>
        </w:rPr>
      </w:pPr>
    </w:p>
    <w:p w14:paraId="6BDD2C0A">
      <w:pPr>
        <w:adjustRightInd w:val="0"/>
        <w:snapToGrid w:val="0"/>
        <w:spacing w:line="360" w:lineRule="auto"/>
        <w:ind w:firstLine="482" w:firstLineChars="200"/>
        <w:rPr>
          <w:rFonts w:hint="eastAsia" w:ascii="宋体" w:hAnsi="宋体" w:eastAsia="宋体" w:cs="宋体"/>
          <w:b/>
          <w:kern w:val="0"/>
          <w:sz w:val="24"/>
          <w:szCs w:val="24"/>
        </w:rPr>
      </w:pPr>
    </w:p>
    <w:p w14:paraId="140CFD79">
      <w:pPr>
        <w:adjustRightInd w:val="0"/>
        <w:snapToGrid w:val="0"/>
        <w:spacing w:line="360" w:lineRule="auto"/>
        <w:ind w:firstLine="482" w:firstLineChars="200"/>
        <w:rPr>
          <w:rFonts w:hint="eastAsia" w:ascii="宋体" w:hAnsi="宋体" w:eastAsia="宋体" w:cs="宋体"/>
          <w:b/>
          <w:kern w:val="0"/>
          <w:sz w:val="24"/>
          <w:szCs w:val="24"/>
        </w:rPr>
      </w:pPr>
    </w:p>
    <w:p w14:paraId="58F3CC64">
      <w:pPr>
        <w:adjustRightInd w:val="0"/>
        <w:snapToGrid w:val="0"/>
        <w:spacing w:line="360" w:lineRule="auto"/>
        <w:ind w:firstLine="482" w:firstLineChars="200"/>
        <w:rPr>
          <w:rFonts w:hint="eastAsia" w:ascii="宋体" w:hAnsi="宋体" w:eastAsia="宋体" w:cs="宋体"/>
          <w:b/>
          <w:kern w:val="0"/>
          <w:sz w:val="24"/>
          <w:szCs w:val="24"/>
        </w:rPr>
      </w:pPr>
    </w:p>
    <w:p w14:paraId="6C32D3C8">
      <w:pPr>
        <w:adjustRightInd w:val="0"/>
        <w:snapToGrid w:val="0"/>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B-4 委托人提供的设备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023B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B9C74C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1590" w:type="dxa"/>
            <w:noWrap w:val="0"/>
            <w:vAlign w:val="top"/>
          </w:tcPr>
          <w:p w14:paraId="72B1FFC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2130" w:type="dxa"/>
            <w:noWrap w:val="0"/>
            <w:vAlign w:val="top"/>
          </w:tcPr>
          <w:p w14:paraId="1803826E">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型号与规格</w:t>
            </w:r>
          </w:p>
        </w:tc>
        <w:tc>
          <w:tcPr>
            <w:tcW w:w="1860" w:type="dxa"/>
            <w:noWrap w:val="0"/>
            <w:vAlign w:val="top"/>
          </w:tcPr>
          <w:p w14:paraId="2A14008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提供时间</w:t>
            </w:r>
          </w:p>
        </w:tc>
      </w:tr>
      <w:tr w14:paraId="783E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59F9512">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1. 通讯设备</w:t>
            </w:r>
          </w:p>
        </w:tc>
        <w:tc>
          <w:tcPr>
            <w:tcW w:w="1590" w:type="dxa"/>
            <w:noWrap w:val="0"/>
            <w:vAlign w:val="top"/>
          </w:tcPr>
          <w:p w14:paraId="6963EF9C">
            <w:pPr>
              <w:adjustRightInd w:val="0"/>
              <w:snapToGrid w:val="0"/>
              <w:spacing w:line="360" w:lineRule="auto"/>
              <w:rPr>
                <w:rFonts w:hint="eastAsia" w:ascii="宋体" w:hAnsi="宋体" w:eastAsia="宋体" w:cs="宋体"/>
                <w:sz w:val="24"/>
                <w:szCs w:val="24"/>
              </w:rPr>
            </w:pPr>
          </w:p>
        </w:tc>
        <w:tc>
          <w:tcPr>
            <w:tcW w:w="2130" w:type="dxa"/>
            <w:noWrap w:val="0"/>
            <w:vAlign w:val="top"/>
          </w:tcPr>
          <w:p w14:paraId="3DEA1E75">
            <w:pPr>
              <w:adjustRightInd w:val="0"/>
              <w:snapToGrid w:val="0"/>
              <w:spacing w:line="360" w:lineRule="auto"/>
              <w:rPr>
                <w:rFonts w:hint="eastAsia" w:ascii="宋体" w:hAnsi="宋体" w:eastAsia="宋体" w:cs="宋体"/>
                <w:sz w:val="24"/>
                <w:szCs w:val="24"/>
              </w:rPr>
            </w:pPr>
          </w:p>
        </w:tc>
        <w:tc>
          <w:tcPr>
            <w:tcW w:w="1860" w:type="dxa"/>
            <w:noWrap w:val="0"/>
            <w:vAlign w:val="top"/>
          </w:tcPr>
          <w:p w14:paraId="586D6A6C">
            <w:pPr>
              <w:adjustRightInd w:val="0"/>
              <w:snapToGrid w:val="0"/>
              <w:spacing w:line="360" w:lineRule="auto"/>
              <w:rPr>
                <w:rFonts w:hint="eastAsia" w:ascii="宋体" w:hAnsi="宋体" w:eastAsia="宋体" w:cs="宋体"/>
                <w:sz w:val="24"/>
                <w:szCs w:val="24"/>
              </w:rPr>
            </w:pPr>
          </w:p>
        </w:tc>
      </w:tr>
      <w:tr w14:paraId="1009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7E2A42C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2. 办公设备</w:t>
            </w:r>
          </w:p>
        </w:tc>
        <w:tc>
          <w:tcPr>
            <w:tcW w:w="1590" w:type="dxa"/>
            <w:noWrap w:val="0"/>
            <w:vAlign w:val="top"/>
          </w:tcPr>
          <w:p w14:paraId="66C974CC">
            <w:pPr>
              <w:adjustRightInd w:val="0"/>
              <w:snapToGrid w:val="0"/>
              <w:spacing w:line="360" w:lineRule="auto"/>
              <w:rPr>
                <w:rFonts w:hint="eastAsia" w:ascii="宋体" w:hAnsi="宋体" w:eastAsia="宋体" w:cs="宋体"/>
                <w:sz w:val="24"/>
                <w:szCs w:val="24"/>
              </w:rPr>
            </w:pPr>
          </w:p>
        </w:tc>
        <w:tc>
          <w:tcPr>
            <w:tcW w:w="2130" w:type="dxa"/>
            <w:noWrap w:val="0"/>
            <w:vAlign w:val="top"/>
          </w:tcPr>
          <w:p w14:paraId="0212EC55">
            <w:pPr>
              <w:adjustRightInd w:val="0"/>
              <w:snapToGrid w:val="0"/>
              <w:spacing w:line="360" w:lineRule="auto"/>
              <w:rPr>
                <w:rFonts w:hint="eastAsia" w:ascii="宋体" w:hAnsi="宋体" w:eastAsia="宋体" w:cs="宋体"/>
                <w:sz w:val="24"/>
                <w:szCs w:val="24"/>
              </w:rPr>
            </w:pPr>
          </w:p>
        </w:tc>
        <w:tc>
          <w:tcPr>
            <w:tcW w:w="1860" w:type="dxa"/>
            <w:noWrap w:val="0"/>
            <w:vAlign w:val="top"/>
          </w:tcPr>
          <w:p w14:paraId="50BA1A8F">
            <w:pPr>
              <w:adjustRightInd w:val="0"/>
              <w:snapToGrid w:val="0"/>
              <w:spacing w:line="360" w:lineRule="auto"/>
              <w:rPr>
                <w:rFonts w:hint="eastAsia" w:ascii="宋体" w:hAnsi="宋体" w:eastAsia="宋体" w:cs="宋体"/>
                <w:sz w:val="24"/>
                <w:szCs w:val="24"/>
              </w:rPr>
            </w:pPr>
          </w:p>
        </w:tc>
      </w:tr>
      <w:tr w14:paraId="40A6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27D8187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3. 交通工具</w:t>
            </w:r>
          </w:p>
        </w:tc>
        <w:tc>
          <w:tcPr>
            <w:tcW w:w="1590" w:type="dxa"/>
            <w:noWrap w:val="0"/>
            <w:vAlign w:val="top"/>
          </w:tcPr>
          <w:p w14:paraId="1E642D41">
            <w:pPr>
              <w:adjustRightInd w:val="0"/>
              <w:snapToGrid w:val="0"/>
              <w:spacing w:line="360" w:lineRule="auto"/>
              <w:rPr>
                <w:rFonts w:hint="eastAsia" w:ascii="宋体" w:hAnsi="宋体" w:eastAsia="宋体" w:cs="宋体"/>
                <w:sz w:val="24"/>
                <w:szCs w:val="24"/>
              </w:rPr>
            </w:pPr>
          </w:p>
        </w:tc>
        <w:tc>
          <w:tcPr>
            <w:tcW w:w="2130" w:type="dxa"/>
            <w:noWrap w:val="0"/>
            <w:vAlign w:val="top"/>
          </w:tcPr>
          <w:p w14:paraId="4AE14FE7">
            <w:pPr>
              <w:adjustRightInd w:val="0"/>
              <w:snapToGrid w:val="0"/>
              <w:spacing w:line="360" w:lineRule="auto"/>
              <w:rPr>
                <w:rFonts w:hint="eastAsia" w:ascii="宋体" w:hAnsi="宋体" w:eastAsia="宋体" w:cs="宋体"/>
                <w:sz w:val="24"/>
                <w:szCs w:val="24"/>
              </w:rPr>
            </w:pPr>
          </w:p>
        </w:tc>
        <w:tc>
          <w:tcPr>
            <w:tcW w:w="1860" w:type="dxa"/>
            <w:noWrap w:val="0"/>
            <w:vAlign w:val="top"/>
          </w:tcPr>
          <w:p w14:paraId="48C91690">
            <w:pPr>
              <w:adjustRightInd w:val="0"/>
              <w:snapToGrid w:val="0"/>
              <w:spacing w:line="360" w:lineRule="auto"/>
              <w:rPr>
                <w:rFonts w:hint="eastAsia" w:ascii="宋体" w:hAnsi="宋体" w:eastAsia="宋体" w:cs="宋体"/>
                <w:sz w:val="24"/>
                <w:szCs w:val="24"/>
              </w:rPr>
            </w:pPr>
          </w:p>
        </w:tc>
      </w:tr>
      <w:tr w14:paraId="0FB7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275EF950">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4. 检测和试验设备</w:t>
            </w:r>
          </w:p>
        </w:tc>
        <w:tc>
          <w:tcPr>
            <w:tcW w:w="1590" w:type="dxa"/>
            <w:noWrap w:val="0"/>
            <w:vAlign w:val="top"/>
          </w:tcPr>
          <w:p w14:paraId="105185A2">
            <w:pPr>
              <w:adjustRightInd w:val="0"/>
              <w:snapToGrid w:val="0"/>
              <w:spacing w:line="360" w:lineRule="auto"/>
              <w:rPr>
                <w:rFonts w:hint="eastAsia" w:ascii="宋体" w:hAnsi="宋体" w:eastAsia="宋体" w:cs="宋体"/>
                <w:sz w:val="24"/>
                <w:szCs w:val="24"/>
              </w:rPr>
            </w:pPr>
          </w:p>
        </w:tc>
        <w:tc>
          <w:tcPr>
            <w:tcW w:w="2130" w:type="dxa"/>
            <w:noWrap w:val="0"/>
            <w:vAlign w:val="top"/>
          </w:tcPr>
          <w:p w14:paraId="1D2959A8">
            <w:pPr>
              <w:adjustRightInd w:val="0"/>
              <w:snapToGrid w:val="0"/>
              <w:spacing w:line="360" w:lineRule="auto"/>
              <w:rPr>
                <w:rFonts w:hint="eastAsia" w:ascii="宋体" w:hAnsi="宋体" w:eastAsia="宋体" w:cs="宋体"/>
                <w:sz w:val="24"/>
                <w:szCs w:val="24"/>
              </w:rPr>
            </w:pPr>
          </w:p>
        </w:tc>
        <w:tc>
          <w:tcPr>
            <w:tcW w:w="1860" w:type="dxa"/>
            <w:noWrap w:val="0"/>
            <w:vAlign w:val="top"/>
          </w:tcPr>
          <w:p w14:paraId="6DE32D69">
            <w:pPr>
              <w:adjustRightInd w:val="0"/>
              <w:snapToGrid w:val="0"/>
              <w:spacing w:line="360" w:lineRule="auto"/>
              <w:rPr>
                <w:rFonts w:hint="eastAsia" w:ascii="宋体" w:hAnsi="宋体" w:eastAsia="宋体" w:cs="宋体"/>
                <w:sz w:val="24"/>
                <w:szCs w:val="24"/>
              </w:rPr>
            </w:pPr>
          </w:p>
        </w:tc>
      </w:tr>
      <w:tr w14:paraId="6ED7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6C9FA811">
            <w:pPr>
              <w:adjustRightInd w:val="0"/>
              <w:snapToGrid w:val="0"/>
              <w:spacing w:line="360" w:lineRule="auto"/>
              <w:rPr>
                <w:rFonts w:hint="eastAsia" w:ascii="宋体" w:hAnsi="宋体" w:eastAsia="宋体" w:cs="宋体"/>
                <w:sz w:val="24"/>
                <w:szCs w:val="24"/>
              </w:rPr>
            </w:pPr>
          </w:p>
        </w:tc>
        <w:tc>
          <w:tcPr>
            <w:tcW w:w="1590" w:type="dxa"/>
            <w:noWrap w:val="0"/>
            <w:vAlign w:val="top"/>
          </w:tcPr>
          <w:p w14:paraId="1C6EFD97">
            <w:pPr>
              <w:adjustRightInd w:val="0"/>
              <w:snapToGrid w:val="0"/>
              <w:spacing w:line="360" w:lineRule="auto"/>
              <w:rPr>
                <w:rFonts w:hint="eastAsia" w:ascii="宋体" w:hAnsi="宋体" w:eastAsia="宋体" w:cs="宋体"/>
                <w:sz w:val="24"/>
                <w:szCs w:val="24"/>
              </w:rPr>
            </w:pPr>
          </w:p>
        </w:tc>
        <w:tc>
          <w:tcPr>
            <w:tcW w:w="2130" w:type="dxa"/>
            <w:noWrap w:val="0"/>
            <w:vAlign w:val="top"/>
          </w:tcPr>
          <w:p w14:paraId="34CBD2EB">
            <w:pPr>
              <w:adjustRightInd w:val="0"/>
              <w:snapToGrid w:val="0"/>
              <w:spacing w:line="360" w:lineRule="auto"/>
              <w:rPr>
                <w:rFonts w:hint="eastAsia" w:ascii="宋体" w:hAnsi="宋体" w:eastAsia="宋体" w:cs="宋体"/>
                <w:sz w:val="24"/>
                <w:szCs w:val="24"/>
              </w:rPr>
            </w:pPr>
          </w:p>
        </w:tc>
        <w:tc>
          <w:tcPr>
            <w:tcW w:w="1860" w:type="dxa"/>
            <w:noWrap w:val="0"/>
            <w:vAlign w:val="top"/>
          </w:tcPr>
          <w:p w14:paraId="215AB35C">
            <w:pPr>
              <w:adjustRightInd w:val="0"/>
              <w:snapToGrid w:val="0"/>
              <w:spacing w:line="360" w:lineRule="auto"/>
              <w:rPr>
                <w:rFonts w:hint="eastAsia" w:ascii="宋体" w:hAnsi="宋体" w:eastAsia="宋体" w:cs="宋体"/>
                <w:sz w:val="24"/>
                <w:szCs w:val="24"/>
              </w:rPr>
            </w:pPr>
          </w:p>
        </w:tc>
      </w:tr>
    </w:tbl>
    <w:p w14:paraId="0E66BF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9D4CA">
    <w:pPr>
      <w:pStyle w:val="5"/>
      <w:tabs>
        <w:tab w:val="right" w:pos="9555"/>
        <w:tab w:val="clear" w:pos="8306"/>
      </w:tabs>
      <w:rPr>
        <w:rStyle w:val="8"/>
        <w:rFonts w:hint="eastAsia"/>
      </w:rPr>
    </w:pPr>
  </w:p>
  <w:p w14:paraId="64F62DBB">
    <w:pPr>
      <w:pStyle w:val="5"/>
      <w:tabs>
        <w:tab w:val="right" w:pos="9555"/>
        <w:tab w:val="clear" w:pos="8306"/>
      </w:tabs>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8C6DC9"/>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0C8C6DC9"/>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4B42">
    <w:pPr>
      <w:pStyle w:val="5"/>
      <w:tabs>
        <w:tab w:val="right" w:pos="9555"/>
        <w:tab w:val="clear" w:pos="8306"/>
      </w:tabs>
      <w:rPr>
        <w:rStyle w:val="8"/>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AC00F6">
                          <w:pPr>
                            <w:pStyle w:val="5"/>
                          </w:pPr>
                          <w:r>
                            <w:fldChar w:fldCharType="begin"/>
                          </w:r>
                          <w:r>
                            <w:instrText xml:space="preserve"> PAGE  \* MERGEFORMAT </w:instrText>
                          </w:r>
                          <w:r>
                            <w:fldChar w:fldCharType="separate"/>
                          </w:r>
                          <w:r>
                            <w:t>29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v:imagedata o:title=""/>
              <o:lock v:ext="edit" aspectratio="f"/>
              <v:textbox inset="0mm,0mm,0mm,0mm" style="mso-fit-shape-to-text:t;">
                <w:txbxContent>
                  <w:p w14:paraId="3BAC00F6">
                    <w:pPr>
                      <w:pStyle w:val="5"/>
                    </w:pPr>
                    <w:r>
                      <w:fldChar w:fldCharType="begin"/>
                    </w:r>
                    <w:r>
                      <w:instrText xml:space="preserve"> PAGE  \* MERGEFORMAT </w:instrText>
                    </w:r>
                    <w:r>
                      <w:fldChar w:fldCharType="separate"/>
                    </w:r>
                    <w:r>
                      <w:t>29</w:t>
                    </w:r>
                    <w:r>
                      <w:fldChar w:fldCharType="end"/>
                    </w:r>
                  </w:p>
                </w:txbxContent>
              </v:textbox>
            </v:shape>
          </w:pict>
        </mc:Fallback>
      </mc:AlternateContent>
    </w:r>
  </w:p>
  <w:p w14:paraId="080AED9F">
    <w:pPr>
      <w:pStyle w:val="5"/>
      <w:tabs>
        <w:tab w:val="right" w:pos="9555"/>
        <w:tab w:val="clear" w:pos="8306"/>
      </w:tabs>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1C8EE"/>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BE1C8EE"/>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8E5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3">
    <w:name w:val="Plain Text"/>
    <w:basedOn w:val="1"/>
    <w:qFormat/>
    <w:uiPriority w:val="0"/>
    <w:rPr>
      <w:rFonts w:ascii="宋体" w:hAnsi="Courier New"/>
      <w:szCs w:val="20"/>
    </w:rPr>
  </w:style>
  <w:style w:type="paragraph" w:styleId="4">
    <w:name w:val="Body Text Indent 2"/>
    <w:basedOn w:val="1"/>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5">
    <w:name w:val="footer"/>
    <w:basedOn w:val="1"/>
    <w:qFormat/>
    <w:uiPriority w:val="0"/>
    <w:pPr>
      <w:tabs>
        <w:tab w:val="center" w:pos="4153"/>
        <w:tab w:val="right" w:pos="8306"/>
      </w:tabs>
      <w:snapToGrid w:val="0"/>
      <w:jc w:val="left"/>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2026-07-11T08:35:06Z</dcterms:created>
  <dc:creator>lenovo</dc:creator>
  <cp:lastModifiedBy>1</cp:lastModifiedBy>
  <dcterms:modified xsi:type="dcterms:W3CDTF">2026-07-11T08:35:57Z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eyJoZGlkIjoiMjZlYTJmYjQ3NTg4NDc2N2E3NDYyOWVlMmZjY2YzYmYiLCJ1c2VySWQiOiIzODk0Njg4MTQifQ==</vt:lpwstr>
  </property>
  <property fmtid="{D5CDD505-2E9C-101B-9397-08002B2CF9AE}" pid="4" name="ICV">
    <vt:lpwstr>6D3C5D3EF6B54F46B4F490806B0E1C5F_12</vt:lpwstr>
  </property>
</Properties>
</file>