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版本号：JXRC-26071820260723001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管道泄露检测与定位实验装置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管道泄露检测与定位实验装置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管道泄露检测与定位实验装置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搭建专业、高精度的管道泄漏检测平台，实现气体管道泄漏的精准定位、动态捕捉与全流程数据采集，解决输气管道泄漏形态研究、安全防护技术开发、设备性能验证中的核心技术问题。该平台可检测不同工况下的输气管道泄漏场景，为油气储运相关领域的科研工作、产业安全标准制定提供核心的试验数据与技术支撑，同时满足相关科研项目的试验需求，全面提升在输气安全领域的科研能力与技术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开户银行：民生银行西安分行营业部（备注：转账时须附言“260718谈判保证金”）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代理服务费收费标准：招标代理服务费参见国家计委颁布的《招标代理服务收费管理暂行办法》（计价格[2002]1980号）和（发改办价格[2011]534号）货物类收费标准的90%收取。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管道泄漏检测与定位实验装置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标的名称：管道泄漏检测与定位实验装置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87"/>
              <w:gridCol w:w="208"/>
              <w:gridCol w:w="2058"/>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参数性质</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技术参数与性能指标</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功能简介：</w:t>
                  </w:r>
                </w:p>
                <w:p>
                  <w:pPr>
                    <w:pStyle w:val="null3"/>
                    <w:jc w:val="left"/>
                  </w:pPr>
                  <w:r>
                    <w:rPr>
                      <w:rFonts w:ascii="仿宋_GB2312" w:hAnsi="仿宋_GB2312" w:cs="仿宋_GB2312" w:eastAsia="仿宋_GB2312"/>
                      <w:sz w:val="24"/>
                      <w:color w:val="000000"/>
                    </w:rPr>
                    <w:t>具备点测温、线测温、区域测温功能，能输出最高温、最低温数据，支持多种测量形状。支持自定义屏蔽选定区域、自定义标尺、同步计算高温、低温、平均温。</w:t>
                  </w:r>
                </w:p>
                <w:p>
                  <w:pPr>
                    <w:pStyle w:val="null3"/>
                    <w:jc w:val="left"/>
                  </w:pPr>
                  <w:r>
                    <w:rPr>
                      <w:rFonts w:ascii="仿宋_GB2312" w:hAnsi="仿宋_GB2312" w:cs="仿宋_GB2312" w:eastAsia="仿宋_GB2312"/>
                      <w:sz w:val="24"/>
                      <w:color w:val="000000"/>
                    </w:rPr>
                    <w:t>具备热图、可见光图、参数表、直方图、线温图、文本框功能。支持三维自定义视角查看空间红外热图。</w:t>
                  </w:r>
                </w:p>
                <w:p>
                  <w:pPr>
                    <w:pStyle w:val="null3"/>
                    <w:jc w:val="left"/>
                  </w:pPr>
                  <w:r>
                    <w:rPr>
                      <w:rFonts w:ascii="仿宋_GB2312" w:hAnsi="仿宋_GB2312" w:cs="仿宋_GB2312" w:eastAsia="仿宋_GB2312"/>
                      <w:sz w:val="24"/>
                      <w:color w:val="000000"/>
                    </w:rPr>
                    <w:t>能分析红外图片和视频，可调整成像的色差和对比度，可调整温度跨度和电平，分析完成后可导出数据表。</w:t>
                  </w:r>
                </w:p>
                <w:p>
                  <w:pPr>
                    <w:pStyle w:val="null3"/>
                    <w:jc w:val="left"/>
                  </w:pPr>
                  <w:r>
                    <w:rPr>
                      <w:rFonts w:ascii="仿宋_GB2312" w:hAnsi="仿宋_GB2312" w:cs="仿宋_GB2312" w:eastAsia="仿宋_GB2312"/>
                      <w:sz w:val="24"/>
                      <w:color w:val="000000"/>
                    </w:rPr>
                    <w:t>可针对发射率、反射温度、距离、湿度、温度、透光率修正测温。</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传感器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红外分辨率</w:t>
                  </w:r>
                  <w:r>
                    <w:rPr>
                      <w:rFonts w:ascii="仿宋_GB2312" w:hAnsi="仿宋_GB2312" w:cs="仿宋_GB2312" w:eastAsia="仿宋_GB2312"/>
                      <w:sz w:val="24"/>
                    </w:rPr>
                    <w:t>≥640</w:t>
                  </w:r>
                  <w:r>
                    <w:rPr>
                      <w:rFonts w:ascii="仿宋_GB2312" w:hAnsi="仿宋_GB2312" w:cs="仿宋_GB2312" w:eastAsia="仿宋_GB2312"/>
                      <w:sz w:val="24"/>
                      <w:color w:val="000000"/>
                    </w:rPr>
                    <w:t>×</w:t>
                  </w:r>
                  <w:r>
                    <w:rPr>
                      <w:rFonts w:ascii="仿宋_GB2312" w:hAnsi="仿宋_GB2312" w:cs="仿宋_GB2312" w:eastAsia="仿宋_GB2312"/>
                      <w:sz w:val="24"/>
                    </w:rPr>
                    <w:t>512</w:t>
                  </w:r>
                  <w:r>
                    <w:rPr>
                      <w:rFonts w:ascii="仿宋_GB2312" w:hAnsi="仿宋_GB2312" w:cs="仿宋_GB2312" w:eastAsia="仿宋_GB2312"/>
                      <w:sz w:val="24"/>
                    </w:rPr>
                    <w:t>，CMOS单元尺寸≥30μm、光学像素≥8MP，成像帧率≥50Hz。</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热灵敏度≤10mK，测温范围-40～300℃，精度≤±2℃。</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具备“红外热成像+可见光+气体组分成像”全功能集成的整机设备，若采用单功能/双功能设备进行组合，必须确保各功能组件可通过物理接口进行拼接或组网，并最终由同一套控制终端进行统一协同显示与数据分析。</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支持手/自动对焦，1-10倍变焦，10m距离视场≥4m×3m，包含LED补光头。</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能够展示气体分布和扩散形貌，能分辨包括甲烷、石油挥发气等气体，气体检测精度≤0.5g/hr（甲烷条件）。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测量灵敏度不小于1%摩尔浓度、5dB、10Pa，支持泄漏压力≥20MPa；采样频率≥10kHz。</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防爆能力符合GB/T 3836.4-2021标准认证，防护等级不低于IP54。</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运动机构</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采用步进电机驱动，包含轨道、转轴、落地支架。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具备6自由度运动功能，轴向范围</w:t>
                  </w:r>
                  <w:r>
                    <w:rPr>
                      <w:rFonts w:ascii="仿宋_GB2312" w:hAnsi="仿宋_GB2312" w:cs="仿宋_GB2312" w:eastAsia="仿宋_GB2312"/>
                      <w:sz w:val="24"/>
                    </w:rPr>
                    <w:t>≥</w:t>
                  </w:r>
                  <w:r>
                    <w:rPr>
                      <w:rFonts w:ascii="仿宋_GB2312" w:hAnsi="仿宋_GB2312" w:cs="仿宋_GB2312" w:eastAsia="仿宋_GB2312"/>
                      <w:sz w:val="24"/>
                      <w:color w:val="000000"/>
                    </w:rPr>
                    <w:t>1.5m</w:t>
                  </w:r>
                  <w:r>
                    <w:rPr>
                      <w:rFonts w:ascii="仿宋_GB2312" w:hAnsi="仿宋_GB2312" w:cs="仿宋_GB2312" w:eastAsia="仿宋_GB2312"/>
                      <w:sz w:val="24"/>
                      <w:color w:val="000000"/>
                    </w:rPr>
                    <w:t>，周向范围</w:t>
                  </w:r>
                  <w:r>
                    <w:rPr>
                      <w:rFonts w:ascii="仿宋_GB2312" w:hAnsi="仿宋_GB2312" w:cs="仿宋_GB2312" w:eastAsia="仿宋_GB2312"/>
                      <w:sz w:val="24"/>
                    </w:rPr>
                    <w:t>≥360°，轴向定位精度≤±0.5mm，周向定位精度≤±0.1°</w:t>
                  </w:r>
                  <w:r>
                    <w:rPr>
                      <w:rFonts w:ascii="仿宋_GB2312" w:hAnsi="仿宋_GB2312" w:cs="仿宋_GB2312" w:eastAsia="仿宋_GB2312"/>
                      <w:sz w:val="24"/>
                      <w:color w:val="000000"/>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支持数显操作面板显示及操控，支持移动端进行远程显示及操控，可预设自动运行轨迹。</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数据分析系统</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专用分析、处理、显示终端（计算能力不低于FP32峰值10TFlops，FP64峰值1Tflops，内存≥64G，存储≥4T，256G SD卡，配备USB3.0、千兆网口、WIFI、HDMI接口。</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备注：1、以上所有技术指标必须满足要求没有负偏离，否则按无效文件处理；</w:t>
            </w:r>
          </w:p>
          <w:p>
            <w:pPr>
              <w:pStyle w:val="null3"/>
            </w:pPr>
            <w:r>
              <w:rPr>
                <w:rFonts w:ascii="仿宋_GB2312" w:hAnsi="仿宋_GB2312" w:cs="仿宋_GB2312" w:eastAsia="仿宋_GB2312"/>
                <w:sz w:val="24"/>
              </w:rPr>
              <w:t>2、带●的技术参数与性能指标需要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其他，待货物到达指定地点、安装调试验收合格后，一次性付清合同货款，达到付款条件起10个工作日内，支付合同总金额的100.0%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（1）验收以技术指标要求逐条验收，以最终验收结果为准；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保修期：卖方提供叁年的免费保修,保修期自仪器验收签字之日起计算。保修期间维修及零件更换费用由厂家负担。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1、培训要求：按照采购人要求提供该设备相应的技术培训。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jxrc_001@163.com（邮件命名：项目编号）。保函必须由具有开具投标保函资格的单位开具；若供应商违约，开具保函单位承担连带责任； 3、中标供应商应在中标结果发布后2日内提供与电子化交易平台上传一致的纸质投标文件2份。 4、场地基础承载要求（如涉及）：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中标单位须免费提供地面加固、承重基座制作全套施工方案并完成施工，所有施工材料、人工、检测费用全部包含在投标总价内。 5、整机就位、调平与减震安装要求（如涉及）：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6、质保期内中标方提供免费搬迁和安装调试1次，本次搬迁和安装调试过程中所产生的一切费用由中标方承担；本次搬迁和安装调试过程中仪器出现的一切故障和损坏由中标方免费修复。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会计师事务所审计并通过注册会计师行业统一监管平台备案赋码的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商务响应偏离表 谈判方案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待货物到达指定地点、安装调试验收合格后，一次性付清合同货款，达到付款条件起10个工作日内，支付合同总金额的100.0%</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所有技术参数为实质性响应条款，●号项须提供相应佐证材料，未提供或虽提供但不符合的按无效文件处理。</w:t>
            </w:r>
          </w:p>
        </w:tc>
        <w:tc>
          <w:tcPr>
            <w:tcW w:type="dxa" w:w="1661"/>
          </w:tcPr>
          <w:p>
            <w:pPr>
              <w:pStyle w:val="null3"/>
            </w:pPr>
            <w:r>
              <w:rPr>
                <w:rFonts w:ascii="仿宋_GB2312" w:hAnsi="仿宋_GB2312" w:cs="仿宋_GB2312" w:eastAsia="仿宋_GB2312"/>
              </w:rPr>
              <w:t>响应文件封面 技术响应偏离表 其他材料 供应商基本信息 供应商企业关联关系说明书 供应商承诺书 谈判保证金缴纳凭证</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详见附件：谈判保证金缴纳凭证</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