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E4821">
      <w:pPr>
        <w:pStyle w:val="4"/>
        <w:jc w:val="center"/>
        <w:outlineLvl w:val="1"/>
        <w:rPr>
          <w:color w:val="auto"/>
          <w:sz w:val="21"/>
          <w:szCs w:val="21"/>
          <w:highlight w:val="none"/>
        </w:rPr>
      </w:pPr>
      <w:r>
        <w:rPr>
          <w:rFonts w:ascii="仿宋_GB2312" w:hAnsi="仿宋_GB2312" w:eastAsia="仿宋_GB2312" w:cs="仿宋_GB2312"/>
          <w:b/>
          <w:color w:val="auto"/>
          <w:sz w:val="36"/>
          <w:szCs w:val="20"/>
          <w:highlight w:val="none"/>
        </w:rPr>
        <w:t>第三章 磋商项目技术、服务、商务及其他要求</w:t>
      </w:r>
    </w:p>
    <w:p w14:paraId="4ADCF438">
      <w:pPr>
        <w:pStyle w:val="4"/>
        <w:ind w:firstLine="480"/>
        <w:rPr>
          <w:color w:val="auto"/>
          <w:sz w:val="24"/>
          <w:szCs w:val="24"/>
          <w:highlight w:val="none"/>
        </w:rPr>
      </w:pPr>
      <w:r>
        <w:rPr>
          <w:rFonts w:ascii="仿宋_GB2312" w:hAnsi="仿宋_GB2312" w:eastAsia="仿宋_GB2312" w:cs="仿宋_GB2312"/>
          <w:color w:val="auto"/>
          <w:sz w:val="24"/>
          <w:szCs w:val="24"/>
          <w:highlight w:val="none"/>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15DE4EEE">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3.1采购项目概况</w:t>
      </w:r>
    </w:p>
    <w:p w14:paraId="1887971E">
      <w:pPr>
        <w:pStyle w:val="4"/>
        <w:ind w:firstLine="480"/>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我院</w:t>
      </w:r>
      <w:r>
        <w:rPr>
          <w:rFonts w:hint="eastAsia" w:ascii="仿宋_GB2312" w:hAnsi="仿宋_GB2312" w:eastAsia="仿宋_GB2312" w:cs="仿宋_GB2312"/>
          <w:color w:val="auto"/>
          <w:sz w:val="24"/>
          <w:szCs w:val="24"/>
          <w:highlight w:val="none"/>
        </w:rPr>
        <w:t>数字链路建成后，确保两院区的业务互联互通、高效互动，并彻底改善日常办公、问诊、挂号环境，全面提升我院网络的综合性能。</w:t>
      </w:r>
    </w:p>
    <w:p w14:paraId="7A57AFE2">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3.2服务内容及服务要求</w:t>
      </w:r>
    </w:p>
    <w:p w14:paraId="6612784F">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3.2.1服务内容</w:t>
      </w:r>
    </w:p>
    <w:p w14:paraId="0981EDDE">
      <w:pPr>
        <w:pStyle w:val="4"/>
        <w:rPr>
          <w:color w:val="auto"/>
          <w:sz w:val="24"/>
          <w:szCs w:val="24"/>
          <w:highlight w:val="none"/>
        </w:rPr>
      </w:pPr>
      <w:r>
        <w:rPr>
          <w:rFonts w:ascii="仿宋_GB2312" w:hAnsi="仿宋_GB2312" w:eastAsia="仿宋_GB2312" w:cs="仿宋_GB2312"/>
          <w:color w:val="auto"/>
          <w:sz w:val="24"/>
          <w:szCs w:val="24"/>
          <w:highlight w:val="none"/>
        </w:rPr>
        <w:t>采购包1：</w:t>
      </w:r>
      <w:bookmarkStart w:id="0" w:name="_GoBack"/>
      <w:bookmarkEnd w:id="0"/>
    </w:p>
    <w:p w14:paraId="0B77945F">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采购包预算金额（元）: </w:t>
      </w:r>
      <w:r>
        <w:rPr>
          <w:rFonts w:hint="eastAsia" w:ascii="仿宋_GB2312" w:hAnsi="仿宋_GB2312" w:eastAsia="仿宋_GB2312" w:cs="仿宋_GB2312"/>
          <w:color w:val="auto"/>
          <w:sz w:val="24"/>
          <w:szCs w:val="24"/>
          <w:highlight w:val="none"/>
          <w:lang w:val="en-US" w:eastAsia="zh-CN"/>
        </w:rPr>
        <w:t>140,000</w:t>
      </w:r>
      <w:r>
        <w:rPr>
          <w:rFonts w:ascii="仿宋_GB2312" w:hAnsi="仿宋_GB2312" w:eastAsia="仿宋_GB2312" w:cs="仿宋_GB2312"/>
          <w:color w:val="auto"/>
          <w:sz w:val="24"/>
          <w:szCs w:val="24"/>
          <w:highlight w:val="none"/>
        </w:rPr>
        <w:t>.00</w:t>
      </w:r>
    </w:p>
    <w:p w14:paraId="0475FE62">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采购包最高限价（元）: </w:t>
      </w:r>
      <w:r>
        <w:rPr>
          <w:rFonts w:hint="eastAsia" w:ascii="仿宋_GB2312" w:hAnsi="仿宋_GB2312" w:eastAsia="仿宋_GB2312" w:cs="仿宋_GB2312"/>
          <w:color w:val="auto"/>
          <w:sz w:val="24"/>
          <w:szCs w:val="24"/>
          <w:highlight w:val="none"/>
          <w:lang w:val="en-US" w:eastAsia="zh-CN"/>
        </w:rPr>
        <w:t>130,000</w:t>
      </w:r>
      <w:r>
        <w:rPr>
          <w:rFonts w:ascii="仿宋_GB2312" w:hAnsi="仿宋_GB2312" w:eastAsia="仿宋_GB2312" w:cs="仿宋_GB2312"/>
          <w:color w:val="auto"/>
          <w:sz w:val="24"/>
          <w:szCs w:val="24"/>
          <w:highlight w:val="none"/>
        </w:rPr>
        <w:t>.00</w:t>
      </w:r>
    </w:p>
    <w:p w14:paraId="4E08CA63">
      <w:pPr>
        <w:pStyle w:val="4"/>
        <w:rPr>
          <w:color w:val="auto"/>
          <w:sz w:val="24"/>
          <w:szCs w:val="24"/>
          <w:highlight w:val="none"/>
        </w:rPr>
      </w:pPr>
      <w:r>
        <w:rPr>
          <w:rFonts w:ascii="仿宋_GB2312" w:hAnsi="仿宋_GB2312" w:eastAsia="仿宋_GB2312" w:cs="仿宋_GB2312"/>
          <w:color w:val="auto"/>
          <w:sz w:val="24"/>
          <w:szCs w:val="24"/>
          <w:highlight w:val="none"/>
        </w:rPr>
        <w:t>供应商报价不允许超过标的金额</w:t>
      </w:r>
    </w:p>
    <w:p w14:paraId="2AFE7282">
      <w:pPr>
        <w:pStyle w:val="4"/>
        <w:rPr>
          <w:color w:val="auto"/>
          <w:sz w:val="24"/>
          <w:szCs w:val="24"/>
          <w:highlight w:val="none"/>
        </w:rPr>
      </w:pPr>
      <w:r>
        <w:rPr>
          <w:rFonts w:ascii="仿宋_GB2312" w:hAnsi="仿宋_GB2312" w:eastAsia="仿宋_GB2312" w:cs="仿宋_GB2312"/>
          <w:color w:val="auto"/>
          <w:sz w:val="24"/>
          <w:szCs w:val="24"/>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06"/>
        <w:gridCol w:w="745"/>
        <w:gridCol w:w="1416"/>
        <w:gridCol w:w="707"/>
        <w:gridCol w:w="707"/>
        <w:gridCol w:w="707"/>
        <w:gridCol w:w="707"/>
        <w:gridCol w:w="707"/>
        <w:gridCol w:w="707"/>
        <w:gridCol w:w="707"/>
      </w:tblGrid>
      <w:tr w14:paraId="373AC7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F537941">
            <w:pPr>
              <w:pStyle w:val="4"/>
              <w:rPr>
                <w:color w:val="auto"/>
                <w:sz w:val="24"/>
                <w:szCs w:val="24"/>
                <w:highlight w:val="none"/>
              </w:rPr>
            </w:pPr>
            <w:r>
              <w:rPr>
                <w:rFonts w:ascii="仿宋_GB2312" w:hAnsi="仿宋_GB2312" w:eastAsia="仿宋_GB2312" w:cs="仿宋_GB2312"/>
                <w:color w:val="auto"/>
                <w:sz w:val="24"/>
                <w:szCs w:val="24"/>
                <w:highlight w:val="none"/>
              </w:rPr>
              <w:t>序号</w:t>
            </w:r>
          </w:p>
        </w:tc>
        <w:tc>
          <w:tcPr>
            <w:tcW w:w="755" w:type="dxa"/>
          </w:tcPr>
          <w:p w14:paraId="0E4BC4A1">
            <w:pPr>
              <w:pStyle w:val="4"/>
              <w:rPr>
                <w:color w:val="auto"/>
                <w:sz w:val="24"/>
                <w:szCs w:val="24"/>
                <w:highlight w:val="none"/>
              </w:rPr>
            </w:pPr>
            <w:r>
              <w:rPr>
                <w:rFonts w:ascii="仿宋_GB2312" w:hAnsi="仿宋_GB2312" w:eastAsia="仿宋_GB2312" w:cs="仿宋_GB2312"/>
                <w:color w:val="auto"/>
                <w:sz w:val="24"/>
                <w:szCs w:val="24"/>
                <w:highlight w:val="none"/>
              </w:rPr>
              <w:t>标的名称</w:t>
            </w:r>
          </w:p>
        </w:tc>
        <w:tc>
          <w:tcPr>
            <w:tcW w:w="755" w:type="dxa"/>
          </w:tcPr>
          <w:p w14:paraId="36F67B7B">
            <w:pPr>
              <w:pStyle w:val="4"/>
              <w:rPr>
                <w:color w:val="auto"/>
                <w:sz w:val="24"/>
                <w:szCs w:val="24"/>
                <w:highlight w:val="none"/>
              </w:rPr>
            </w:pPr>
            <w:r>
              <w:rPr>
                <w:rFonts w:ascii="仿宋_GB2312" w:hAnsi="仿宋_GB2312" w:eastAsia="仿宋_GB2312" w:cs="仿宋_GB2312"/>
                <w:color w:val="auto"/>
                <w:sz w:val="24"/>
                <w:szCs w:val="24"/>
                <w:highlight w:val="none"/>
              </w:rPr>
              <w:t>数量</w:t>
            </w:r>
          </w:p>
        </w:tc>
        <w:tc>
          <w:tcPr>
            <w:tcW w:w="755" w:type="dxa"/>
          </w:tcPr>
          <w:p w14:paraId="5735D55F">
            <w:pPr>
              <w:pStyle w:val="4"/>
              <w:rPr>
                <w:color w:val="auto"/>
                <w:sz w:val="24"/>
                <w:szCs w:val="24"/>
                <w:highlight w:val="none"/>
              </w:rPr>
            </w:pPr>
            <w:r>
              <w:rPr>
                <w:rFonts w:ascii="仿宋_GB2312" w:hAnsi="仿宋_GB2312" w:eastAsia="仿宋_GB2312" w:cs="仿宋_GB2312"/>
                <w:color w:val="auto"/>
                <w:sz w:val="24"/>
                <w:szCs w:val="24"/>
                <w:highlight w:val="none"/>
              </w:rPr>
              <w:t>标的金额 （元）</w:t>
            </w:r>
          </w:p>
        </w:tc>
        <w:tc>
          <w:tcPr>
            <w:tcW w:w="755" w:type="dxa"/>
          </w:tcPr>
          <w:p w14:paraId="1D72A818">
            <w:pPr>
              <w:pStyle w:val="4"/>
              <w:rPr>
                <w:color w:val="auto"/>
                <w:sz w:val="24"/>
                <w:szCs w:val="24"/>
                <w:highlight w:val="none"/>
              </w:rPr>
            </w:pPr>
            <w:r>
              <w:rPr>
                <w:rFonts w:ascii="仿宋_GB2312" w:hAnsi="仿宋_GB2312" w:eastAsia="仿宋_GB2312" w:cs="仿宋_GB2312"/>
                <w:color w:val="auto"/>
                <w:sz w:val="24"/>
                <w:szCs w:val="24"/>
                <w:highlight w:val="none"/>
              </w:rPr>
              <w:t>计量单位</w:t>
            </w:r>
          </w:p>
        </w:tc>
        <w:tc>
          <w:tcPr>
            <w:tcW w:w="755" w:type="dxa"/>
          </w:tcPr>
          <w:p w14:paraId="08EF452C">
            <w:pPr>
              <w:pStyle w:val="4"/>
              <w:rPr>
                <w:color w:val="auto"/>
                <w:sz w:val="24"/>
                <w:szCs w:val="24"/>
                <w:highlight w:val="none"/>
              </w:rPr>
            </w:pPr>
            <w:r>
              <w:rPr>
                <w:rFonts w:ascii="仿宋_GB2312" w:hAnsi="仿宋_GB2312" w:eastAsia="仿宋_GB2312" w:cs="仿宋_GB2312"/>
                <w:color w:val="auto"/>
                <w:sz w:val="24"/>
                <w:szCs w:val="24"/>
                <w:highlight w:val="none"/>
              </w:rPr>
              <w:t>所属行业</w:t>
            </w:r>
          </w:p>
        </w:tc>
        <w:tc>
          <w:tcPr>
            <w:tcW w:w="755" w:type="dxa"/>
          </w:tcPr>
          <w:p w14:paraId="6DD2E6E7">
            <w:pPr>
              <w:pStyle w:val="4"/>
              <w:rPr>
                <w:color w:val="auto"/>
                <w:sz w:val="24"/>
                <w:szCs w:val="24"/>
                <w:highlight w:val="none"/>
              </w:rPr>
            </w:pPr>
            <w:r>
              <w:rPr>
                <w:rFonts w:ascii="仿宋_GB2312" w:hAnsi="仿宋_GB2312" w:eastAsia="仿宋_GB2312" w:cs="仿宋_GB2312"/>
                <w:color w:val="auto"/>
                <w:sz w:val="24"/>
                <w:szCs w:val="24"/>
                <w:highlight w:val="none"/>
              </w:rPr>
              <w:t>是否核心产品</w:t>
            </w:r>
          </w:p>
        </w:tc>
        <w:tc>
          <w:tcPr>
            <w:tcW w:w="755" w:type="dxa"/>
          </w:tcPr>
          <w:p w14:paraId="038CE54B">
            <w:pPr>
              <w:pStyle w:val="4"/>
              <w:rPr>
                <w:color w:val="auto"/>
                <w:sz w:val="24"/>
                <w:szCs w:val="24"/>
                <w:highlight w:val="none"/>
              </w:rPr>
            </w:pPr>
            <w:r>
              <w:rPr>
                <w:rFonts w:ascii="仿宋_GB2312" w:hAnsi="仿宋_GB2312" w:eastAsia="仿宋_GB2312" w:cs="仿宋_GB2312"/>
                <w:color w:val="auto"/>
                <w:sz w:val="24"/>
                <w:szCs w:val="24"/>
                <w:highlight w:val="none"/>
              </w:rPr>
              <w:t>是否允许进口产品</w:t>
            </w:r>
          </w:p>
        </w:tc>
        <w:tc>
          <w:tcPr>
            <w:tcW w:w="755" w:type="dxa"/>
          </w:tcPr>
          <w:p w14:paraId="6304D63D">
            <w:pPr>
              <w:pStyle w:val="4"/>
              <w:rPr>
                <w:color w:val="auto"/>
                <w:sz w:val="24"/>
                <w:szCs w:val="24"/>
                <w:highlight w:val="none"/>
              </w:rPr>
            </w:pPr>
            <w:r>
              <w:rPr>
                <w:rFonts w:ascii="仿宋_GB2312" w:hAnsi="仿宋_GB2312" w:eastAsia="仿宋_GB2312" w:cs="仿宋_GB2312"/>
                <w:color w:val="auto"/>
                <w:sz w:val="24"/>
                <w:szCs w:val="24"/>
                <w:highlight w:val="none"/>
              </w:rPr>
              <w:t>是否属于节能产品</w:t>
            </w:r>
          </w:p>
        </w:tc>
        <w:tc>
          <w:tcPr>
            <w:tcW w:w="755" w:type="dxa"/>
          </w:tcPr>
          <w:p w14:paraId="31FF0F18">
            <w:pPr>
              <w:pStyle w:val="4"/>
              <w:rPr>
                <w:color w:val="auto"/>
                <w:sz w:val="24"/>
                <w:szCs w:val="24"/>
                <w:highlight w:val="none"/>
              </w:rPr>
            </w:pPr>
            <w:r>
              <w:rPr>
                <w:rFonts w:ascii="仿宋_GB2312" w:hAnsi="仿宋_GB2312" w:eastAsia="仿宋_GB2312" w:cs="仿宋_GB2312"/>
                <w:color w:val="auto"/>
                <w:sz w:val="24"/>
                <w:szCs w:val="24"/>
                <w:highlight w:val="none"/>
              </w:rPr>
              <w:t>是否属于环境标志产品</w:t>
            </w:r>
          </w:p>
        </w:tc>
        <w:tc>
          <w:tcPr>
            <w:tcW w:w="755" w:type="dxa"/>
          </w:tcPr>
          <w:p w14:paraId="205A6B51">
            <w:pPr>
              <w:pStyle w:val="4"/>
              <w:rPr>
                <w:color w:val="auto"/>
                <w:sz w:val="24"/>
                <w:szCs w:val="24"/>
                <w:highlight w:val="none"/>
              </w:rPr>
            </w:pPr>
            <w:r>
              <w:rPr>
                <w:rFonts w:ascii="仿宋_GB2312" w:hAnsi="仿宋_GB2312" w:eastAsia="仿宋_GB2312" w:cs="仿宋_GB2312"/>
                <w:color w:val="auto"/>
                <w:sz w:val="24"/>
                <w:szCs w:val="24"/>
                <w:highlight w:val="none"/>
              </w:rPr>
              <w:t>是否实施本国产品政策</w:t>
            </w:r>
          </w:p>
        </w:tc>
      </w:tr>
      <w:tr w14:paraId="7D9BD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0C3F3A8">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755" w:type="dxa"/>
          </w:tcPr>
          <w:p w14:paraId="3D936995">
            <w:pPr>
              <w:pStyle w:val="4"/>
              <w:rPr>
                <w:rFonts w:hint="eastAsia" w:eastAsia="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eastAsia="zh-CN"/>
              </w:rPr>
              <w:t>西安市儿童医院数字链路服务项目</w:t>
            </w:r>
            <w:r>
              <w:rPr>
                <w:rFonts w:hint="eastAsia" w:ascii="仿宋_GB2312" w:hAnsi="仿宋_GB2312" w:eastAsia="仿宋_GB2312" w:cs="仿宋_GB2312"/>
                <w:color w:val="auto"/>
                <w:sz w:val="24"/>
                <w:szCs w:val="24"/>
                <w:highlight w:val="none"/>
                <w:lang w:val="en-US" w:eastAsia="zh-CN"/>
              </w:rPr>
              <w:t>包一</w:t>
            </w:r>
          </w:p>
        </w:tc>
        <w:tc>
          <w:tcPr>
            <w:tcW w:w="755" w:type="dxa"/>
          </w:tcPr>
          <w:p w14:paraId="0D4270E2">
            <w:pPr>
              <w:pStyle w:val="4"/>
              <w:jc w:val="right"/>
              <w:rPr>
                <w:color w:val="auto"/>
                <w:sz w:val="24"/>
                <w:szCs w:val="24"/>
                <w:highlight w:val="none"/>
              </w:rPr>
            </w:pPr>
            <w:r>
              <w:rPr>
                <w:rFonts w:ascii="仿宋_GB2312" w:hAnsi="仿宋_GB2312" w:eastAsia="仿宋_GB2312" w:cs="仿宋_GB2312"/>
                <w:color w:val="auto"/>
                <w:sz w:val="24"/>
                <w:szCs w:val="24"/>
                <w:highlight w:val="none"/>
              </w:rPr>
              <w:t>1.00</w:t>
            </w:r>
          </w:p>
        </w:tc>
        <w:tc>
          <w:tcPr>
            <w:tcW w:w="755" w:type="dxa"/>
          </w:tcPr>
          <w:p w14:paraId="064A4EC5">
            <w:pPr>
              <w:pStyle w:val="4"/>
              <w:jc w:val="right"/>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140,000</w:t>
            </w:r>
            <w:r>
              <w:rPr>
                <w:rFonts w:ascii="仿宋_GB2312" w:hAnsi="仿宋_GB2312" w:eastAsia="仿宋_GB2312" w:cs="仿宋_GB2312"/>
                <w:color w:val="auto"/>
                <w:sz w:val="24"/>
                <w:szCs w:val="24"/>
                <w:highlight w:val="none"/>
              </w:rPr>
              <w:t>.00</w:t>
            </w:r>
          </w:p>
        </w:tc>
        <w:tc>
          <w:tcPr>
            <w:tcW w:w="755" w:type="dxa"/>
          </w:tcPr>
          <w:p w14:paraId="0FACBB62">
            <w:pPr>
              <w:pStyle w:val="4"/>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年</w:t>
            </w:r>
          </w:p>
        </w:tc>
        <w:tc>
          <w:tcPr>
            <w:tcW w:w="755" w:type="dxa"/>
          </w:tcPr>
          <w:p w14:paraId="6473EBDF">
            <w:pPr>
              <w:pStyle w:val="4"/>
              <w:rPr>
                <w:rFonts w:hint="default" w:eastAsiaTheme="minorEastAsia"/>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信息传输业</w:t>
            </w:r>
          </w:p>
        </w:tc>
        <w:tc>
          <w:tcPr>
            <w:tcW w:w="755" w:type="dxa"/>
          </w:tcPr>
          <w:p w14:paraId="46CADFA7">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2C213808">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60DF09DF">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20EEBC6F">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6DBBABA0">
            <w:pPr>
              <w:pStyle w:val="4"/>
              <w:rPr>
                <w:color w:val="auto"/>
                <w:sz w:val="24"/>
                <w:szCs w:val="24"/>
                <w:highlight w:val="none"/>
              </w:rPr>
            </w:pPr>
            <w:r>
              <w:rPr>
                <w:rFonts w:ascii="仿宋_GB2312" w:hAnsi="仿宋_GB2312" w:eastAsia="仿宋_GB2312" w:cs="仿宋_GB2312"/>
                <w:color w:val="auto"/>
                <w:sz w:val="24"/>
                <w:szCs w:val="24"/>
                <w:highlight w:val="none"/>
              </w:rPr>
              <w:t>否</w:t>
            </w:r>
          </w:p>
        </w:tc>
      </w:tr>
    </w:tbl>
    <w:p w14:paraId="668107E0">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13D89C3B">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采购包预算金额（元）: </w:t>
      </w:r>
      <w:r>
        <w:rPr>
          <w:rFonts w:hint="eastAsia" w:ascii="仿宋_GB2312" w:hAnsi="仿宋_GB2312" w:eastAsia="仿宋_GB2312" w:cs="仿宋_GB2312"/>
          <w:color w:val="auto"/>
          <w:sz w:val="24"/>
          <w:szCs w:val="24"/>
          <w:highlight w:val="none"/>
          <w:lang w:val="en-US" w:eastAsia="zh-CN"/>
        </w:rPr>
        <w:t>300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p w14:paraId="7A47F690">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采购包最高限价（元）: </w:t>
      </w:r>
      <w:r>
        <w:rPr>
          <w:rFonts w:hint="eastAsia" w:ascii="仿宋_GB2312" w:hAnsi="仿宋_GB2312" w:eastAsia="仿宋_GB2312" w:cs="仿宋_GB2312"/>
          <w:color w:val="auto"/>
          <w:sz w:val="24"/>
          <w:szCs w:val="24"/>
          <w:highlight w:val="none"/>
          <w:lang w:val="en-US" w:eastAsia="zh-CN"/>
        </w:rPr>
        <w:t>270</w:t>
      </w:r>
      <w:r>
        <w:rPr>
          <w:rFonts w:ascii="仿宋_GB2312" w:hAnsi="仿宋_GB2312" w:eastAsia="仿宋_GB2312" w:cs="仿宋_GB2312"/>
          <w:color w:val="auto"/>
          <w:sz w:val="24"/>
          <w:szCs w:val="24"/>
          <w:highlight w:val="none"/>
        </w:rPr>
        <w:t>,000.00</w:t>
      </w:r>
    </w:p>
    <w:p w14:paraId="4EEDFD4E">
      <w:pPr>
        <w:pStyle w:val="4"/>
        <w:rPr>
          <w:color w:val="auto"/>
          <w:sz w:val="24"/>
          <w:szCs w:val="24"/>
          <w:highlight w:val="none"/>
        </w:rPr>
      </w:pPr>
      <w:r>
        <w:rPr>
          <w:rFonts w:ascii="仿宋_GB2312" w:hAnsi="仿宋_GB2312" w:eastAsia="仿宋_GB2312" w:cs="仿宋_GB2312"/>
          <w:color w:val="auto"/>
          <w:sz w:val="24"/>
          <w:szCs w:val="24"/>
          <w:highlight w:val="none"/>
        </w:rPr>
        <w:t>供应商报价不允许超过标的金额</w:t>
      </w:r>
    </w:p>
    <w:p w14:paraId="7AA88AA8">
      <w:pPr>
        <w:pStyle w:val="4"/>
        <w:rPr>
          <w:color w:val="auto"/>
          <w:sz w:val="24"/>
          <w:szCs w:val="24"/>
          <w:highlight w:val="none"/>
        </w:rPr>
      </w:pPr>
      <w:r>
        <w:rPr>
          <w:rFonts w:ascii="仿宋_GB2312" w:hAnsi="仿宋_GB2312" w:eastAsia="仿宋_GB2312" w:cs="仿宋_GB2312"/>
          <w:color w:val="auto"/>
          <w:sz w:val="24"/>
          <w:szCs w:val="24"/>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06"/>
        <w:gridCol w:w="745"/>
        <w:gridCol w:w="1416"/>
        <w:gridCol w:w="707"/>
        <w:gridCol w:w="707"/>
        <w:gridCol w:w="707"/>
        <w:gridCol w:w="707"/>
        <w:gridCol w:w="707"/>
        <w:gridCol w:w="707"/>
        <w:gridCol w:w="707"/>
      </w:tblGrid>
      <w:tr w14:paraId="7A970F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D0457D4">
            <w:pPr>
              <w:pStyle w:val="4"/>
              <w:rPr>
                <w:color w:val="auto"/>
                <w:sz w:val="24"/>
                <w:szCs w:val="24"/>
                <w:highlight w:val="none"/>
              </w:rPr>
            </w:pPr>
            <w:r>
              <w:rPr>
                <w:rFonts w:ascii="仿宋_GB2312" w:hAnsi="仿宋_GB2312" w:eastAsia="仿宋_GB2312" w:cs="仿宋_GB2312"/>
                <w:color w:val="auto"/>
                <w:sz w:val="24"/>
                <w:szCs w:val="24"/>
                <w:highlight w:val="none"/>
              </w:rPr>
              <w:t>序号</w:t>
            </w:r>
          </w:p>
        </w:tc>
        <w:tc>
          <w:tcPr>
            <w:tcW w:w="755" w:type="dxa"/>
          </w:tcPr>
          <w:p w14:paraId="2283111F">
            <w:pPr>
              <w:pStyle w:val="4"/>
              <w:rPr>
                <w:color w:val="auto"/>
                <w:sz w:val="24"/>
                <w:szCs w:val="24"/>
                <w:highlight w:val="none"/>
              </w:rPr>
            </w:pPr>
            <w:r>
              <w:rPr>
                <w:rFonts w:ascii="仿宋_GB2312" w:hAnsi="仿宋_GB2312" w:eastAsia="仿宋_GB2312" w:cs="仿宋_GB2312"/>
                <w:color w:val="auto"/>
                <w:sz w:val="24"/>
                <w:szCs w:val="24"/>
                <w:highlight w:val="none"/>
              </w:rPr>
              <w:t>标的名称</w:t>
            </w:r>
          </w:p>
        </w:tc>
        <w:tc>
          <w:tcPr>
            <w:tcW w:w="755" w:type="dxa"/>
          </w:tcPr>
          <w:p w14:paraId="7BC9B52C">
            <w:pPr>
              <w:pStyle w:val="4"/>
              <w:rPr>
                <w:color w:val="auto"/>
                <w:sz w:val="24"/>
                <w:szCs w:val="24"/>
                <w:highlight w:val="none"/>
              </w:rPr>
            </w:pPr>
            <w:r>
              <w:rPr>
                <w:rFonts w:ascii="仿宋_GB2312" w:hAnsi="仿宋_GB2312" w:eastAsia="仿宋_GB2312" w:cs="仿宋_GB2312"/>
                <w:color w:val="auto"/>
                <w:sz w:val="24"/>
                <w:szCs w:val="24"/>
                <w:highlight w:val="none"/>
              </w:rPr>
              <w:t>数量</w:t>
            </w:r>
          </w:p>
        </w:tc>
        <w:tc>
          <w:tcPr>
            <w:tcW w:w="755" w:type="dxa"/>
          </w:tcPr>
          <w:p w14:paraId="506D85F3">
            <w:pPr>
              <w:pStyle w:val="4"/>
              <w:rPr>
                <w:color w:val="auto"/>
                <w:sz w:val="24"/>
                <w:szCs w:val="24"/>
                <w:highlight w:val="none"/>
              </w:rPr>
            </w:pPr>
            <w:r>
              <w:rPr>
                <w:rFonts w:ascii="仿宋_GB2312" w:hAnsi="仿宋_GB2312" w:eastAsia="仿宋_GB2312" w:cs="仿宋_GB2312"/>
                <w:color w:val="auto"/>
                <w:sz w:val="24"/>
                <w:szCs w:val="24"/>
                <w:highlight w:val="none"/>
              </w:rPr>
              <w:t>标的金额 （元）</w:t>
            </w:r>
          </w:p>
        </w:tc>
        <w:tc>
          <w:tcPr>
            <w:tcW w:w="755" w:type="dxa"/>
          </w:tcPr>
          <w:p w14:paraId="2A3080BD">
            <w:pPr>
              <w:pStyle w:val="4"/>
              <w:rPr>
                <w:color w:val="auto"/>
                <w:sz w:val="24"/>
                <w:szCs w:val="24"/>
                <w:highlight w:val="none"/>
              </w:rPr>
            </w:pPr>
            <w:r>
              <w:rPr>
                <w:rFonts w:ascii="仿宋_GB2312" w:hAnsi="仿宋_GB2312" w:eastAsia="仿宋_GB2312" w:cs="仿宋_GB2312"/>
                <w:color w:val="auto"/>
                <w:sz w:val="24"/>
                <w:szCs w:val="24"/>
                <w:highlight w:val="none"/>
              </w:rPr>
              <w:t>计量单位</w:t>
            </w:r>
          </w:p>
        </w:tc>
        <w:tc>
          <w:tcPr>
            <w:tcW w:w="755" w:type="dxa"/>
          </w:tcPr>
          <w:p w14:paraId="5581DEF6">
            <w:pPr>
              <w:pStyle w:val="4"/>
              <w:rPr>
                <w:color w:val="auto"/>
                <w:sz w:val="24"/>
                <w:szCs w:val="24"/>
                <w:highlight w:val="none"/>
              </w:rPr>
            </w:pPr>
            <w:r>
              <w:rPr>
                <w:rFonts w:ascii="仿宋_GB2312" w:hAnsi="仿宋_GB2312" w:eastAsia="仿宋_GB2312" w:cs="仿宋_GB2312"/>
                <w:color w:val="auto"/>
                <w:sz w:val="24"/>
                <w:szCs w:val="24"/>
                <w:highlight w:val="none"/>
              </w:rPr>
              <w:t>所属行业</w:t>
            </w:r>
          </w:p>
        </w:tc>
        <w:tc>
          <w:tcPr>
            <w:tcW w:w="755" w:type="dxa"/>
          </w:tcPr>
          <w:p w14:paraId="761AF177">
            <w:pPr>
              <w:pStyle w:val="4"/>
              <w:rPr>
                <w:color w:val="auto"/>
                <w:sz w:val="24"/>
                <w:szCs w:val="24"/>
                <w:highlight w:val="none"/>
              </w:rPr>
            </w:pPr>
            <w:r>
              <w:rPr>
                <w:rFonts w:ascii="仿宋_GB2312" w:hAnsi="仿宋_GB2312" w:eastAsia="仿宋_GB2312" w:cs="仿宋_GB2312"/>
                <w:color w:val="auto"/>
                <w:sz w:val="24"/>
                <w:szCs w:val="24"/>
                <w:highlight w:val="none"/>
              </w:rPr>
              <w:t>是否核心产品</w:t>
            </w:r>
          </w:p>
        </w:tc>
        <w:tc>
          <w:tcPr>
            <w:tcW w:w="755" w:type="dxa"/>
          </w:tcPr>
          <w:p w14:paraId="59BD453B">
            <w:pPr>
              <w:pStyle w:val="4"/>
              <w:rPr>
                <w:color w:val="auto"/>
                <w:sz w:val="24"/>
                <w:szCs w:val="24"/>
                <w:highlight w:val="none"/>
              </w:rPr>
            </w:pPr>
            <w:r>
              <w:rPr>
                <w:rFonts w:ascii="仿宋_GB2312" w:hAnsi="仿宋_GB2312" w:eastAsia="仿宋_GB2312" w:cs="仿宋_GB2312"/>
                <w:color w:val="auto"/>
                <w:sz w:val="24"/>
                <w:szCs w:val="24"/>
                <w:highlight w:val="none"/>
              </w:rPr>
              <w:t>是否允许进口产品</w:t>
            </w:r>
          </w:p>
        </w:tc>
        <w:tc>
          <w:tcPr>
            <w:tcW w:w="755" w:type="dxa"/>
          </w:tcPr>
          <w:p w14:paraId="0648A74C">
            <w:pPr>
              <w:pStyle w:val="4"/>
              <w:rPr>
                <w:color w:val="auto"/>
                <w:sz w:val="24"/>
                <w:szCs w:val="24"/>
                <w:highlight w:val="none"/>
              </w:rPr>
            </w:pPr>
            <w:r>
              <w:rPr>
                <w:rFonts w:ascii="仿宋_GB2312" w:hAnsi="仿宋_GB2312" w:eastAsia="仿宋_GB2312" w:cs="仿宋_GB2312"/>
                <w:color w:val="auto"/>
                <w:sz w:val="24"/>
                <w:szCs w:val="24"/>
                <w:highlight w:val="none"/>
              </w:rPr>
              <w:t>是否属于节能产品</w:t>
            </w:r>
          </w:p>
        </w:tc>
        <w:tc>
          <w:tcPr>
            <w:tcW w:w="755" w:type="dxa"/>
          </w:tcPr>
          <w:p w14:paraId="3F53D7A7">
            <w:pPr>
              <w:pStyle w:val="4"/>
              <w:rPr>
                <w:color w:val="auto"/>
                <w:sz w:val="24"/>
                <w:szCs w:val="24"/>
                <w:highlight w:val="none"/>
              </w:rPr>
            </w:pPr>
            <w:r>
              <w:rPr>
                <w:rFonts w:ascii="仿宋_GB2312" w:hAnsi="仿宋_GB2312" w:eastAsia="仿宋_GB2312" w:cs="仿宋_GB2312"/>
                <w:color w:val="auto"/>
                <w:sz w:val="24"/>
                <w:szCs w:val="24"/>
                <w:highlight w:val="none"/>
              </w:rPr>
              <w:t>是否属于环境标志产品</w:t>
            </w:r>
          </w:p>
        </w:tc>
        <w:tc>
          <w:tcPr>
            <w:tcW w:w="755" w:type="dxa"/>
          </w:tcPr>
          <w:p w14:paraId="26CC0BB8">
            <w:pPr>
              <w:pStyle w:val="4"/>
              <w:rPr>
                <w:color w:val="auto"/>
                <w:sz w:val="24"/>
                <w:szCs w:val="24"/>
                <w:highlight w:val="none"/>
              </w:rPr>
            </w:pPr>
            <w:r>
              <w:rPr>
                <w:rFonts w:ascii="仿宋_GB2312" w:hAnsi="仿宋_GB2312" w:eastAsia="仿宋_GB2312" w:cs="仿宋_GB2312"/>
                <w:color w:val="auto"/>
                <w:sz w:val="24"/>
                <w:szCs w:val="24"/>
                <w:highlight w:val="none"/>
              </w:rPr>
              <w:t>是否实施本国产品政策</w:t>
            </w:r>
          </w:p>
        </w:tc>
      </w:tr>
      <w:tr w14:paraId="6C1D0F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1ED4E4C">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755" w:type="dxa"/>
          </w:tcPr>
          <w:p w14:paraId="18813556">
            <w:pPr>
              <w:pStyle w:val="4"/>
              <w:rPr>
                <w:rFonts w:hint="default" w:eastAsia="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西安市儿童医院数字链路服务项目</w:t>
            </w:r>
            <w:r>
              <w:rPr>
                <w:rFonts w:hint="eastAsia" w:ascii="仿宋_GB2312" w:hAnsi="仿宋_GB2312" w:eastAsia="仿宋_GB2312" w:cs="仿宋_GB2312"/>
                <w:color w:val="auto"/>
                <w:sz w:val="24"/>
                <w:szCs w:val="24"/>
                <w:highlight w:val="none"/>
                <w:lang w:val="en-US" w:eastAsia="zh-CN"/>
              </w:rPr>
              <w:t>包二</w:t>
            </w:r>
          </w:p>
        </w:tc>
        <w:tc>
          <w:tcPr>
            <w:tcW w:w="755" w:type="dxa"/>
          </w:tcPr>
          <w:p w14:paraId="19D9470B">
            <w:pPr>
              <w:pStyle w:val="4"/>
              <w:jc w:val="right"/>
              <w:rPr>
                <w:color w:val="auto"/>
                <w:sz w:val="24"/>
                <w:szCs w:val="24"/>
                <w:highlight w:val="none"/>
              </w:rPr>
            </w:pPr>
            <w:r>
              <w:rPr>
                <w:rFonts w:ascii="仿宋_GB2312" w:hAnsi="仿宋_GB2312" w:eastAsia="仿宋_GB2312" w:cs="仿宋_GB2312"/>
                <w:color w:val="auto"/>
                <w:sz w:val="24"/>
                <w:szCs w:val="24"/>
                <w:highlight w:val="none"/>
              </w:rPr>
              <w:t>1.00</w:t>
            </w:r>
          </w:p>
        </w:tc>
        <w:tc>
          <w:tcPr>
            <w:tcW w:w="755" w:type="dxa"/>
          </w:tcPr>
          <w:p w14:paraId="1BD0CE7B">
            <w:pPr>
              <w:pStyle w:val="4"/>
              <w:jc w:val="right"/>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300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tc>
        <w:tc>
          <w:tcPr>
            <w:tcW w:w="755" w:type="dxa"/>
          </w:tcPr>
          <w:p w14:paraId="713EDA4E">
            <w:pPr>
              <w:pStyle w:val="4"/>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年</w:t>
            </w:r>
          </w:p>
        </w:tc>
        <w:tc>
          <w:tcPr>
            <w:tcW w:w="755" w:type="dxa"/>
          </w:tcPr>
          <w:p w14:paraId="7531FA7C">
            <w:pPr>
              <w:pStyle w:val="4"/>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信息传输业</w:t>
            </w:r>
          </w:p>
        </w:tc>
        <w:tc>
          <w:tcPr>
            <w:tcW w:w="755" w:type="dxa"/>
          </w:tcPr>
          <w:p w14:paraId="718B473C">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0D193E72">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57E843CE">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5D947B54">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19AEF863">
            <w:pPr>
              <w:pStyle w:val="4"/>
              <w:rPr>
                <w:color w:val="auto"/>
                <w:sz w:val="24"/>
                <w:szCs w:val="24"/>
                <w:highlight w:val="none"/>
              </w:rPr>
            </w:pPr>
            <w:r>
              <w:rPr>
                <w:rFonts w:ascii="仿宋_GB2312" w:hAnsi="仿宋_GB2312" w:eastAsia="仿宋_GB2312" w:cs="仿宋_GB2312"/>
                <w:color w:val="auto"/>
                <w:sz w:val="24"/>
                <w:szCs w:val="24"/>
                <w:highlight w:val="none"/>
              </w:rPr>
              <w:t>否</w:t>
            </w:r>
          </w:p>
        </w:tc>
      </w:tr>
    </w:tbl>
    <w:p w14:paraId="1A013412">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3E8799B1">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采购包预算金额（元）: </w:t>
      </w:r>
      <w:r>
        <w:rPr>
          <w:rFonts w:hint="eastAsia" w:ascii="仿宋_GB2312" w:hAnsi="仿宋_GB2312" w:eastAsia="仿宋_GB2312" w:cs="仿宋_GB2312"/>
          <w:color w:val="auto"/>
          <w:sz w:val="24"/>
          <w:szCs w:val="24"/>
          <w:highlight w:val="none"/>
          <w:lang w:val="en-US" w:eastAsia="zh-CN"/>
        </w:rPr>
        <w:t>300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p w14:paraId="4B5BEE96">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采购包最高限价（元）: </w:t>
      </w:r>
      <w:r>
        <w:rPr>
          <w:rFonts w:hint="eastAsia" w:ascii="仿宋_GB2312" w:hAnsi="仿宋_GB2312" w:eastAsia="仿宋_GB2312" w:cs="仿宋_GB2312"/>
          <w:color w:val="auto"/>
          <w:sz w:val="24"/>
          <w:szCs w:val="24"/>
          <w:highlight w:val="none"/>
          <w:lang w:val="en-US" w:eastAsia="zh-CN"/>
        </w:rPr>
        <w:t>270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w:t>
      </w:r>
      <w:r>
        <w:rPr>
          <w:rFonts w:ascii="仿宋_GB2312" w:hAnsi="仿宋_GB2312" w:eastAsia="仿宋_GB2312" w:cs="仿宋_GB2312"/>
          <w:color w:val="auto"/>
          <w:sz w:val="24"/>
          <w:szCs w:val="24"/>
          <w:highlight w:val="none"/>
        </w:rPr>
        <w:t>00.00</w:t>
      </w:r>
    </w:p>
    <w:p w14:paraId="19DE2353">
      <w:pPr>
        <w:pStyle w:val="4"/>
        <w:rPr>
          <w:color w:val="auto"/>
          <w:sz w:val="24"/>
          <w:szCs w:val="24"/>
          <w:highlight w:val="none"/>
        </w:rPr>
      </w:pPr>
      <w:r>
        <w:rPr>
          <w:rFonts w:ascii="仿宋_GB2312" w:hAnsi="仿宋_GB2312" w:eastAsia="仿宋_GB2312" w:cs="仿宋_GB2312"/>
          <w:color w:val="auto"/>
          <w:sz w:val="24"/>
          <w:szCs w:val="24"/>
          <w:highlight w:val="none"/>
        </w:rPr>
        <w:t>供应商报价不允许超过标的金额</w:t>
      </w:r>
    </w:p>
    <w:p w14:paraId="1AED8E39">
      <w:pPr>
        <w:pStyle w:val="4"/>
        <w:rPr>
          <w:color w:val="auto"/>
          <w:sz w:val="24"/>
          <w:szCs w:val="24"/>
          <w:highlight w:val="none"/>
        </w:rPr>
      </w:pPr>
      <w:r>
        <w:rPr>
          <w:rFonts w:ascii="仿宋_GB2312" w:hAnsi="仿宋_GB2312" w:eastAsia="仿宋_GB2312" w:cs="仿宋_GB2312"/>
          <w:color w:val="auto"/>
          <w:sz w:val="24"/>
          <w:szCs w:val="24"/>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40"/>
        <w:gridCol w:w="1416"/>
        <w:gridCol w:w="707"/>
        <w:gridCol w:w="707"/>
        <w:gridCol w:w="707"/>
        <w:gridCol w:w="707"/>
        <w:gridCol w:w="707"/>
        <w:gridCol w:w="708"/>
        <w:gridCol w:w="709"/>
      </w:tblGrid>
      <w:tr w14:paraId="36A03B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9" w:type="dxa"/>
          </w:tcPr>
          <w:p w14:paraId="1A7A971A">
            <w:pPr>
              <w:pStyle w:val="4"/>
              <w:rPr>
                <w:color w:val="auto"/>
                <w:sz w:val="24"/>
                <w:szCs w:val="24"/>
                <w:highlight w:val="none"/>
              </w:rPr>
            </w:pPr>
            <w:r>
              <w:rPr>
                <w:rFonts w:ascii="仿宋_GB2312" w:hAnsi="仿宋_GB2312" w:eastAsia="仿宋_GB2312" w:cs="仿宋_GB2312"/>
                <w:color w:val="auto"/>
                <w:sz w:val="24"/>
                <w:szCs w:val="24"/>
                <w:highlight w:val="none"/>
              </w:rPr>
              <w:t>序号</w:t>
            </w:r>
          </w:p>
        </w:tc>
        <w:tc>
          <w:tcPr>
            <w:tcW w:w="729" w:type="dxa"/>
          </w:tcPr>
          <w:p w14:paraId="006FB142">
            <w:pPr>
              <w:pStyle w:val="4"/>
              <w:rPr>
                <w:color w:val="auto"/>
                <w:sz w:val="24"/>
                <w:szCs w:val="24"/>
                <w:highlight w:val="none"/>
              </w:rPr>
            </w:pPr>
            <w:r>
              <w:rPr>
                <w:rFonts w:ascii="仿宋_GB2312" w:hAnsi="仿宋_GB2312" w:eastAsia="仿宋_GB2312" w:cs="仿宋_GB2312"/>
                <w:color w:val="auto"/>
                <w:sz w:val="24"/>
                <w:szCs w:val="24"/>
                <w:highlight w:val="none"/>
              </w:rPr>
              <w:t>标的名称</w:t>
            </w:r>
          </w:p>
        </w:tc>
        <w:tc>
          <w:tcPr>
            <w:tcW w:w="744" w:type="dxa"/>
          </w:tcPr>
          <w:p w14:paraId="12AE8EB9">
            <w:pPr>
              <w:pStyle w:val="4"/>
              <w:rPr>
                <w:color w:val="auto"/>
                <w:sz w:val="24"/>
                <w:szCs w:val="24"/>
                <w:highlight w:val="none"/>
              </w:rPr>
            </w:pPr>
            <w:r>
              <w:rPr>
                <w:rFonts w:ascii="仿宋_GB2312" w:hAnsi="仿宋_GB2312" w:eastAsia="仿宋_GB2312" w:cs="仿宋_GB2312"/>
                <w:color w:val="auto"/>
                <w:sz w:val="24"/>
                <w:szCs w:val="24"/>
                <w:highlight w:val="none"/>
              </w:rPr>
              <w:t>数量</w:t>
            </w:r>
          </w:p>
        </w:tc>
        <w:tc>
          <w:tcPr>
            <w:tcW w:w="1216" w:type="dxa"/>
          </w:tcPr>
          <w:p w14:paraId="320C167D">
            <w:pPr>
              <w:pStyle w:val="4"/>
              <w:rPr>
                <w:color w:val="auto"/>
                <w:sz w:val="24"/>
                <w:szCs w:val="24"/>
                <w:highlight w:val="none"/>
              </w:rPr>
            </w:pPr>
            <w:r>
              <w:rPr>
                <w:rFonts w:ascii="仿宋_GB2312" w:hAnsi="仿宋_GB2312" w:eastAsia="仿宋_GB2312" w:cs="仿宋_GB2312"/>
                <w:color w:val="auto"/>
                <w:sz w:val="24"/>
                <w:szCs w:val="24"/>
                <w:highlight w:val="none"/>
              </w:rPr>
              <w:t>标的金额 （元）</w:t>
            </w:r>
          </w:p>
        </w:tc>
        <w:tc>
          <w:tcPr>
            <w:tcW w:w="729" w:type="dxa"/>
          </w:tcPr>
          <w:p w14:paraId="7125E0F0">
            <w:pPr>
              <w:pStyle w:val="4"/>
              <w:rPr>
                <w:color w:val="auto"/>
                <w:sz w:val="24"/>
                <w:szCs w:val="24"/>
                <w:highlight w:val="none"/>
              </w:rPr>
            </w:pPr>
            <w:r>
              <w:rPr>
                <w:rFonts w:ascii="仿宋_GB2312" w:hAnsi="仿宋_GB2312" w:eastAsia="仿宋_GB2312" w:cs="仿宋_GB2312"/>
                <w:color w:val="auto"/>
                <w:sz w:val="24"/>
                <w:szCs w:val="24"/>
                <w:highlight w:val="none"/>
              </w:rPr>
              <w:t>计量单位</w:t>
            </w:r>
          </w:p>
        </w:tc>
        <w:tc>
          <w:tcPr>
            <w:tcW w:w="729" w:type="dxa"/>
          </w:tcPr>
          <w:p w14:paraId="1A5D9706">
            <w:pPr>
              <w:pStyle w:val="4"/>
              <w:rPr>
                <w:color w:val="auto"/>
                <w:sz w:val="24"/>
                <w:szCs w:val="24"/>
                <w:highlight w:val="none"/>
              </w:rPr>
            </w:pPr>
            <w:r>
              <w:rPr>
                <w:rFonts w:ascii="仿宋_GB2312" w:hAnsi="仿宋_GB2312" w:eastAsia="仿宋_GB2312" w:cs="仿宋_GB2312"/>
                <w:color w:val="auto"/>
                <w:sz w:val="24"/>
                <w:szCs w:val="24"/>
                <w:highlight w:val="none"/>
              </w:rPr>
              <w:t>所属行业</w:t>
            </w:r>
          </w:p>
        </w:tc>
        <w:tc>
          <w:tcPr>
            <w:tcW w:w="729" w:type="dxa"/>
          </w:tcPr>
          <w:p w14:paraId="0909BEB3">
            <w:pPr>
              <w:pStyle w:val="4"/>
              <w:rPr>
                <w:color w:val="auto"/>
                <w:sz w:val="24"/>
                <w:szCs w:val="24"/>
                <w:highlight w:val="none"/>
              </w:rPr>
            </w:pPr>
            <w:r>
              <w:rPr>
                <w:rFonts w:ascii="仿宋_GB2312" w:hAnsi="仿宋_GB2312" w:eastAsia="仿宋_GB2312" w:cs="仿宋_GB2312"/>
                <w:color w:val="auto"/>
                <w:sz w:val="24"/>
                <w:szCs w:val="24"/>
                <w:highlight w:val="none"/>
              </w:rPr>
              <w:t>是否核心产品</w:t>
            </w:r>
          </w:p>
        </w:tc>
        <w:tc>
          <w:tcPr>
            <w:tcW w:w="729" w:type="dxa"/>
          </w:tcPr>
          <w:p w14:paraId="16E28FD4">
            <w:pPr>
              <w:pStyle w:val="4"/>
              <w:rPr>
                <w:color w:val="auto"/>
                <w:sz w:val="24"/>
                <w:szCs w:val="24"/>
                <w:highlight w:val="none"/>
              </w:rPr>
            </w:pPr>
            <w:r>
              <w:rPr>
                <w:rFonts w:ascii="仿宋_GB2312" w:hAnsi="仿宋_GB2312" w:eastAsia="仿宋_GB2312" w:cs="仿宋_GB2312"/>
                <w:color w:val="auto"/>
                <w:sz w:val="24"/>
                <w:szCs w:val="24"/>
                <w:highlight w:val="none"/>
              </w:rPr>
              <w:t>是否允许进口产品</w:t>
            </w:r>
          </w:p>
        </w:tc>
        <w:tc>
          <w:tcPr>
            <w:tcW w:w="729" w:type="dxa"/>
          </w:tcPr>
          <w:p w14:paraId="378BCD27">
            <w:pPr>
              <w:pStyle w:val="4"/>
              <w:rPr>
                <w:color w:val="auto"/>
                <w:sz w:val="24"/>
                <w:szCs w:val="24"/>
                <w:highlight w:val="none"/>
              </w:rPr>
            </w:pPr>
            <w:r>
              <w:rPr>
                <w:rFonts w:ascii="仿宋_GB2312" w:hAnsi="仿宋_GB2312" w:eastAsia="仿宋_GB2312" w:cs="仿宋_GB2312"/>
                <w:color w:val="auto"/>
                <w:sz w:val="24"/>
                <w:szCs w:val="24"/>
                <w:highlight w:val="none"/>
              </w:rPr>
              <w:t>是否属于节能产品</w:t>
            </w:r>
          </w:p>
        </w:tc>
        <w:tc>
          <w:tcPr>
            <w:tcW w:w="729" w:type="dxa"/>
          </w:tcPr>
          <w:p w14:paraId="70010CFF">
            <w:pPr>
              <w:pStyle w:val="4"/>
              <w:rPr>
                <w:color w:val="auto"/>
                <w:sz w:val="24"/>
                <w:szCs w:val="24"/>
                <w:highlight w:val="none"/>
              </w:rPr>
            </w:pPr>
            <w:r>
              <w:rPr>
                <w:rFonts w:ascii="仿宋_GB2312" w:hAnsi="仿宋_GB2312" w:eastAsia="仿宋_GB2312" w:cs="仿宋_GB2312"/>
                <w:color w:val="auto"/>
                <w:sz w:val="24"/>
                <w:szCs w:val="24"/>
                <w:highlight w:val="none"/>
              </w:rPr>
              <w:t>是否属于环境标志产品</w:t>
            </w:r>
          </w:p>
        </w:tc>
        <w:tc>
          <w:tcPr>
            <w:tcW w:w="730" w:type="dxa"/>
          </w:tcPr>
          <w:p w14:paraId="1E4D15EA">
            <w:pPr>
              <w:pStyle w:val="4"/>
              <w:rPr>
                <w:color w:val="auto"/>
                <w:sz w:val="24"/>
                <w:szCs w:val="24"/>
                <w:highlight w:val="none"/>
              </w:rPr>
            </w:pPr>
            <w:r>
              <w:rPr>
                <w:rFonts w:ascii="仿宋_GB2312" w:hAnsi="仿宋_GB2312" w:eastAsia="仿宋_GB2312" w:cs="仿宋_GB2312"/>
                <w:color w:val="auto"/>
                <w:sz w:val="24"/>
                <w:szCs w:val="24"/>
                <w:highlight w:val="none"/>
              </w:rPr>
              <w:t>是否实施本国产品政策</w:t>
            </w:r>
          </w:p>
        </w:tc>
      </w:tr>
      <w:tr w14:paraId="2A2791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9" w:type="dxa"/>
          </w:tcPr>
          <w:p w14:paraId="420B3560">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729" w:type="dxa"/>
          </w:tcPr>
          <w:p w14:paraId="73B23623">
            <w:pPr>
              <w:pStyle w:val="4"/>
              <w:rPr>
                <w:rFonts w:hint="eastAsia" w:eastAsia="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西安市儿童医院数字链路服务项目</w:t>
            </w:r>
            <w:r>
              <w:rPr>
                <w:rFonts w:ascii="仿宋_GB2312" w:hAnsi="仿宋_GB2312" w:eastAsia="仿宋_GB2312" w:cs="仿宋_GB2312"/>
                <w:color w:val="auto"/>
                <w:sz w:val="24"/>
                <w:szCs w:val="24"/>
                <w:highlight w:val="none"/>
              </w:rPr>
              <w:t>包</w:t>
            </w:r>
            <w:r>
              <w:rPr>
                <w:rFonts w:hint="eastAsia" w:ascii="仿宋_GB2312" w:hAnsi="仿宋_GB2312" w:eastAsia="仿宋_GB2312" w:cs="仿宋_GB2312"/>
                <w:color w:val="auto"/>
                <w:sz w:val="24"/>
                <w:szCs w:val="24"/>
                <w:highlight w:val="none"/>
                <w:lang w:val="en-US" w:eastAsia="zh-CN"/>
              </w:rPr>
              <w:t>三</w:t>
            </w:r>
          </w:p>
        </w:tc>
        <w:tc>
          <w:tcPr>
            <w:tcW w:w="744" w:type="dxa"/>
          </w:tcPr>
          <w:p w14:paraId="6B24266C">
            <w:pPr>
              <w:pStyle w:val="4"/>
              <w:jc w:val="right"/>
              <w:rPr>
                <w:color w:val="auto"/>
                <w:sz w:val="24"/>
                <w:szCs w:val="24"/>
                <w:highlight w:val="none"/>
              </w:rPr>
            </w:pPr>
            <w:r>
              <w:rPr>
                <w:rFonts w:ascii="仿宋_GB2312" w:hAnsi="仿宋_GB2312" w:eastAsia="仿宋_GB2312" w:cs="仿宋_GB2312"/>
                <w:color w:val="auto"/>
                <w:sz w:val="24"/>
                <w:szCs w:val="24"/>
                <w:highlight w:val="none"/>
              </w:rPr>
              <w:t>1.00</w:t>
            </w:r>
          </w:p>
        </w:tc>
        <w:tc>
          <w:tcPr>
            <w:tcW w:w="1216" w:type="dxa"/>
          </w:tcPr>
          <w:p w14:paraId="0CC60575">
            <w:pPr>
              <w:pStyle w:val="4"/>
              <w:jc w:val="right"/>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300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tc>
        <w:tc>
          <w:tcPr>
            <w:tcW w:w="729" w:type="dxa"/>
          </w:tcPr>
          <w:p w14:paraId="40BAB782">
            <w:pPr>
              <w:pStyle w:val="4"/>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年</w:t>
            </w:r>
          </w:p>
        </w:tc>
        <w:tc>
          <w:tcPr>
            <w:tcW w:w="729" w:type="dxa"/>
          </w:tcPr>
          <w:p w14:paraId="33A5743E">
            <w:pPr>
              <w:pStyle w:val="4"/>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信息传输业</w:t>
            </w:r>
          </w:p>
        </w:tc>
        <w:tc>
          <w:tcPr>
            <w:tcW w:w="729" w:type="dxa"/>
          </w:tcPr>
          <w:p w14:paraId="3427BBAF">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29" w:type="dxa"/>
          </w:tcPr>
          <w:p w14:paraId="555B47DA">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29" w:type="dxa"/>
          </w:tcPr>
          <w:p w14:paraId="6659A46C">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29" w:type="dxa"/>
          </w:tcPr>
          <w:p w14:paraId="0E4B575F">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30" w:type="dxa"/>
          </w:tcPr>
          <w:p w14:paraId="7B47F280">
            <w:pPr>
              <w:pStyle w:val="4"/>
              <w:rPr>
                <w:color w:val="auto"/>
                <w:sz w:val="24"/>
                <w:szCs w:val="24"/>
                <w:highlight w:val="none"/>
              </w:rPr>
            </w:pPr>
            <w:r>
              <w:rPr>
                <w:rFonts w:ascii="仿宋_GB2312" w:hAnsi="仿宋_GB2312" w:eastAsia="仿宋_GB2312" w:cs="仿宋_GB2312"/>
                <w:color w:val="auto"/>
                <w:sz w:val="24"/>
                <w:szCs w:val="24"/>
                <w:highlight w:val="none"/>
              </w:rPr>
              <w:t>否</w:t>
            </w:r>
          </w:p>
        </w:tc>
      </w:tr>
    </w:tbl>
    <w:p w14:paraId="198F5E5F">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20369762">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采购包预算金额（元）: </w:t>
      </w:r>
      <w:r>
        <w:rPr>
          <w:rFonts w:hint="eastAsia" w:ascii="仿宋_GB2312" w:hAnsi="仿宋_GB2312" w:eastAsia="仿宋_GB2312" w:cs="仿宋_GB2312"/>
          <w:color w:val="auto"/>
          <w:sz w:val="24"/>
          <w:szCs w:val="24"/>
          <w:highlight w:val="none"/>
          <w:lang w:val="en-US" w:eastAsia="zh-CN"/>
        </w:rPr>
        <w:t>100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p w14:paraId="299A1E89">
      <w:pPr>
        <w:pStyle w:val="4"/>
        <w:rPr>
          <w:color w:val="auto"/>
          <w:sz w:val="24"/>
          <w:szCs w:val="24"/>
          <w:highlight w:val="none"/>
        </w:rPr>
      </w:pPr>
      <w:r>
        <w:rPr>
          <w:rFonts w:ascii="仿宋_GB2312" w:hAnsi="仿宋_GB2312" w:eastAsia="仿宋_GB2312" w:cs="仿宋_GB2312"/>
          <w:color w:val="auto"/>
          <w:sz w:val="24"/>
          <w:szCs w:val="24"/>
          <w:highlight w:val="none"/>
        </w:rPr>
        <w:t xml:space="preserve">采购包最高限价（元）: </w:t>
      </w:r>
      <w:r>
        <w:rPr>
          <w:rFonts w:hint="eastAsia" w:ascii="仿宋_GB2312" w:hAnsi="仿宋_GB2312" w:eastAsia="仿宋_GB2312" w:cs="仿宋_GB2312"/>
          <w:color w:val="auto"/>
          <w:sz w:val="24"/>
          <w:szCs w:val="24"/>
          <w:highlight w:val="none"/>
          <w:lang w:val="en-US" w:eastAsia="zh-CN"/>
        </w:rPr>
        <w:t>96</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w:t>
      </w:r>
      <w:r>
        <w:rPr>
          <w:rFonts w:ascii="仿宋_GB2312" w:hAnsi="仿宋_GB2312" w:eastAsia="仿宋_GB2312" w:cs="仿宋_GB2312"/>
          <w:color w:val="auto"/>
          <w:sz w:val="24"/>
          <w:szCs w:val="24"/>
          <w:highlight w:val="none"/>
        </w:rPr>
        <w:t>0.00</w:t>
      </w:r>
    </w:p>
    <w:p w14:paraId="69AF06D8">
      <w:pPr>
        <w:pStyle w:val="4"/>
        <w:rPr>
          <w:color w:val="auto"/>
          <w:sz w:val="24"/>
          <w:szCs w:val="24"/>
          <w:highlight w:val="none"/>
        </w:rPr>
      </w:pPr>
      <w:r>
        <w:rPr>
          <w:rFonts w:ascii="仿宋_GB2312" w:hAnsi="仿宋_GB2312" w:eastAsia="仿宋_GB2312" w:cs="仿宋_GB2312"/>
          <w:color w:val="auto"/>
          <w:sz w:val="24"/>
          <w:szCs w:val="24"/>
          <w:highlight w:val="none"/>
        </w:rPr>
        <w:t>供应商报价不允许超过标的金额</w:t>
      </w:r>
    </w:p>
    <w:p w14:paraId="5341193C">
      <w:pPr>
        <w:pStyle w:val="4"/>
        <w:rPr>
          <w:color w:val="auto"/>
          <w:sz w:val="24"/>
          <w:szCs w:val="24"/>
          <w:highlight w:val="none"/>
        </w:rPr>
      </w:pPr>
      <w:r>
        <w:rPr>
          <w:rFonts w:ascii="仿宋_GB2312" w:hAnsi="仿宋_GB2312" w:eastAsia="仿宋_GB2312" w:cs="仿宋_GB2312"/>
          <w:color w:val="auto"/>
          <w:sz w:val="24"/>
          <w:szCs w:val="24"/>
          <w:highlight w:val="none"/>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6"/>
        <w:gridCol w:w="706"/>
        <w:gridCol w:w="745"/>
        <w:gridCol w:w="1416"/>
        <w:gridCol w:w="707"/>
        <w:gridCol w:w="707"/>
        <w:gridCol w:w="707"/>
        <w:gridCol w:w="707"/>
        <w:gridCol w:w="707"/>
        <w:gridCol w:w="707"/>
        <w:gridCol w:w="707"/>
      </w:tblGrid>
      <w:tr w14:paraId="4D5250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E240EB4">
            <w:pPr>
              <w:pStyle w:val="4"/>
              <w:rPr>
                <w:color w:val="auto"/>
                <w:sz w:val="24"/>
                <w:szCs w:val="24"/>
                <w:highlight w:val="none"/>
              </w:rPr>
            </w:pPr>
            <w:r>
              <w:rPr>
                <w:rFonts w:ascii="仿宋_GB2312" w:hAnsi="仿宋_GB2312" w:eastAsia="仿宋_GB2312" w:cs="仿宋_GB2312"/>
                <w:color w:val="auto"/>
                <w:sz w:val="24"/>
                <w:szCs w:val="24"/>
                <w:highlight w:val="none"/>
              </w:rPr>
              <w:t>序号</w:t>
            </w:r>
          </w:p>
        </w:tc>
        <w:tc>
          <w:tcPr>
            <w:tcW w:w="755" w:type="dxa"/>
          </w:tcPr>
          <w:p w14:paraId="77313880">
            <w:pPr>
              <w:pStyle w:val="4"/>
              <w:rPr>
                <w:color w:val="auto"/>
                <w:sz w:val="24"/>
                <w:szCs w:val="24"/>
                <w:highlight w:val="none"/>
              </w:rPr>
            </w:pPr>
            <w:r>
              <w:rPr>
                <w:rFonts w:ascii="仿宋_GB2312" w:hAnsi="仿宋_GB2312" w:eastAsia="仿宋_GB2312" w:cs="仿宋_GB2312"/>
                <w:color w:val="auto"/>
                <w:sz w:val="24"/>
                <w:szCs w:val="24"/>
                <w:highlight w:val="none"/>
              </w:rPr>
              <w:t>标的名称</w:t>
            </w:r>
          </w:p>
        </w:tc>
        <w:tc>
          <w:tcPr>
            <w:tcW w:w="755" w:type="dxa"/>
          </w:tcPr>
          <w:p w14:paraId="2D43312D">
            <w:pPr>
              <w:pStyle w:val="4"/>
              <w:rPr>
                <w:color w:val="auto"/>
                <w:sz w:val="24"/>
                <w:szCs w:val="24"/>
                <w:highlight w:val="none"/>
              </w:rPr>
            </w:pPr>
            <w:r>
              <w:rPr>
                <w:rFonts w:ascii="仿宋_GB2312" w:hAnsi="仿宋_GB2312" w:eastAsia="仿宋_GB2312" w:cs="仿宋_GB2312"/>
                <w:color w:val="auto"/>
                <w:sz w:val="24"/>
                <w:szCs w:val="24"/>
                <w:highlight w:val="none"/>
              </w:rPr>
              <w:t>数量</w:t>
            </w:r>
          </w:p>
        </w:tc>
        <w:tc>
          <w:tcPr>
            <w:tcW w:w="755" w:type="dxa"/>
          </w:tcPr>
          <w:p w14:paraId="640BDDCD">
            <w:pPr>
              <w:pStyle w:val="4"/>
              <w:rPr>
                <w:color w:val="auto"/>
                <w:sz w:val="24"/>
                <w:szCs w:val="24"/>
                <w:highlight w:val="none"/>
              </w:rPr>
            </w:pPr>
            <w:r>
              <w:rPr>
                <w:rFonts w:ascii="仿宋_GB2312" w:hAnsi="仿宋_GB2312" w:eastAsia="仿宋_GB2312" w:cs="仿宋_GB2312"/>
                <w:color w:val="auto"/>
                <w:sz w:val="24"/>
                <w:szCs w:val="24"/>
                <w:highlight w:val="none"/>
              </w:rPr>
              <w:t>标的金额 （元）</w:t>
            </w:r>
          </w:p>
        </w:tc>
        <w:tc>
          <w:tcPr>
            <w:tcW w:w="755" w:type="dxa"/>
          </w:tcPr>
          <w:p w14:paraId="7AF5F34C">
            <w:pPr>
              <w:pStyle w:val="4"/>
              <w:rPr>
                <w:color w:val="auto"/>
                <w:sz w:val="24"/>
                <w:szCs w:val="24"/>
                <w:highlight w:val="none"/>
              </w:rPr>
            </w:pPr>
            <w:r>
              <w:rPr>
                <w:rFonts w:ascii="仿宋_GB2312" w:hAnsi="仿宋_GB2312" w:eastAsia="仿宋_GB2312" w:cs="仿宋_GB2312"/>
                <w:color w:val="auto"/>
                <w:sz w:val="24"/>
                <w:szCs w:val="24"/>
                <w:highlight w:val="none"/>
              </w:rPr>
              <w:t>计量单位</w:t>
            </w:r>
          </w:p>
        </w:tc>
        <w:tc>
          <w:tcPr>
            <w:tcW w:w="755" w:type="dxa"/>
          </w:tcPr>
          <w:p w14:paraId="4907F943">
            <w:pPr>
              <w:pStyle w:val="4"/>
              <w:rPr>
                <w:color w:val="auto"/>
                <w:sz w:val="24"/>
                <w:szCs w:val="24"/>
                <w:highlight w:val="none"/>
              </w:rPr>
            </w:pPr>
            <w:r>
              <w:rPr>
                <w:rFonts w:ascii="仿宋_GB2312" w:hAnsi="仿宋_GB2312" w:eastAsia="仿宋_GB2312" w:cs="仿宋_GB2312"/>
                <w:color w:val="auto"/>
                <w:sz w:val="24"/>
                <w:szCs w:val="24"/>
                <w:highlight w:val="none"/>
              </w:rPr>
              <w:t>所属行业</w:t>
            </w:r>
          </w:p>
        </w:tc>
        <w:tc>
          <w:tcPr>
            <w:tcW w:w="755" w:type="dxa"/>
          </w:tcPr>
          <w:p w14:paraId="46668E88">
            <w:pPr>
              <w:pStyle w:val="4"/>
              <w:rPr>
                <w:color w:val="auto"/>
                <w:sz w:val="24"/>
                <w:szCs w:val="24"/>
                <w:highlight w:val="none"/>
              </w:rPr>
            </w:pPr>
            <w:r>
              <w:rPr>
                <w:rFonts w:ascii="仿宋_GB2312" w:hAnsi="仿宋_GB2312" w:eastAsia="仿宋_GB2312" w:cs="仿宋_GB2312"/>
                <w:color w:val="auto"/>
                <w:sz w:val="24"/>
                <w:szCs w:val="24"/>
                <w:highlight w:val="none"/>
              </w:rPr>
              <w:t>是否核心产品</w:t>
            </w:r>
          </w:p>
        </w:tc>
        <w:tc>
          <w:tcPr>
            <w:tcW w:w="755" w:type="dxa"/>
          </w:tcPr>
          <w:p w14:paraId="5FDB3613">
            <w:pPr>
              <w:pStyle w:val="4"/>
              <w:rPr>
                <w:color w:val="auto"/>
                <w:sz w:val="24"/>
                <w:szCs w:val="24"/>
                <w:highlight w:val="none"/>
              </w:rPr>
            </w:pPr>
            <w:r>
              <w:rPr>
                <w:rFonts w:ascii="仿宋_GB2312" w:hAnsi="仿宋_GB2312" w:eastAsia="仿宋_GB2312" w:cs="仿宋_GB2312"/>
                <w:color w:val="auto"/>
                <w:sz w:val="24"/>
                <w:szCs w:val="24"/>
                <w:highlight w:val="none"/>
              </w:rPr>
              <w:t>是否允许进口产品</w:t>
            </w:r>
          </w:p>
        </w:tc>
        <w:tc>
          <w:tcPr>
            <w:tcW w:w="755" w:type="dxa"/>
          </w:tcPr>
          <w:p w14:paraId="2C6D454D">
            <w:pPr>
              <w:pStyle w:val="4"/>
              <w:rPr>
                <w:color w:val="auto"/>
                <w:sz w:val="24"/>
                <w:szCs w:val="24"/>
                <w:highlight w:val="none"/>
              </w:rPr>
            </w:pPr>
            <w:r>
              <w:rPr>
                <w:rFonts w:ascii="仿宋_GB2312" w:hAnsi="仿宋_GB2312" w:eastAsia="仿宋_GB2312" w:cs="仿宋_GB2312"/>
                <w:color w:val="auto"/>
                <w:sz w:val="24"/>
                <w:szCs w:val="24"/>
                <w:highlight w:val="none"/>
              </w:rPr>
              <w:t>是否属于节能产品</w:t>
            </w:r>
          </w:p>
        </w:tc>
        <w:tc>
          <w:tcPr>
            <w:tcW w:w="755" w:type="dxa"/>
          </w:tcPr>
          <w:p w14:paraId="492EFFA6">
            <w:pPr>
              <w:pStyle w:val="4"/>
              <w:rPr>
                <w:color w:val="auto"/>
                <w:sz w:val="24"/>
                <w:szCs w:val="24"/>
                <w:highlight w:val="none"/>
              </w:rPr>
            </w:pPr>
            <w:r>
              <w:rPr>
                <w:rFonts w:ascii="仿宋_GB2312" w:hAnsi="仿宋_GB2312" w:eastAsia="仿宋_GB2312" w:cs="仿宋_GB2312"/>
                <w:color w:val="auto"/>
                <w:sz w:val="24"/>
                <w:szCs w:val="24"/>
                <w:highlight w:val="none"/>
              </w:rPr>
              <w:t>是否属于环境标志产品</w:t>
            </w:r>
          </w:p>
        </w:tc>
        <w:tc>
          <w:tcPr>
            <w:tcW w:w="755" w:type="dxa"/>
          </w:tcPr>
          <w:p w14:paraId="28F10F8E">
            <w:pPr>
              <w:pStyle w:val="4"/>
              <w:rPr>
                <w:color w:val="auto"/>
                <w:sz w:val="24"/>
                <w:szCs w:val="24"/>
                <w:highlight w:val="none"/>
              </w:rPr>
            </w:pPr>
            <w:r>
              <w:rPr>
                <w:rFonts w:ascii="仿宋_GB2312" w:hAnsi="仿宋_GB2312" w:eastAsia="仿宋_GB2312" w:cs="仿宋_GB2312"/>
                <w:color w:val="auto"/>
                <w:sz w:val="24"/>
                <w:szCs w:val="24"/>
                <w:highlight w:val="none"/>
              </w:rPr>
              <w:t>是否实施本国产品政策</w:t>
            </w:r>
          </w:p>
        </w:tc>
      </w:tr>
      <w:tr w14:paraId="7DF31A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FF8188E">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755" w:type="dxa"/>
          </w:tcPr>
          <w:p w14:paraId="587D64BD">
            <w:pPr>
              <w:pStyle w:val="4"/>
              <w:rPr>
                <w:rFonts w:hint="eastAsia" w:eastAsia="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eastAsia="zh-CN"/>
              </w:rPr>
              <w:t>西安市儿童医院数字链路服务项目</w:t>
            </w:r>
            <w:r>
              <w:rPr>
                <w:rFonts w:ascii="仿宋_GB2312" w:hAnsi="仿宋_GB2312" w:eastAsia="仿宋_GB2312" w:cs="仿宋_GB2312"/>
                <w:color w:val="auto"/>
                <w:sz w:val="24"/>
                <w:szCs w:val="24"/>
                <w:highlight w:val="none"/>
              </w:rPr>
              <w:t>包</w:t>
            </w:r>
            <w:r>
              <w:rPr>
                <w:rFonts w:hint="eastAsia" w:ascii="仿宋_GB2312" w:hAnsi="仿宋_GB2312" w:eastAsia="仿宋_GB2312" w:cs="仿宋_GB2312"/>
                <w:color w:val="auto"/>
                <w:sz w:val="24"/>
                <w:szCs w:val="24"/>
                <w:highlight w:val="none"/>
                <w:lang w:val="en-US" w:eastAsia="zh-CN"/>
              </w:rPr>
              <w:t>四</w:t>
            </w:r>
          </w:p>
        </w:tc>
        <w:tc>
          <w:tcPr>
            <w:tcW w:w="755" w:type="dxa"/>
          </w:tcPr>
          <w:p w14:paraId="4F27803C">
            <w:pPr>
              <w:pStyle w:val="4"/>
              <w:jc w:val="right"/>
              <w:rPr>
                <w:color w:val="auto"/>
                <w:sz w:val="24"/>
                <w:szCs w:val="24"/>
                <w:highlight w:val="none"/>
              </w:rPr>
            </w:pPr>
            <w:r>
              <w:rPr>
                <w:rFonts w:ascii="仿宋_GB2312" w:hAnsi="仿宋_GB2312" w:eastAsia="仿宋_GB2312" w:cs="仿宋_GB2312"/>
                <w:color w:val="auto"/>
                <w:sz w:val="24"/>
                <w:szCs w:val="24"/>
                <w:highlight w:val="none"/>
              </w:rPr>
              <w:t>1.00</w:t>
            </w:r>
          </w:p>
        </w:tc>
        <w:tc>
          <w:tcPr>
            <w:tcW w:w="755" w:type="dxa"/>
          </w:tcPr>
          <w:p w14:paraId="4D97AB06">
            <w:pPr>
              <w:pStyle w:val="4"/>
              <w:jc w:val="right"/>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100</w:t>
            </w:r>
            <w:r>
              <w:rPr>
                <w:rFonts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000</w:t>
            </w:r>
            <w:r>
              <w:rPr>
                <w:rFonts w:ascii="仿宋_GB2312" w:hAnsi="仿宋_GB2312" w:eastAsia="仿宋_GB2312" w:cs="仿宋_GB2312"/>
                <w:color w:val="auto"/>
                <w:sz w:val="24"/>
                <w:szCs w:val="24"/>
                <w:highlight w:val="none"/>
              </w:rPr>
              <w:t>.00</w:t>
            </w:r>
          </w:p>
        </w:tc>
        <w:tc>
          <w:tcPr>
            <w:tcW w:w="755" w:type="dxa"/>
          </w:tcPr>
          <w:p w14:paraId="34E9F686">
            <w:pPr>
              <w:pStyle w:val="4"/>
              <w:rPr>
                <w:rFonts w:hint="eastAsia" w:eastAsiaTheme="minorEastAsia"/>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年</w:t>
            </w:r>
          </w:p>
        </w:tc>
        <w:tc>
          <w:tcPr>
            <w:tcW w:w="755" w:type="dxa"/>
          </w:tcPr>
          <w:p w14:paraId="180B422A">
            <w:pPr>
              <w:pStyle w:val="4"/>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信息传输业</w:t>
            </w:r>
          </w:p>
        </w:tc>
        <w:tc>
          <w:tcPr>
            <w:tcW w:w="755" w:type="dxa"/>
          </w:tcPr>
          <w:p w14:paraId="03A40514">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4CBE1B0F">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63089B12">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63FCEA8E">
            <w:pPr>
              <w:pStyle w:val="4"/>
              <w:rPr>
                <w:color w:val="auto"/>
                <w:sz w:val="24"/>
                <w:szCs w:val="24"/>
                <w:highlight w:val="none"/>
              </w:rPr>
            </w:pPr>
            <w:r>
              <w:rPr>
                <w:rFonts w:ascii="仿宋_GB2312" w:hAnsi="仿宋_GB2312" w:eastAsia="仿宋_GB2312" w:cs="仿宋_GB2312"/>
                <w:color w:val="auto"/>
                <w:sz w:val="24"/>
                <w:szCs w:val="24"/>
                <w:highlight w:val="none"/>
              </w:rPr>
              <w:t>否</w:t>
            </w:r>
          </w:p>
        </w:tc>
        <w:tc>
          <w:tcPr>
            <w:tcW w:w="755" w:type="dxa"/>
          </w:tcPr>
          <w:p w14:paraId="4DC17C14">
            <w:pPr>
              <w:pStyle w:val="4"/>
              <w:rPr>
                <w:color w:val="auto"/>
                <w:sz w:val="24"/>
                <w:szCs w:val="24"/>
                <w:highlight w:val="none"/>
              </w:rPr>
            </w:pPr>
            <w:r>
              <w:rPr>
                <w:rFonts w:ascii="仿宋_GB2312" w:hAnsi="仿宋_GB2312" w:eastAsia="仿宋_GB2312" w:cs="仿宋_GB2312"/>
                <w:color w:val="auto"/>
                <w:sz w:val="24"/>
                <w:szCs w:val="24"/>
                <w:highlight w:val="none"/>
              </w:rPr>
              <w:t>否</w:t>
            </w:r>
          </w:p>
        </w:tc>
      </w:tr>
    </w:tbl>
    <w:p w14:paraId="4A8DD2F8">
      <w:pPr>
        <w:pStyle w:val="4"/>
        <w:outlineLvl w:val="2"/>
        <w:rPr>
          <w:rFonts w:ascii="仿宋_GB2312" w:hAnsi="仿宋_GB2312" w:eastAsia="仿宋_GB2312" w:cs="仿宋_GB2312"/>
          <w:b/>
          <w:color w:val="auto"/>
          <w:sz w:val="24"/>
          <w:szCs w:val="24"/>
          <w:highlight w:val="none"/>
        </w:rPr>
      </w:pPr>
    </w:p>
    <w:p w14:paraId="63D2DE9C">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3.2.2服务要求</w:t>
      </w:r>
    </w:p>
    <w:p w14:paraId="092DC924">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7EB671D0">
      <w:pPr>
        <w:pStyle w:val="4"/>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标的名称：</w:t>
      </w:r>
      <w:r>
        <w:rPr>
          <w:rFonts w:hint="eastAsia" w:ascii="仿宋_GB2312" w:hAnsi="仿宋_GB2312" w:eastAsia="仿宋_GB2312" w:cs="仿宋_GB2312"/>
          <w:color w:val="auto"/>
          <w:sz w:val="24"/>
          <w:szCs w:val="24"/>
          <w:highlight w:val="none"/>
          <w:lang w:eastAsia="zh-CN"/>
        </w:rPr>
        <w:t>西安市儿童医院数字链路服务项目</w:t>
      </w:r>
      <w:r>
        <w:rPr>
          <w:rFonts w:hint="eastAsia" w:ascii="仿宋_GB2312" w:hAnsi="仿宋_GB2312" w:eastAsia="仿宋_GB2312" w:cs="仿宋_GB2312"/>
          <w:color w:val="auto"/>
          <w:sz w:val="24"/>
          <w:szCs w:val="24"/>
          <w:highlight w:val="none"/>
          <w:lang w:val="en-US" w:eastAsia="zh-CN"/>
        </w:rPr>
        <w:t>包一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3"/>
        <w:gridCol w:w="1298"/>
        <w:gridCol w:w="6096"/>
      </w:tblGrid>
      <w:tr w14:paraId="22ADB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13" w:type="dxa"/>
          </w:tcPr>
          <w:p w14:paraId="1CEC0F1C">
            <w:pPr>
              <w:pStyle w:val="4"/>
              <w:rPr>
                <w:color w:val="auto"/>
                <w:sz w:val="24"/>
                <w:szCs w:val="24"/>
                <w:highlight w:val="none"/>
              </w:rPr>
            </w:pPr>
            <w:r>
              <w:rPr>
                <w:rFonts w:ascii="仿宋_GB2312" w:hAnsi="仿宋_GB2312" w:eastAsia="仿宋_GB2312" w:cs="仿宋_GB2312"/>
                <w:color w:val="auto"/>
                <w:sz w:val="24"/>
                <w:szCs w:val="24"/>
                <w:highlight w:val="none"/>
              </w:rPr>
              <w:t xml:space="preserve"> 序号</w:t>
            </w:r>
          </w:p>
        </w:tc>
        <w:tc>
          <w:tcPr>
            <w:tcW w:w="1298" w:type="dxa"/>
          </w:tcPr>
          <w:p w14:paraId="69A2E51A">
            <w:pPr>
              <w:pStyle w:val="4"/>
              <w:rPr>
                <w:color w:val="auto"/>
                <w:sz w:val="24"/>
                <w:szCs w:val="24"/>
                <w:highlight w:val="none"/>
              </w:rPr>
            </w:pPr>
            <w:r>
              <w:rPr>
                <w:rFonts w:ascii="仿宋_GB2312" w:hAnsi="仿宋_GB2312" w:eastAsia="仿宋_GB2312" w:cs="仿宋_GB2312"/>
                <w:color w:val="auto"/>
                <w:sz w:val="24"/>
                <w:szCs w:val="24"/>
                <w:highlight w:val="none"/>
              </w:rPr>
              <w:t xml:space="preserve"> 参数性质</w:t>
            </w:r>
          </w:p>
        </w:tc>
        <w:tc>
          <w:tcPr>
            <w:tcW w:w="6096" w:type="dxa"/>
          </w:tcPr>
          <w:p w14:paraId="203473F7">
            <w:pPr>
              <w:pStyle w:val="4"/>
              <w:rPr>
                <w:color w:val="auto"/>
                <w:sz w:val="24"/>
                <w:szCs w:val="24"/>
                <w:highlight w:val="none"/>
              </w:rPr>
            </w:pPr>
            <w:r>
              <w:rPr>
                <w:rFonts w:ascii="仿宋_GB2312" w:hAnsi="仿宋_GB2312" w:eastAsia="仿宋_GB2312" w:cs="仿宋_GB2312"/>
                <w:color w:val="auto"/>
                <w:sz w:val="24"/>
                <w:szCs w:val="24"/>
                <w:highlight w:val="none"/>
              </w:rPr>
              <w:t xml:space="preserve"> 技术参数与性能指标</w:t>
            </w:r>
          </w:p>
        </w:tc>
      </w:tr>
      <w:tr w14:paraId="1849EC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13" w:type="dxa"/>
          </w:tcPr>
          <w:p w14:paraId="5B4D01EE">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1298" w:type="dxa"/>
          </w:tcPr>
          <w:p w14:paraId="4AE99C4E">
            <w:pPr>
              <w:pStyle w:val="4"/>
              <w:rPr>
                <w:color w:val="auto"/>
                <w:sz w:val="24"/>
                <w:szCs w:val="24"/>
                <w:highlight w:val="none"/>
              </w:rPr>
            </w:pPr>
          </w:p>
        </w:tc>
        <w:tc>
          <w:tcPr>
            <w:tcW w:w="6096" w:type="dxa"/>
          </w:tcPr>
          <w:p w14:paraId="78080DC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包</w:t>
            </w:r>
            <w:r>
              <w:rPr>
                <w:rFonts w:hint="eastAsia" w:ascii="仿宋_GB2312" w:hAnsi="仿宋_GB2312" w:eastAsia="仿宋_GB2312" w:cs="仿宋_GB2312"/>
                <w:color w:val="auto"/>
                <w:sz w:val="24"/>
                <w:szCs w:val="24"/>
                <w:highlight w:val="none"/>
              </w:rPr>
              <w:t>一：两院区内网500M专线，预算为：14万元，最高限价：13万元；</w:t>
            </w:r>
          </w:p>
          <w:p w14:paraId="4FBDD58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一、项目概况：</w:t>
            </w:r>
          </w:p>
          <w:p w14:paraId="30C11B9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确保我院两院区的业务互联互通、高效互动，并彻底改善我院日常办公、问诊、挂号环境，全面提升我院网络的综合性能。</w:t>
            </w:r>
          </w:p>
          <w:p w14:paraId="5C344875">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二、服务内容：</w:t>
            </w:r>
          </w:p>
          <w:p w14:paraId="6019C43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供应商提供端到端的解决方案，即负责医院两院区网络中心机房的互联OTN线路。所提供的数字链路承载方式支持MS-OTN或PeOTN。提供重点保障服务，定制链路运行报告、链路健康性评估数字链路需要直接进入骨干机房，需要自助网管。</w:t>
            </w:r>
          </w:p>
          <w:p w14:paraId="3A87AC0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（二）端到端PING测试丢包率小于1‰，且RTT(Round Trip Time）小于3ms，边缘区域RTT应小于15ms，ping包要求大于1000字节。</w:t>
            </w:r>
          </w:p>
          <w:p w14:paraId="32490BC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（三）供应商提供的链路中断故障响应时间≤0.5小时，故障原因反馈时间≤2小时，提供双路由保护。</w:t>
            </w:r>
          </w:p>
          <w:p w14:paraId="0C2BAE1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（四）端到端的链路误码率≤1×10-7，端到端的链路传输时延小于≤（10+0.01G）毫秒，G为传输距离，单位KM，链路年可用率≧99.9%。</w:t>
            </w:r>
          </w:p>
          <w:p w14:paraId="31BC2D1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（五）光缆距离及光缆衰减数值：主院区至经开院区物理光衰1550波长下必须达到15db以内衰减 时延：平均时延≤3ms，丢包率：平均丢包率≤1‰。</w:t>
            </w:r>
          </w:p>
          <w:p w14:paraId="34A5F06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（六）拥有完善的售后运维服务体系，提供7*24小时售后技术支撑，响应时间≤30min，到达现场时间≤2h，故障修复时间≤4h（不可抗力除外）。</w:t>
            </w:r>
          </w:p>
          <w:p w14:paraId="0A89A5D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（七）实现双路由保护（环路保护），即物理线路建设不同路由各施工一条线路，形成环路保护，一条路由故障另一条路由启动，保障线路通畅。</w:t>
            </w:r>
          </w:p>
          <w:p w14:paraId="43045A4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（八）提供出口链路需支持光/电1000M；1000M光口GE等灵活接口类型，带宽可平滑升速，最高可支持扩展至万兆口。</w:t>
            </w:r>
          </w:p>
          <w:p w14:paraId="0898899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（九）网络带宽独立性必须采用独享带宽接入（承诺M数可达），网速不受宽带使用高峰期的影响，网速稳定优质。</w:t>
            </w:r>
          </w:p>
          <w:p w14:paraId="260CB5E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三、技术要求：</w:t>
            </w:r>
          </w:p>
          <w:p w14:paraId="5DF90D7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（一）端到端PING测试丢包率小于1‰，且RTT(Round Trip Time）小于3ms，边缘区域RTT应小于15ms，ping包要求大于1000字节。</w:t>
            </w:r>
          </w:p>
          <w:p w14:paraId="7AD0792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（二）供应商提供的链路中断故障响应时间≤0.5小时，故障原因反馈时间≤2小时，提供双路由保护。</w:t>
            </w:r>
          </w:p>
          <w:p w14:paraId="08A09D0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（三）端到端的链路误码率≤1×10-7，端到端的链路传输时延小于≤（10+0.01G）毫秒，G为传输距离，单位KM，链路年可用率≧99.9%。</w:t>
            </w:r>
          </w:p>
          <w:p w14:paraId="24E1FA7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（四）光缆距离及光缆衰减数值：主院区至经开院区物理光衰1550波长下必须达到15db以内衰减 时延：平均时延≤3ms，丢包率：平均丢包率≤1‰。</w:t>
            </w:r>
          </w:p>
          <w:p w14:paraId="53652C0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四、服务要求：</w:t>
            </w:r>
          </w:p>
          <w:p w14:paraId="2B7FB74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拥有完善的售后运维服务体系，提供7*24小时售后技术支撑，响应时间≤30min，到达现场时间≤2h，故障修复时间≤4h（不可抗力除外）。</w:t>
            </w:r>
          </w:p>
          <w:p w14:paraId="3462F5C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实现双路由保护（环路保护），即物理线路建设不同路由各施工一条线路，形成环路保护，一条路由故障另一条路由启动，保障线路通畅。</w:t>
            </w:r>
          </w:p>
          <w:p w14:paraId="6F09BEB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提供出口链路需支持光/电1000M；1000M光口GE等灵活接口类型，带宽可平滑升速，最高可支持扩展至万兆口。</w:t>
            </w:r>
          </w:p>
          <w:p w14:paraId="41AAD5B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网络带宽独立性必须采用独享带宽接入（承诺M数可达），网速不受宽带使用高峰期的影响，网速稳定优质。</w:t>
            </w:r>
          </w:p>
          <w:p w14:paraId="3C113BA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五、商务要求：</w:t>
            </w:r>
          </w:p>
          <w:p w14:paraId="4B5A12A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（一）服务期限：</w:t>
            </w:r>
          </w:p>
          <w:p w14:paraId="3C271F4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自验收合格后1年</w:t>
            </w:r>
          </w:p>
          <w:p w14:paraId="39C5353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（二）款项结算：</w:t>
            </w:r>
          </w:p>
          <w:p w14:paraId="6E2533C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098E193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六、其他</w:t>
            </w:r>
          </w:p>
          <w:p w14:paraId="3304222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（一）进度要求：</w:t>
            </w:r>
            <w:r>
              <w:rPr>
                <w:rFonts w:hint="eastAsia" w:ascii="仿宋_GB2312" w:hAnsi="仿宋_GB2312" w:eastAsia="仿宋_GB2312" w:cs="仿宋_GB2312"/>
                <w:color w:val="auto"/>
                <w:sz w:val="24"/>
                <w:szCs w:val="24"/>
                <w:highlight w:val="none"/>
                <w:lang w:val="en-US" w:eastAsia="zh-CN"/>
              </w:rPr>
              <w:t>合同签订后15个工作日</w:t>
            </w:r>
            <w:r>
              <w:rPr>
                <w:rFonts w:hint="eastAsia" w:ascii="仿宋_GB2312" w:hAnsi="仿宋_GB2312" w:eastAsia="仿宋_GB2312" w:cs="仿宋_GB2312"/>
                <w:color w:val="auto"/>
                <w:sz w:val="24"/>
                <w:szCs w:val="24"/>
                <w:highlight w:val="none"/>
              </w:rPr>
              <w:t>完成两院区内网500M互联互通工作。</w:t>
            </w:r>
          </w:p>
          <w:p w14:paraId="1723988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（二）成果交付要求：明确服务商应提交的最终成果内容、规格和数量等。</w:t>
            </w:r>
          </w:p>
          <w:p w14:paraId="560F427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（三）验收标准或规范：现行的国家标准或国家行政部门颁布的法律法规、规章制度等，没有国家标准的可参考行业标准：</w:t>
            </w:r>
          </w:p>
          <w:p w14:paraId="6986B0D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1．供应商资质要求：三证合一的营业执照、基础电信业务许可证。</w:t>
            </w:r>
          </w:p>
          <w:p w14:paraId="732609E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2．质量验收标准或规范：参考行业标准。</w:t>
            </w:r>
          </w:p>
          <w:p w14:paraId="54964B12">
            <w:pPr>
              <w:pStyle w:val="4"/>
              <w:rPr>
                <w:color w:val="auto"/>
                <w:sz w:val="24"/>
                <w:szCs w:val="24"/>
                <w:highlight w:val="none"/>
              </w:rPr>
            </w:pPr>
            <w:r>
              <w:rPr>
                <w:rFonts w:hint="eastAsia" w:ascii="仿宋_GB2312" w:hAnsi="仿宋_GB2312" w:eastAsia="仿宋_GB2312" w:cs="仿宋_GB2312"/>
                <w:color w:val="auto"/>
                <w:sz w:val="24"/>
                <w:szCs w:val="24"/>
                <w:highlight w:val="none"/>
              </w:rPr>
              <w:t>3．产品质保期：1年。</w:t>
            </w:r>
          </w:p>
        </w:tc>
      </w:tr>
    </w:tbl>
    <w:p w14:paraId="05E47FE1">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27FE0D1D">
      <w:pPr>
        <w:pStyle w:val="4"/>
        <w:rPr>
          <w:rFonts w:hint="eastAsia" w:eastAsia="仿宋_GB2312"/>
          <w:color w:val="auto"/>
          <w:sz w:val="24"/>
          <w:szCs w:val="24"/>
          <w:highlight w:val="none"/>
          <w:lang w:eastAsia="zh-CN"/>
        </w:rPr>
      </w:pPr>
      <w:r>
        <w:rPr>
          <w:rFonts w:ascii="仿宋_GB2312" w:hAnsi="仿宋_GB2312" w:eastAsia="仿宋_GB2312" w:cs="仿宋_GB2312"/>
          <w:color w:val="auto"/>
          <w:sz w:val="24"/>
          <w:szCs w:val="24"/>
          <w:highlight w:val="none"/>
        </w:rPr>
        <w:t>标的名称：</w:t>
      </w:r>
      <w:r>
        <w:rPr>
          <w:rFonts w:hint="eastAsia" w:ascii="仿宋_GB2312" w:hAnsi="仿宋_GB2312" w:eastAsia="仿宋_GB2312" w:cs="仿宋_GB2312"/>
          <w:color w:val="auto"/>
          <w:sz w:val="24"/>
          <w:szCs w:val="24"/>
          <w:highlight w:val="none"/>
          <w:lang w:eastAsia="zh-CN"/>
        </w:rPr>
        <w:t>西安市儿童医院数字链路服务项目</w:t>
      </w:r>
      <w:r>
        <w:rPr>
          <w:rFonts w:hint="eastAsia" w:ascii="仿宋_GB2312" w:hAnsi="仿宋_GB2312" w:eastAsia="仿宋_GB2312" w:cs="仿宋_GB2312"/>
          <w:color w:val="auto"/>
          <w:sz w:val="24"/>
          <w:szCs w:val="24"/>
          <w:highlight w:val="none"/>
          <w:lang w:val="en-US" w:eastAsia="zh-CN"/>
        </w:rPr>
        <w:t>包二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13"/>
        <w:gridCol w:w="1313"/>
        <w:gridCol w:w="6081"/>
      </w:tblGrid>
      <w:tr w14:paraId="0D28E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13" w:type="dxa"/>
          </w:tcPr>
          <w:p w14:paraId="6B03917C">
            <w:pPr>
              <w:pStyle w:val="4"/>
              <w:rPr>
                <w:color w:val="auto"/>
                <w:sz w:val="24"/>
                <w:szCs w:val="24"/>
                <w:highlight w:val="none"/>
              </w:rPr>
            </w:pPr>
            <w:r>
              <w:rPr>
                <w:rFonts w:ascii="仿宋_GB2312" w:hAnsi="仿宋_GB2312" w:eastAsia="仿宋_GB2312" w:cs="仿宋_GB2312"/>
                <w:color w:val="auto"/>
                <w:sz w:val="24"/>
                <w:szCs w:val="24"/>
                <w:highlight w:val="none"/>
              </w:rPr>
              <w:t xml:space="preserve"> 序号</w:t>
            </w:r>
          </w:p>
        </w:tc>
        <w:tc>
          <w:tcPr>
            <w:tcW w:w="1313" w:type="dxa"/>
          </w:tcPr>
          <w:p w14:paraId="13B8281D">
            <w:pPr>
              <w:pStyle w:val="4"/>
              <w:rPr>
                <w:color w:val="auto"/>
                <w:sz w:val="24"/>
                <w:szCs w:val="24"/>
                <w:highlight w:val="none"/>
              </w:rPr>
            </w:pPr>
            <w:r>
              <w:rPr>
                <w:rFonts w:ascii="仿宋_GB2312" w:hAnsi="仿宋_GB2312" w:eastAsia="仿宋_GB2312" w:cs="仿宋_GB2312"/>
                <w:color w:val="auto"/>
                <w:sz w:val="24"/>
                <w:szCs w:val="24"/>
                <w:highlight w:val="none"/>
              </w:rPr>
              <w:t xml:space="preserve"> 参数性质</w:t>
            </w:r>
          </w:p>
        </w:tc>
        <w:tc>
          <w:tcPr>
            <w:tcW w:w="6081" w:type="dxa"/>
          </w:tcPr>
          <w:p w14:paraId="5780466E">
            <w:pPr>
              <w:pStyle w:val="4"/>
              <w:rPr>
                <w:color w:val="auto"/>
                <w:sz w:val="24"/>
                <w:szCs w:val="24"/>
                <w:highlight w:val="none"/>
              </w:rPr>
            </w:pPr>
            <w:r>
              <w:rPr>
                <w:rFonts w:ascii="仿宋_GB2312" w:hAnsi="仿宋_GB2312" w:eastAsia="仿宋_GB2312" w:cs="仿宋_GB2312"/>
                <w:color w:val="auto"/>
                <w:sz w:val="24"/>
                <w:szCs w:val="24"/>
                <w:highlight w:val="none"/>
              </w:rPr>
              <w:t xml:space="preserve"> 技术参数与性能指标</w:t>
            </w:r>
          </w:p>
        </w:tc>
      </w:tr>
      <w:tr w14:paraId="7ABCB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13" w:type="dxa"/>
          </w:tcPr>
          <w:p w14:paraId="2BE326DD">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1313" w:type="dxa"/>
          </w:tcPr>
          <w:p w14:paraId="47EC621B">
            <w:pPr>
              <w:pStyle w:val="4"/>
              <w:rPr>
                <w:color w:val="auto"/>
                <w:sz w:val="24"/>
                <w:szCs w:val="24"/>
                <w:highlight w:val="none"/>
              </w:rPr>
            </w:pPr>
          </w:p>
        </w:tc>
        <w:tc>
          <w:tcPr>
            <w:tcW w:w="6081" w:type="dxa"/>
          </w:tcPr>
          <w:p w14:paraId="7913477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包</w:t>
            </w:r>
            <w:r>
              <w:rPr>
                <w:rFonts w:hint="eastAsia" w:ascii="仿宋_GB2312" w:hAnsi="仿宋_GB2312" w:eastAsia="仿宋_GB2312" w:cs="仿宋_GB2312"/>
                <w:color w:val="auto"/>
                <w:sz w:val="24"/>
                <w:szCs w:val="24"/>
                <w:highlight w:val="none"/>
              </w:rPr>
              <w:t>二：西门院区外网500M专线，预算为：30万元，最高限价27万元；</w:t>
            </w:r>
          </w:p>
          <w:p w14:paraId="7E80D80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一、项目概况：</w:t>
            </w:r>
          </w:p>
          <w:p w14:paraId="08EB74B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西安市儿童医院是陕西省、西安市唯一一所集医疗、教学、科研、预防、保健、康复、院前急救及管理于一体的三级甲等综合性儿童专科医院，也是国家儿童区域医疗中心、陕西省儿童医学中心、西安交通大学附属儿童医院。为积极落实国家医改政策、解决看病难的问题及满足日益增长的就医需求，我院积极解放思想，从诊疗业务需求出发，借助互联网思维，特推出网上预约挂号，远程会诊等便民措施，故此需申请500M大带宽专线作为网络支撑以满足西门院区日常诊疗运营需求。</w:t>
            </w:r>
          </w:p>
          <w:p w14:paraId="502AD09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二、服务内容：</w:t>
            </w:r>
          </w:p>
          <w:p w14:paraId="1E1DAB3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（一）光纤专线线路通过运营商光纤接入运营商城域网交换机房GE光口，带宽为500M。实现高速INTERNET接入。能够保证带宽不稀释、出口无瓶颈，在带宽QoS和时延等方面有良好的保证。</w:t>
            </w:r>
          </w:p>
          <w:p w14:paraId="6A3CAEF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（二）为客户提供的互联网出口数据链路带宽为独占带宽。采用独享带宽接入（承诺M数可达），企业独享VIP网络通道，网速不受宽带使用高峰期的影响，网速稳定优质。</w:t>
            </w:r>
          </w:p>
          <w:p w14:paraId="6954DC8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w:t>
            </w:r>
            <w:r>
              <w:rPr>
                <w:rFonts w:hint="eastAsia" w:ascii="仿宋_GB2312" w:hAnsi="仿宋_GB2312" w:eastAsia="仿宋_GB2312" w:cs="仿宋_GB2312"/>
                <w:color w:val="auto"/>
                <w:sz w:val="24"/>
                <w:szCs w:val="24"/>
                <w:highlight w:val="none"/>
                <w:lang w:val="en-US" w:eastAsia="zh-CN"/>
              </w:rPr>
              <w:t>运营商</w:t>
            </w:r>
            <w:r>
              <w:rPr>
                <w:rFonts w:hint="eastAsia" w:ascii="仿宋_GB2312" w:hAnsi="仿宋_GB2312" w:eastAsia="仿宋_GB2312" w:cs="仿宋_GB2312"/>
                <w:color w:val="auto"/>
                <w:sz w:val="24"/>
                <w:szCs w:val="24"/>
                <w:highlight w:val="none"/>
              </w:rPr>
              <w:t>提供的光纤接口标准符合IEEE 802.3z Ethernet标准，</w:t>
            </w:r>
          </w:p>
          <w:p w14:paraId="458F746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（四）接口实测速率≥接口理论速率×90%，上行速率≥下行速率×99%。</w:t>
            </w:r>
          </w:p>
          <w:p w14:paraId="4179582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（五）提供出口链路需支持光/电100M；1000M、500M光口GE等灵活接口类型，带宽可平滑升速，最高可支持扩展至万兆口，</w:t>
            </w:r>
          </w:p>
          <w:p w14:paraId="37C8415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w:t>
            </w:r>
            <w:r>
              <w:rPr>
                <w:rFonts w:hint="eastAsia" w:ascii="仿宋_GB2312" w:hAnsi="仿宋_GB2312" w:eastAsia="仿宋_GB2312" w:cs="仿宋_GB2312"/>
                <w:color w:val="auto"/>
                <w:sz w:val="24"/>
                <w:szCs w:val="24"/>
                <w:highlight w:val="none"/>
                <w:lang w:eastAsia="zh-CN"/>
              </w:rPr>
              <w:t>运营商</w:t>
            </w:r>
            <w:r>
              <w:rPr>
                <w:rFonts w:hint="eastAsia" w:ascii="仿宋_GB2312" w:hAnsi="仿宋_GB2312" w:eastAsia="仿宋_GB2312" w:cs="仿宋_GB2312"/>
                <w:color w:val="auto"/>
                <w:sz w:val="24"/>
                <w:szCs w:val="24"/>
                <w:highlight w:val="none"/>
              </w:rPr>
              <w:t>为客户光纤专线提供2组公网IPv4地址（每组4个），IP地址是全开放、无任何限制，以确保部署的门户网站及其它信息系统能被互联网用户顺利访问。</w:t>
            </w:r>
          </w:p>
          <w:p w14:paraId="5A5A219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（七）为保障客户网络信息安全，提升网络防护能力。我方具备网络安全防护的服务能力，为客户提供信息安全增值服务。包括：DDOS攻击防护、网站安全监测防护、域名防护等。</w:t>
            </w:r>
          </w:p>
          <w:p w14:paraId="1559A3D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（八）售后响应时间不得超过0.5个小时，需要现场服务时，2小时内到达现场；4小时内解决故障。</w:t>
            </w:r>
          </w:p>
          <w:p w14:paraId="58BE241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三</w:t>
            </w:r>
            <w:r>
              <w:rPr>
                <w:rFonts w:hint="eastAsia" w:ascii="仿宋_GB2312" w:hAnsi="仿宋_GB2312" w:eastAsia="仿宋_GB2312" w:cs="仿宋_GB2312"/>
                <w:color w:val="auto"/>
                <w:sz w:val="24"/>
                <w:szCs w:val="24"/>
                <w:highlight w:val="none"/>
              </w:rPr>
              <w:t>、技术要求：</w:t>
            </w:r>
          </w:p>
          <w:p w14:paraId="55327DA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（一）本项目为独享带宽的Internet 接入，要求直接接到数据网的城域骨干接入节点上，平均丢包率不高于0.5‰，并提供本Internet 接入的组网拓扑图。要求用拓扑图的形式画出链路接入网络结构图，指出本次租用电路的接入点。要求该电路独占上下行速率恒定。</w:t>
            </w:r>
          </w:p>
          <w:p w14:paraId="6C87F0A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（二）提供并说明接入的骨干数据节点路由设备的包交换能力、设备型号。</w:t>
            </w:r>
          </w:p>
          <w:p w14:paraId="0AE4E9B5">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（三）所提供的光缆为单模光缆1.31μM的损耗不超过0.4db/KM，多模光缆 1.55μM的损耗不超过0.3db/KM。所提供的出口链路衰减不超过16db。</w:t>
            </w:r>
          </w:p>
          <w:p w14:paraId="1A0F02B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（四）所有专线设备要求支持IPV4/IPV6双栈。</w:t>
            </w:r>
          </w:p>
          <w:p w14:paraId="236545C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（五）运营商可根据需要对来自互联网的IPV4、IPV6 DDOS攻击进行过滤。</w:t>
            </w:r>
          </w:p>
          <w:p w14:paraId="53CC0D6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（六）IP地址需求：公网IP地址必须是全开放，无限制，确保部署在甲方有关互联网应用能被互联网用户顺利访问。</w:t>
            </w:r>
          </w:p>
          <w:p w14:paraId="0169C13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（七）投标人或其总公司 （母公司） 具备网络安全防护能力，提供互联网 DDOS 攻击流量清洗服务，清洗能力≥16Tbps。</w:t>
            </w:r>
          </w:p>
          <w:p w14:paraId="4789E1B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（八）运营商支持对攻击状态进行实时监控，一旦发生攻击，即刻发出攻击告警通知，攻击结束后发出结束通知。告警通知包含攻击目标，攻击类型及攻击大小信息；</w:t>
            </w:r>
          </w:p>
          <w:p w14:paraId="666E078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（九）所提供的电路必须符合国家有关的电信业务规定，租用期内，需免费提供线路两端的光电收发设备。</w:t>
            </w:r>
          </w:p>
          <w:p w14:paraId="665CDC2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（十）运营商具备，可对单个目标IP进行全网牵引，并支持基于需防护目的IP地址的可实现国际流量、国内运营商分方向的流量压制功能，无需修改 DNS 配置和 IP 地址，仅需提供防护目标对象即可进行防护。</w:t>
            </w:r>
          </w:p>
          <w:p w14:paraId="490DB86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（十一）线路可用率承诺不低于99.5％</w:t>
            </w:r>
          </w:p>
          <w:p w14:paraId="329F00A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（十二）提供7*24小时不间断通信保障，配置专属客户工程师，负责日常售后服务工作的一点接应和线路故障处理。故障出现时响应时间≤30min，赶到现场时间≤2h，故障接通网络时间≤4h。</w:t>
            </w:r>
          </w:p>
          <w:p w14:paraId="26DA8D1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四、服务要求：</w:t>
            </w:r>
          </w:p>
          <w:p w14:paraId="6B262E8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线路可用率承诺不低于99.5％。</w:t>
            </w:r>
          </w:p>
          <w:p w14:paraId="684DD7A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提供7*24小时不间断通信保障，配置专属客户工程师，负责日常售后服务工作的一点接应和线路故障处理。故障出现时响应时间≤30min，赶到现场时间≤2h，故障接通网络时间≤4h。</w:t>
            </w:r>
          </w:p>
          <w:p w14:paraId="3D71C4F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五、商务要求：</w:t>
            </w:r>
          </w:p>
          <w:p w14:paraId="3B1A265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（一）服务期限 自验收合格后1年</w:t>
            </w:r>
          </w:p>
          <w:p w14:paraId="60225EB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（二）款项结算：</w:t>
            </w:r>
          </w:p>
          <w:p w14:paraId="2E147F1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2597691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六、其他</w:t>
            </w:r>
          </w:p>
          <w:p w14:paraId="1293D55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（一）进度要求：</w:t>
            </w:r>
            <w:r>
              <w:rPr>
                <w:rFonts w:hint="eastAsia" w:ascii="仿宋_GB2312" w:hAnsi="仿宋_GB2312" w:eastAsia="仿宋_GB2312" w:cs="仿宋_GB2312"/>
                <w:color w:val="auto"/>
                <w:sz w:val="24"/>
                <w:szCs w:val="24"/>
                <w:highlight w:val="none"/>
                <w:lang w:val="en-US" w:eastAsia="zh-CN"/>
              </w:rPr>
              <w:t>合同签订后15个工作日</w:t>
            </w:r>
            <w:r>
              <w:rPr>
                <w:rFonts w:hint="eastAsia" w:ascii="仿宋_GB2312" w:hAnsi="仿宋_GB2312" w:eastAsia="仿宋_GB2312" w:cs="仿宋_GB2312"/>
                <w:color w:val="auto"/>
                <w:sz w:val="24"/>
                <w:szCs w:val="24"/>
                <w:highlight w:val="none"/>
              </w:rPr>
              <w:t>完成西门院区内外网500M互联互通工作。</w:t>
            </w:r>
          </w:p>
          <w:p w14:paraId="0CC1A4B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（二）成果交付要求：明确服务商应提交的最终成果内容、规格和数量等。</w:t>
            </w:r>
          </w:p>
          <w:p w14:paraId="18E055E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（三）验收标准或规范：现行的国家标准或国家行政部门颁布的法律法规、规章制度等，没有国家标准的可参考行业标准：</w:t>
            </w:r>
          </w:p>
          <w:p w14:paraId="1C2B32B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1．供应商资质要求：三证合一的营业执照、基础电信业务许可证。</w:t>
            </w:r>
          </w:p>
          <w:p w14:paraId="5F7FA8C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2．质量验收标准或规范：参考行业标准。</w:t>
            </w:r>
          </w:p>
          <w:p w14:paraId="6757508F">
            <w:pPr>
              <w:pStyle w:val="4"/>
              <w:rPr>
                <w:color w:val="auto"/>
                <w:sz w:val="24"/>
                <w:szCs w:val="24"/>
                <w:highlight w:val="none"/>
              </w:rPr>
            </w:pPr>
            <w:r>
              <w:rPr>
                <w:rFonts w:hint="eastAsia" w:ascii="仿宋_GB2312" w:hAnsi="仿宋_GB2312" w:eastAsia="仿宋_GB2312" w:cs="仿宋_GB2312"/>
                <w:color w:val="auto"/>
                <w:sz w:val="24"/>
                <w:szCs w:val="24"/>
                <w:highlight w:val="none"/>
              </w:rPr>
              <w:t>3．产品质保期：1年。</w:t>
            </w:r>
          </w:p>
        </w:tc>
      </w:tr>
    </w:tbl>
    <w:p w14:paraId="6A92C09A">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05CE3886">
      <w:pPr>
        <w:pStyle w:val="4"/>
        <w:rPr>
          <w:rFonts w:hint="eastAsia" w:eastAsia="仿宋_GB2312"/>
          <w:color w:val="auto"/>
          <w:sz w:val="24"/>
          <w:szCs w:val="24"/>
          <w:highlight w:val="none"/>
          <w:lang w:val="en-US" w:eastAsia="zh-CN"/>
        </w:rPr>
      </w:pPr>
      <w:r>
        <w:rPr>
          <w:rFonts w:ascii="仿宋_GB2312" w:hAnsi="仿宋_GB2312" w:eastAsia="仿宋_GB2312" w:cs="仿宋_GB2312"/>
          <w:color w:val="auto"/>
          <w:sz w:val="24"/>
          <w:szCs w:val="24"/>
          <w:highlight w:val="none"/>
        </w:rPr>
        <w:t>标的名称：</w:t>
      </w:r>
      <w:r>
        <w:rPr>
          <w:rFonts w:hint="eastAsia" w:ascii="仿宋_GB2312" w:hAnsi="仿宋_GB2312" w:eastAsia="仿宋_GB2312" w:cs="仿宋_GB2312"/>
          <w:color w:val="auto"/>
          <w:sz w:val="24"/>
          <w:szCs w:val="24"/>
          <w:highlight w:val="none"/>
          <w:lang w:eastAsia="zh-CN"/>
        </w:rPr>
        <w:t>西安市儿童医院数字链路服务项目</w:t>
      </w:r>
      <w:r>
        <w:rPr>
          <w:rFonts w:ascii="仿宋_GB2312" w:hAnsi="仿宋_GB2312" w:eastAsia="仿宋_GB2312" w:cs="仿宋_GB2312"/>
          <w:color w:val="auto"/>
          <w:sz w:val="24"/>
          <w:szCs w:val="24"/>
          <w:highlight w:val="none"/>
        </w:rPr>
        <w:t>包</w:t>
      </w:r>
      <w:r>
        <w:rPr>
          <w:rFonts w:hint="eastAsia" w:ascii="仿宋_GB2312" w:hAnsi="仿宋_GB2312" w:eastAsia="仿宋_GB2312" w:cs="仿宋_GB2312"/>
          <w:color w:val="auto"/>
          <w:sz w:val="24"/>
          <w:szCs w:val="24"/>
          <w:highlight w:val="none"/>
          <w:lang w:val="en-US" w:eastAsia="zh-CN"/>
        </w:rPr>
        <w:t>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8"/>
        <w:gridCol w:w="1283"/>
        <w:gridCol w:w="6096"/>
      </w:tblGrid>
      <w:tr w14:paraId="6BE93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8" w:type="dxa"/>
          </w:tcPr>
          <w:p w14:paraId="3E24CDD7">
            <w:pPr>
              <w:pStyle w:val="4"/>
              <w:rPr>
                <w:color w:val="auto"/>
                <w:sz w:val="24"/>
                <w:szCs w:val="24"/>
                <w:highlight w:val="none"/>
              </w:rPr>
            </w:pPr>
            <w:r>
              <w:rPr>
                <w:rFonts w:ascii="仿宋_GB2312" w:hAnsi="仿宋_GB2312" w:eastAsia="仿宋_GB2312" w:cs="仿宋_GB2312"/>
                <w:color w:val="auto"/>
                <w:sz w:val="24"/>
                <w:szCs w:val="24"/>
                <w:highlight w:val="none"/>
              </w:rPr>
              <w:t xml:space="preserve"> 序号</w:t>
            </w:r>
          </w:p>
        </w:tc>
        <w:tc>
          <w:tcPr>
            <w:tcW w:w="1283" w:type="dxa"/>
          </w:tcPr>
          <w:p w14:paraId="2D620112">
            <w:pPr>
              <w:pStyle w:val="4"/>
              <w:rPr>
                <w:color w:val="auto"/>
                <w:sz w:val="24"/>
                <w:szCs w:val="24"/>
                <w:highlight w:val="none"/>
              </w:rPr>
            </w:pPr>
            <w:r>
              <w:rPr>
                <w:rFonts w:ascii="仿宋_GB2312" w:hAnsi="仿宋_GB2312" w:eastAsia="仿宋_GB2312" w:cs="仿宋_GB2312"/>
                <w:color w:val="auto"/>
                <w:sz w:val="24"/>
                <w:szCs w:val="24"/>
                <w:highlight w:val="none"/>
              </w:rPr>
              <w:t xml:space="preserve"> 参数性质</w:t>
            </w:r>
          </w:p>
        </w:tc>
        <w:tc>
          <w:tcPr>
            <w:tcW w:w="6096" w:type="dxa"/>
          </w:tcPr>
          <w:p w14:paraId="55D41D68">
            <w:pPr>
              <w:pStyle w:val="4"/>
              <w:rPr>
                <w:color w:val="auto"/>
                <w:sz w:val="24"/>
                <w:szCs w:val="24"/>
                <w:highlight w:val="none"/>
              </w:rPr>
            </w:pPr>
            <w:r>
              <w:rPr>
                <w:rFonts w:ascii="仿宋_GB2312" w:hAnsi="仿宋_GB2312" w:eastAsia="仿宋_GB2312" w:cs="仿宋_GB2312"/>
                <w:color w:val="auto"/>
                <w:sz w:val="24"/>
                <w:szCs w:val="24"/>
                <w:highlight w:val="none"/>
              </w:rPr>
              <w:t xml:space="preserve"> 技术参数与性能指标</w:t>
            </w:r>
          </w:p>
        </w:tc>
      </w:tr>
      <w:tr w14:paraId="578B78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8" w:type="dxa"/>
          </w:tcPr>
          <w:p w14:paraId="2A56BE8D">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1283" w:type="dxa"/>
          </w:tcPr>
          <w:p w14:paraId="79A9B344">
            <w:pPr>
              <w:pStyle w:val="4"/>
              <w:rPr>
                <w:color w:val="auto"/>
                <w:sz w:val="24"/>
                <w:szCs w:val="24"/>
                <w:highlight w:val="none"/>
              </w:rPr>
            </w:pPr>
          </w:p>
        </w:tc>
        <w:tc>
          <w:tcPr>
            <w:tcW w:w="6096" w:type="dxa"/>
          </w:tcPr>
          <w:p w14:paraId="4F9D4B0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包</w:t>
            </w:r>
            <w:r>
              <w:rPr>
                <w:rFonts w:hint="eastAsia" w:ascii="仿宋_GB2312" w:hAnsi="仿宋_GB2312" w:eastAsia="仿宋_GB2312" w:cs="仿宋_GB2312"/>
                <w:color w:val="auto"/>
                <w:sz w:val="24"/>
                <w:szCs w:val="24"/>
                <w:highlight w:val="none"/>
              </w:rPr>
              <w:t>三：经开院区外网500M专线，预算为：30万元，最高限价27万元</w:t>
            </w:r>
          </w:p>
          <w:p w14:paraId="6B5F8D8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一、项目概况：</w:t>
            </w:r>
          </w:p>
          <w:p w14:paraId="0F01D18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西安市儿童医院是陕西省、西安市唯一一所集医疗、教学、科研、预防、保健、康复、院前急救及管理于一体的三级甲等综合性儿童专科医院，也是国家儿童区域医疗中心、陕西省儿童医学中心、西安交通大学附属儿童医院。为积极落实国家医改政策、解决看病难的问题及满足日益增长的就医需求，我院积极解放思想，从诊疗业务需求出发，借助互联网思维，特推出网上预约挂号，远程会诊等便民措施，故此需申请500M大带宽专线作为网络支撑以满足经开院区日常诊疗运营需求。</w:t>
            </w:r>
          </w:p>
          <w:p w14:paraId="56AE859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二、服务内容：</w:t>
            </w:r>
          </w:p>
          <w:p w14:paraId="52D786E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（一）光纤专线线路通过运营商光纤接入运营商城域网交换机房GE光口，带宽为500M。实现高速INTERNET接入。能够保证带宽不稀释、出口无瓶颈，在带宽QoS和时延等方面有良好的保证。</w:t>
            </w:r>
          </w:p>
          <w:p w14:paraId="57261C8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（二）为客户提供的互联网出口数据链路带宽为独占带宽。采用独享带宽接入（承诺M数可达），企业独享VIP网络通道，网速不受宽带使用高峰期的影响，网速稳定优质。</w:t>
            </w:r>
          </w:p>
          <w:p w14:paraId="1F36578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w:t>
            </w:r>
            <w:r>
              <w:rPr>
                <w:rFonts w:hint="eastAsia" w:ascii="仿宋_GB2312" w:hAnsi="仿宋_GB2312" w:eastAsia="仿宋_GB2312" w:cs="仿宋_GB2312"/>
                <w:color w:val="auto"/>
                <w:sz w:val="24"/>
                <w:szCs w:val="24"/>
                <w:highlight w:val="none"/>
                <w:lang w:val="en-US" w:eastAsia="zh-CN"/>
              </w:rPr>
              <w:t>运营商</w:t>
            </w:r>
            <w:r>
              <w:rPr>
                <w:rFonts w:hint="eastAsia" w:ascii="仿宋_GB2312" w:hAnsi="仿宋_GB2312" w:eastAsia="仿宋_GB2312" w:cs="仿宋_GB2312"/>
                <w:color w:val="auto"/>
                <w:sz w:val="24"/>
                <w:szCs w:val="24"/>
                <w:highlight w:val="none"/>
              </w:rPr>
              <w:t>提供的光纤接口标准符合IEEE 802.3z Ethernet标准，</w:t>
            </w:r>
          </w:p>
          <w:p w14:paraId="1A6DC85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（四）接口实测速率≥接口理论速率×90%，上行速率≥下行速率×99%。</w:t>
            </w:r>
          </w:p>
          <w:p w14:paraId="11E672A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（五）提供出口链路需支持光/电100M；1000M、500M光口GE等灵活接口类型，带宽可平滑升速，最高可支持扩展至万兆口，</w:t>
            </w:r>
          </w:p>
          <w:p w14:paraId="7D115CA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w:t>
            </w:r>
            <w:r>
              <w:rPr>
                <w:rFonts w:hint="eastAsia" w:ascii="仿宋_GB2312" w:hAnsi="仿宋_GB2312" w:eastAsia="仿宋_GB2312" w:cs="仿宋_GB2312"/>
                <w:color w:val="auto"/>
                <w:sz w:val="24"/>
                <w:szCs w:val="24"/>
                <w:highlight w:val="none"/>
                <w:lang w:eastAsia="zh-CN"/>
              </w:rPr>
              <w:t>运营商</w:t>
            </w:r>
            <w:r>
              <w:rPr>
                <w:rFonts w:hint="eastAsia" w:ascii="仿宋_GB2312" w:hAnsi="仿宋_GB2312" w:eastAsia="仿宋_GB2312" w:cs="仿宋_GB2312"/>
                <w:color w:val="auto"/>
                <w:sz w:val="24"/>
                <w:szCs w:val="24"/>
                <w:highlight w:val="none"/>
              </w:rPr>
              <w:t>为客户光纤专线提供2组公网IPv4地址（每组4个），IP地址是全开放、无任何限制，以确保部署的门户网站及其它信息系统能被互联网用户顺利访问。</w:t>
            </w:r>
          </w:p>
          <w:p w14:paraId="180030B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（七）为保障客户网络信息安全，提升网络防护能力。我方具备网络安全防护的服务能力，为客户提供信息安全增值服务。包括：DDOS攻击防护、网站安全监测防护、域名防护等。</w:t>
            </w:r>
          </w:p>
          <w:p w14:paraId="401656F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（八）售后响应时间不得超过0.5个小时，需要现场服务时，2小时内到达现场；4小时内解决故障。</w:t>
            </w:r>
          </w:p>
          <w:p w14:paraId="694C601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二、技术要求：</w:t>
            </w:r>
          </w:p>
          <w:p w14:paraId="1FE30D5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（一）本项目为独享带宽的Internet 接入，要求直接接到数据网的城域骨干接入节点上，平均丢包率不高于0.5‰，并提供本Internet 接入的组网拓扑图。要求用拓扑图的形式画出链路接入网络结构图，指出本次租用电路的接入点。要求该电路独占上下行速率恒定。</w:t>
            </w:r>
          </w:p>
          <w:p w14:paraId="20257F4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（二）提供并说明接入的骨干数据节点路由设备的包交换能力、设备型号。</w:t>
            </w:r>
          </w:p>
          <w:p w14:paraId="2D3A63C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（三）所提供的光缆为单模光缆1.31μM的损耗不超过0.4db/KM，多模光缆 1.55μM的损耗不超过0.3db/KM。所提供的出口链路衰减不超过16db。</w:t>
            </w:r>
          </w:p>
          <w:p w14:paraId="50FE385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（四）所有专线设备要求支持IPV4/IPV6双栈。</w:t>
            </w:r>
          </w:p>
          <w:p w14:paraId="38B5E98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（五）运营商可根据需要对来自互联网的IPV4、IPV6 DDOS攻击进行过滤。</w:t>
            </w:r>
          </w:p>
          <w:p w14:paraId="46857C0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（六）IP地址需求：公网IP地址必须是全开放，无限制，确保部署在甲方有关互联网应用能被互联网用户顺利访问。</w:t>
            </w:r>
          </w:p>
          <w:p w14:paraId="6D3FB5D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（七）投标人或其总公司 （母公司） 具备网络安全防护能力，提供互联网 DDOS 攻击流量清洗服务，清洗能力≥16Tbps。</w:t>
            </w:r>
          </w:p>
          <w:p w14:paraId="15EEEB1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（八）运营商支持对攻击状态进行实时监控，一旦发生攻击，即刻发出攻击告警通知，攻击结束后发出结束通知。告警通知包含攻击目标，攻击类型及攻击大小信息；</w:t>
            </w:r>
          </w:p>
          <w:p w14:paraId="0BDE2675">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（九）所提供的电路必须符合国家有关的电信业务规定，租用期内，需免费提供线路两端的光电收发设备。</w:t>
            </w:r>
          </w:p>
          <w:p w14:paraId="56B853F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（十）运营商具备，可对单个目标IP进行全网牵引，并支持基于需防护目的IP地址的可实现国际流量、国内运营商分方向的流量压制功能，无需修改 DNS 配置和 IP 地址，仅需提供防护目标对象即可进行防护。</w:t>
            </w:r>
          </w:p>
          <w:p w14:paraId="26C9043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（十一）线路可用率承诺不低于99.5％</w:t>
            </w:r>
          </w:p>
          <w:p w14:paraId="703E963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（十二）提供7*24小时不间断通信保障，配置专属客户工程师，负责日常售后服务工作的一点接应和线路故障处理。故障出现时响应时间≤30min，赶到现场时间≤2h，故障接通网络时间≤4h。</w:t>
            </w:r>
          </w:p>
          <w:p w14:paraId="37DD8C3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四、服务要求：</w:t>
            </w:r>
          </w:p>
          <w:p w14:paraId="173A49B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线路可用率承诺不低于99.5％。</w:t>
            </w:r>
          </w:p>
          <w:p w14:paraId="52BDB64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提供7*24小时不间断通信保障，配置专属客户工程师，负责日常售后服务工作的一点接应和线路故障处理。故障出现时响应时间≤30min，赶到现场时间≤2h，故障接通网络时间≤4h。</w:t>
            </w:r>
          </w:p>
          <w:p w14:paraId="0268F1E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五、商务要求：</w:t>
            </w:r>
          </w:p>
          <w:p w14:paraId="686D538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（一）服务期限 自验收合格后1年</w:t>
            </w:r>
          </w:p>
          <w:p w14:paraId="6FA1138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（二）款项结算：</w:t>
            </w:r>
          </w:p>
          <w:p w14:paraId="5BCAC76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354BC43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六、其他</w:t>
            </w:r>
          </w:p>
          <w:p w14:paraId="48D628E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（一）进度要求：</w:t>
            </w:r>
            <w:r>
              <w:rPr>
                <w:rFonts w:hint="eastAsia" w:ascii="仿宋_GB2312" w:hAnsi="仿宋_GB2312" w:eastAsia="仿宋_GB2312" w:cs="仿宋_GB2312"/>
                <w:color w:val="auto"/>
                <w:sz w:val="24"/>
                <w:szCs w:val="24"/>
                <w:highlight w:val="none"/>
                <w:lang w:val="en-US" w:eastAsia="zh-CN"/>
              </w:rPr>
              <w:t>合同签订后15个工作日</w:t>
            </w:r>
            <w:r>
              <w:rPr>
                <w:rFonts w:hint="eastAsia" w:ascii="仿宋_GB2312" w:hAnsi="仿宋_GB2312" w:eastAsia="仿宋_GB2312" w:cs="仿宋_GB2312"/>
                <w:color w:val="auto"/>
                <w:sz w:val="24"/>
                <w:szCs w:val="24"/>
                <w:highlight w:val="none"/>
              </w:rPr>
              <w:t>完成西门院区内外网500M互联互通工作。</w:t>
            </w:r>
          </w:p>
          <w:p w14:paraId="37A4F85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（二）成果交付要求：明确服务商应提交的最终成果内容、规格和数量等。</w:t>
            </w:r>
          </w:p>
          <w:p w14:paraId="1644076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（三）验收标准或规范：现行的国家标准或国家行政部门颁布的法律法规、规章制度等，没有国家标准的可参考行业标准：</w:t>
            </w:r>
          </w:p>
          <w:p w14:paraId="5F4F3C5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1．供应商资质要求：三证合一的营业执照、基础电信业务许可证。</w:t>
            </w:r>
          </w:p>
          <w:p w14:paraId="6F8FEB0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2．质量验收标准或规范：参考行业标准。</w:t>
            </w:r>
          </w:p>
          <w:p w14:paraId="20BB8CB8">
            <w:pPr>
              <w:pStyle w:val="4"/>
              <w:rPr>
                <w:color w:val="auto"/>
                <w:sz w:val="24"/>
                <w:szCs w:val="24"/>
                <w:highlight w:val="none"/>
              </w:rPr>
            </w:pPr>
            <w:r>
              <w:rPr>
                <w:rFonts w:hint="eastAsia" w:ascii="仿宋_GB2312" w:hAnsi="仿宋_GB2312" w:eastAsia="仿宋_GB2312" w:cs="仿宋_GB2312"/>
                <w:color w:val="auto"/>
                <w:sz w:val="24"/>
                <w:szCs w:val="24"/>
                <w:highlight w:val="none"/>
              </w:rPr>
              <w:t>3．产品质保期：1年。</w:t>
            </w:r>
          </w:p>
        </w:tc>
      </w:tr>
    </w:tbl>
    <w:p w14:paraId="644738E8">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36DD60A2">
      <w:pPr>
        <w:pStyle w:val="4"/>
        <w:rPr>
          <w:rFonts w:hint="eastAsia" w:eastAsia="仿宋_GB2312"/>
          <w:color w:val="auto"/>
          <w:sz w:val="24"/>
          <w:szCs w:val="24"/>
          <w:highlight w:val="none"/>
          <w:lang w:val="en-US" w:eastAsia="zh-CN"/>
        </w:rPr>
      </w:pPr>
      <w:r>
        <w:rPr>
          <w:rFonts w:ascii="仿宋_GB2312" w:hAnsi="仿宋_GB2312" w:eastAsia="仿宋_GB2312" w:cs="仿宋_GB2312"/>
          <w:color w:val="auto"/>
          <w:sz w:val="24"/>
          <w:szCs w:val="24"/>
          <w:highlight w:val="none"/>
        </w:rPr>
        <w:t>标的名称：</w:t>
      </w:r>
      <w:r>
        <w:rPr>
          <w:rFonts w:hint="eastAsia" w:ascii="仿宋_GB2312" w:hAnsi="仿宋_GB2312" w:eastAsia="仿宋_GB2312" w:cs="仿宋_GB2312"/>
          <w:color w:val="auto"/>
          <w:sz w:val="24"/>
          <w:szCs w:val="24"/>
          <w:highlight w:val="none"/>
          <w:lang w:eastAsia="zh-CN"/>
        </w:rPr>
        <w:t>西安市儿童医院数字链路服务项目</w:t>
      </w:r>
      <w:r>
        <w:rPr>
          <w:rFonts w:ascii="仿宋_GB2312" w:hAnsi="仿宋_GB2312" w:eastAsia="仿宋_GB2312" w:cs="仿宋_GB2312"/>
          <w:color w:val="auto"/>
          <w:sz w:val="24"/>
          <w:szCs w:val="24"/>
          <w:highlight w:val="none"/>
        </w:rPr>
        <w:t>包</w:t>
      </w:r>
      <w:r>
        <w:rPr>
          <w:rFonts w:hint="eastAsia" w:ascii="仿宋_GB2312" w:hAnsi="仿宋_GB2312" w:eastAsia="仿宋_GB2312" w:cs="仿宋_GB2312"/>
          <w:color w:val="auto"/>
          <w:sz w:val="24"/>
          <w:szCs w:val="24"/>
          <w:highlight w:val="none"/>
          <w:lang w:val="en-US" w:eastAsia="zh-CN"/>
        </w:rPr>
        <w:t>四</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8"/>
        <w:gridCol w:w="1283"/>
        <w:gridCol w:w="6096"/>
      </w:tblGrid>
      <w:tr w14:paraId="083BF8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8" w:type="dxa"/>
          </w:tcPr>
          <w:p w14:paraId="580A3622">
            <w:pPr>
              <w:pStyle w:val="4"/>
              <w:rPr>
                <w:color w:val="auto"/>
                <w:sz w:val="24"/>
                <w:szCs w:val="24"/>
                <w:highlight w:val="none"/>
              </w:rPr>
            </w:pPr>
            <w:r>
              <w:rPr>
                <w:rFonts w:ascii="仿宋_GB2312" w:hAnsi="仿宋_GB2312" w:eastAsia="仿宋_GB2312" w:cs="仿宋_GB2312"/>
                <w:color w:val="auto"/>
                <w:sz w:val="24"/>
                <w:szCs w:val="24"/>
                <w:highlight w:val="none"/>
              </w:rPr>
              <w:t xml:space="preserve"> 序号</w:t>
            </w:r>
          </w:p>
        </w:tc>
        <w:tc>
          <w:tcPr>
            <w:tcW w:w="1283" w:type="dxa"/>
          </w:tcPr>
          <w:p w14:paraId="7C0A6C10">
            <w:pPr>
              <w:pStyle w:val="4"/>
              <w:rPr>
                <w:color w:val="auto"/>
                <w:sz w:val="24"/>
                <w:szCs w:val="24"/>
                <w:highlight w:val="none"/>
              </w:rPr>
            </w:pPr>
            <w:r>
              <w:rPr>
                <w:rFonts w:ascii="仿宋_GB2312" w:hAnsi="仿宋_GB2312" w:eastAsia="仿宋_GB2312" w:cs="仿宋_GB2312"/>
                <w:color w:val="auto"/>
                <w:sz w:val="24"/>
                <w:szCs w:val="24"/>
                <w:highlight w:val="none"/>
              </w:rPr>
              <w:t xml:space="preserve"> 参数性质</w:t>
            </w:r>
          </w:p>
        </w:tc>
        <w:tc>
          <w:tcPr>
            <w:tcW w:w="6096" w:type="dxa"/>
          </w:tcPr>
          <w:p w14:paraId="32ED1E53">
            <w:pPr>
              <w:pStyle w:val="4"/>
              <w:rPr>
                <w:color w:val="auto"/>
                <w:sz w:val="24"/>
                <w:szCs w:val="24"/>
                <w:highlight w:val="none"/>
              </w:rPr>
            </w:pPr>
            <w:r>
              <w:rPr>
                <w:rFonts w:ascii="仿宋_GB2312" w:hAnsi="仿宋_GB2312" w:eastAsia="仿宋_GB2312" w:cs="仿宋_GB2312"/>
                <w:color w:val="auto"/>
                <w:sz w:val="24"/>
                <w:szCs w:val="24"/>
                <w:highlight w:val="none"/>
              </w:rPr>
              <w:t xml:space="preserve"> 技术参数与性能指标</w:t>
            </w:r>
          </w:p>
        </w:tc>
      </w:tr>
      <w:tr w14:paraId="7C81DB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28" w:type="dxa"/>
          </w:tcPr>
          <w:p w14:paraId="1F394A75">
            <w:pPr>
              <w:pStyle w:val="4"/>
              <w:rPr>
                <w:color w:val="auto"/>
                <w:sz w:val="24"/>
                <w:szCs w:val="24"/>
                <w:highlight w:val="none"/>
              </w:rPr>
            </w:pPr>
            <w:r>
              <w:rPr>
                <w:rFonts w:ascii="仿宋_GB2312" w:hAnsi="仿宋_GB2312" w:eastAsia="仿宋_GB2312" w:cs="仿宋_GB2312"/>
                <w:color w:val="auto"/>
                <w:sz w:val="24"/>
                <w:szCs w:val="24"/>
                <w:highlight w:val="none"/>
              </w:rPr>
              <w:t>1</w:t>
            </w:r>
          </w:p>
        </w:tc>
        <w:tc>
          <w:tcPr>
            <w:tcW w:w="1283" w:type="dxa"/>
          </w:tcPr>
          <w:p w14:paraId="5364A9E4">
            <w:pPr>
              <w:pStyle w:val="4"/>
              <w:rPr>
                <w:color w:val="auto"/>
                <w:sz w:val="24"/>
                <w:szCs w:val="24"/>
                <w:highlight w:val="none"/>
              </w:rPr>
            </w:pPr>
          </w:p>
        </w:tc>
        <w:tc>
          <w:tcPr>
            <w:tcW w:w="6096" w:type="dxa"/>
          </w:tcPr>
          <w:p w14:paraId="01D9F0A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包</w:t>
            </w:r>
            <w:r>
              <w:rPr>
                <w:rFonts w:hint="eastAsia" w:ascii="仿宋_GB2312" w:hAnsi="仿宋_GB2312" w:eastAsia="仿宋_GB2312" w:cs="仿宋_GB2312"/>
                <w:color w:val="auto"/>
                <w:sz w:val="24"/>
                <w:szCs w:val="24"/>
                <w:highlight w:val="none"/>
              </w:rPr>
              <w:t>四：分支机构内网10M专线，预算为：10万元，最高限价9.6万元</w:t>
            </w:r>
          </w:p>
          <w:p w14:paraId="5153467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一、项目概况：</w:t>
            </w:r>
          </w:p>
          <w:p w14:paraId="3178A83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确保我院各个分支机构的业务互联互通、高效互动，并彻底改善我院日常办公、问诊、挂号环境，全面提升我院网络的综合性能。</w:t>
            </w:r>
          </w:p>
          <w:p w14:paraId="1C0993B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二、服务内容：</w:t>
            </w:r>
          </w:p>
          <w:p w14:paraId="1C7A442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供应商提供端到端的解决方案，即负责医院6个分支机构到西门院区网络中心机房的互联OTN线路。所提供的数字链路承载方式支持MS-OTN或PeOTN。提供重点保障服务，定制链路运行报告、链路健康性评估数字链路需要直接进入骨干机房，需要自助网管。</w:t>
            </w:r>
          </w:p>
          <w:p w14:paraId="7869F4A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（二）端到端PING测试丢包率小于1‰，且RTT(Round Trip Time）小于3ms，边缘区域RTT应小于15ms，ping包要求大于1000字节。</w:t>
            </w:r>
          </w:p>
          <w:p w14:paraId="11D94CA5">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（三）供应商提供的链路中断故障响应时间≤0.5小时，故障原因反馈时间≤2小时，提供双路由保护。</w:t>
            </w:r>
          </w:p>
          <w:p w14:paraId="7810469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（四）端到端的链路误码率≤1×10-7，端到端的链路传输时延小于≤（10+0.01G）毫秒，G为传输距离，单位KM，链路年可用率≧99.9%。</w:t>
            </w:r>
          </w:p>
          <w:p w14:paraId="77B0E07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（五）光缆距离及光缆衰减数值：主院区至经开院区物理光衰1550波长下必须达到15db以内衰减 时延：平均时延≤3ms，丢包率：平均丢包率≤1‰。</w:t>
            </w:r>
          </w:p>
          <w:p w14:paraId="0474365C">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（六）拥有完善的售后运维服务体系，提供7*24小时售后技术支撑，响应时间≤30min，到达现场时间≤2h，故障修复时间≤4h（不可抗力除外）。</w:t>
            </w:r>
          </w:p>
          <w:p w14:paraId="796A473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（七）实现双路由保护（环路保护），即物理线路建设不同路由各施工一条线路，形成环路保护，一条路由故障另一条路由启动，保障线路通畅。</w:t>
            </w:r>
          </w:p>
          <w:p w14:paraId="25BEF66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（八）提供出口链路需支持光/电1000M；1000M光口GE等灵活接口类型，带宽可平滑升速，最高可支持扩展至万兆口。</w:t>
            </w:r>
          </w:p>
          <w:p w14:paraId="130B351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（九）网络带宽独立性必须采用独享带宽接入（承诺M数可达），网速不受宽带使用高峰期的影响，网速稳定优质。</w:t>
            </w:r>
          </w:p>
          <w:p w14:paraId="5D5E147E">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三、技术要求：</w:t>
            </w:r>
          </w:p>
          <w:p w14:paraId="2C08EEB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（一）端到端PING测试丢包率小于1‰，且RTT(Round Trip Time）小于3ms，边缘区域RTT应小于15ms，ping包要求大于1000字节。</w:t>
            </w:r>
          </w:p>
          <w:p w14:paraId="0F016FE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（二）供应商提供的链路中断故障响应时间≤0.5小时，故障原因反馈时间≤2小时，提供双路由保护。</w:t>
            </w:r>
          </w:p>
          <w:p w14:paraId="149D6F5B">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（三）端到端的链路误码率≤1×10-7，端到端的链路传输时延小于≤（10+0.01G）毫秒，G为传输距离，单位KM，链路年可用率≧99.9%。</w:t>
            </w:r>
          </w:p>
          <w:p w14:paraId="4708A448">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（四）光缆距离及光缆衰减数值：主院区至经开院区物理光衰1550波长下必须达到15db以内衰减 时延：平均时延≤3ms，丢包率：平均丢包率≤1‰。</w:t>
            </w:r>
          </w:p>
          <w:p w14:paraId="53A7585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四、服务要求：</w:t>
            </w:r>
          </w:p>
          <w:p w14:paraId="6AF1BA4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拥有完善的售后运维服务体系，提供7*24小时售后技术支撑，响应时间≤30min，到达现场时间≤2h，故障修复时间≤4h（不可抗力除外）。</w:t>
            </w:r>
          </w:p>
          <w:p w14:paraId="66E1E6C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实现双路由保护（环路保护），即物理线路建设不同路由各施工一条线路，形成环路保护，一条路由故障另一条路由启动，保障线路通畅。</w:t>
            </w:r>
          </w:p>
          <w:p w14:paraId="3E7ECBE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提供出口链路需支持光/电1000M；1000M光口GE等灵活接口类型，带宽可平滑升速，最高可支持扩展至万兆口。</w:t>
            </w:r>
          </w:p>
          <w:p w14:paraId="1892E3B7">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网络带宽独立性必须采用独享带宽接入（承诺M数可达），网速不受宽带使用高峰期的影响，网速稳定优质。</w:t>
            </w:r>
          </w:p>
          <w:p w14:paraId="6A77FBB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五、商务要求：</w:t>
            </w:r>
          </w:p>
          <w:p w14:paraId="778BD8B1">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（一）服务期限：</w:t>
            </w:r>
          </w:p>
          <w:p w14:paraId="510AD3AD">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 xml:space="preserve"> 自验收合格后1年</w:t>
            </w:r>
          </w:p>
          <w:p w14:paraId="34216BD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（二）款项结算：</w:t>
            </w:r>
          </w:p>
          <w:p w14:paraId="3DBF75BF">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02638F7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六、其他</w:t>
            </w:r>
          </w:p>
          <w:p w14:paraId="1E119969">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（一）进度要求：</w:t>
            </w:r>
            <w:r>
              <w:rPr>
                <w:rFonts w:hint="eastAsia" w:ascii="仿宋_GB2312" w:hAnsi="仿宋_GB2312" w:eastAsia="仿宋_GB2312" w:cs="仿宋_GB2312"/>
                <w:color w:val="auto"/>
                <w:sz w:val="24"/>
                <w:szCs w:val="24"/>
                <w:highlight w:val="none"/>
                <w:lang w:val="en-US" w:eastAsia="zh-CN"/>
              </w:rPr>
              <w:t>合同签订后15个工作日</w:t>
            </w:r>
            <w:r>
              <w:rPr>
                <w:rFonts w:hint="eastAsia" w:ascii="仿宋_GB2312" w:hAnsi="仿宋_GB2312" w:eastAsia="仿宋_GB2312" w:cs="仿宋_GB2312"/>
                <w:color w:val="auto"/>
                <w:sz w:val="24"/>
                <w:szCs w:val="24"/>
                <w:highlight w:val="none"/>
              </w:rPr>
              <w:t>完成各分支机构到总院10M内网互联互通。</w:t>
            </w:r>
          </w:p>
          <w:p w14:paraId="51ECA966">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（二）成果交付要求：明确服务商应提交的最终成果内容、规格和数量等。</w:t>
            </w:r>
          </w:p>
          <w:p w14:paraId="23A3DBE2">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（三）验收标准或规范：现行的国家标准或国家行政部门颁布的法律法规、规章制度等，没有国家标准的可参考行业标准：</w:t>
            </w:r>
          </w:p>
          <w:p w14:paraId="5AEDBE7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1．供应商资质要求：三证合一的营业执照、基础电信业务许可证。</w:t>
            </w:r>
          </w:p>
          <w:p w14:paraId="33EE6D85">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2．质量验收标准或规范：参考行业标准。</w:t>
            </w:r>
          </w:p>
          <w:p w14:paraId="3269809D">
            <w:pPr>
              <w:pStyle w:val="4"/>
              <w:rPr>
                <w:color w:val="auto"/>
                <w:sz w:val="24"/>
                <w:szCs w:val="24"/>
                <w:highlight w:val="none"/>
              </w:rPr>
            </w:pPr>
            <w:r>
              <w:rPr>
                <w:rFonts w:hint="eastAsia" w:ascii="仿宋_GB2312" w:hAnsi="仿宋_GB2312" w:eastAsia="仿宋_GB2312" w:cs="仿宋_GB2312"/>
                <w:color w:val="auto"/>
                <w:sz w:val="24"/>
                <w:szCs w:val="24"/>
                <w:highlight w:val="none"/>
              </w:rPr>
              <w:t>3．产品质保期：1年。</w:t>
            </w:r>
          </w:p>
        </w:tc>
      </w:tr>
    </w:tbl>
    <w:p w14:paraId="00FFFA27">
      <w:pPr>
        <w:pStyle w:val="4"/>
        <w:outlineLvl w:val="2"/>
        <w:rPr>
          <w:rFonts w:ascii="仿宋_GB2312" w:hAnsi="仿宋_GB2312" w:eastAsia="仿宋_GB2312" w:cs="仿宋_GB2312"/>
          <w:b/>
          <w:color w:val="auto"/>
          <w:sz w:val="24"/>
          <w:szCs w:val="24"/>
          <w:highlight w:val="none"/>
        </w:rPr>
      </w:pPr>
    </w:p>
    <w:p w14:paraId="6653A198">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3.2.3人员配置要求</w:t>
      </w:r>
    </w:p>
    <w:p w14:paraId="7C030F5C">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3B204EDC">
      <w:pPr>
        <w:pStyle w:val="4"/>
        <w:rPr>
          <w:color w:val="auto"/>
          <w:sz w:val="24"/>
          <w:szCs w:val="24"/>
          <w:highlight w:val="none"/>
        </w:rPr>
      </w:pPr>
      <w:r>
        <w:rPr>
          <w:rFonts w:ascii="仿宋_GB2312" w:hAnsi="仿宋_GB2312" w:eastAsia="仿宋_GB2312" w:cs="仿宋_GB2312"/>
          <w:color w:val="auto"/>
          <w:sz w:val="24"/>
          <w:szCs w:val="24"/>
          <w:highlight w:val="none"/>
        </w:rPr>
        <w:t>达到服务要求所必须的人员，详见服务要求。</w:t>
      </w:r>
    </w:p>
    <w:p w14:paraId="79DAAF45">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0710DA00">
      <w:pPr>
        <w:pStyle w:val="4"/>
        <w:rPr>
          <w:color w:val="auto"/>
          <w:sz w:val="24"/>
          <w:szCs w:val="24"/>
          <w:highlight w:val="none"/>
        </w:rPr>
      </w:pPr>
      <w:r>
        <w:rPr>
          <w:rFonts w:ascii="仿宋_GB2312" w:hAnsi="仿宋_GB2312" w:eastAsia="仿宋_GB2312" w:cs="仿宋_GB2312"/>
          <w:color w:val="auto"/>
          <w:sz w:val="24"/>
          <w:szCs w:val="24"/>
          <w:highlight w:val="none"/>
        </w:rPr>
        <w:t>达到服务要求所必须的人员，详见服务要求。</w:t>
      </w:r>
    </w:p>
    <w:p w14:paraId="62FEECE3">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2C882AB0">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达到服务要求所必须的人员，详见服务要求。</w:t>
      </w:r>
    </w:p>
    <w:p w14:paraId="33E61E60">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477E76B1">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达到服务要求所必须的人员，详见服务要求。</w:t>
      </w:r>
    </w:p>
    <w:p w14:paraId="05C743A8">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3.2.4设施设备要求</w:t>
      </w:r>
    </w:p>
    <w:p w14:paraId="76BACD4B">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30B4F614">
      <w:pPr>
        <w:pStyle w:val="4"/>
        <w:rPr>
          <w:color w:val="auto"/>
          <w:sz w:val="24"/>
          <w:szCs w:val="24"/>
          <w:highlight w:val="none"/>
        </w:rPr>
      </w:pPr>
      <w:r>
        <w:rPr>
          <w:rFonts w:ascii="仿宋_GB2312" w:hAnsi="仿宋_GB2312" w:eastAsia="仿宋_GB2312" w:cs="仿宋_GB2312"/>
          <w:color w:val="auto"/>
          <w:sz w:val="24"/>
          <w:szCs w:val="24"/>
          <w:highlight w:val="none"/>
        </w:rPr>
        <w:t>满足采购文件要求。</w:t>
      </w:r>
    </w:p>
    <w:p w14:paraId="3D7EE0B1">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57126E32">
      <w:pPr>
        <w:pStyle w:val="4"/>
        <w:rPr>
          <w:color w:val="auto"/>
          <w:sz w:val="24"/>
          <w:szCs w:val="24"/>
          <w:highlight w:val="none"/>
        </w:rPr>
      </w:pPr>
      <w:r>
        <w:rPr>
          <w:rFonts w:ascii="仿宋_GB2312" w:hAnsi="仿宋_GB2312" w:eastAsia="仿宋_GB2312" w:cs="仿宋_GB2312"/>
          <w:color w:val="auto"/>
          <w:sz w:val="24"/>
          <w:szCs w:val="24"/>
          <w:highlight w:val="none"/>
        </w:rPr>
        <w:t>满足采购文件要求。</w:t>
      </w:r>
    </w:p>
    <w:p w14:paraId="1A50B611">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7B1DD052">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满足采购文件要求。</w:t>
      </w:r>
    </w:p>
    <w:p w14:paraId="6B98B3D7">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74828BF6">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满足采购文件要求。</w:t>
      </w:r>
    </w:p>
    <w:p w14:paraId="79300A49">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3.2.5其他要求</w:t>
      </w:r>
    </w:p>
    <w:p w14:paraId="3C48F28E">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743CC8E5">
      <w:pPr>
        <w:pStyle w:val="4"/>
        <w:rPr>
          <w:color w:val="auto"/>
          <w:sz w:val="24"/>
          <w:szCs w:val="24"/>
          <w:highlight w:val="none"/>
        </w:rPr>
      </w:pPr>
      <w:r>
        <w:rPr>
          <w:rFonts w:hint="eastAsia" w:ascii="仿宋_GB2312" w:hAnsi="仿宋_GB2312" w:eastAsia="仿宋_GB2312" w:cs="仿宋_GB2312"/>
          <w:color w:val="auto"/>
          <w:sz w:val="24"/>
          <w:szCs w:val="24"/>
          <w:highlight w:val="none"/>
        </w:rPr>
        <w:t>本项目允许兼投兼中，即</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如在所投各标包中均排名第一，可同时中标。</w:t>
      </w:r>
    </w:p>
    <w:p w14:paraId="18E80961">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34A31041">
      <w:pPr>
        <w:pStyle w:val="4"/>
        <w:rPr>
          <w:color w:val="auto"/>
          <w:sz w:val="24"/>
          <w:szCs w:val="24"/>
          <w:highlight w:val="none"/>
        </w:rPr>
      </w:pPr>
      <w:r>
        <w:rPr>
          <w:rFonts w:hint="eastAsia" w:ascii="仿宋_GB2312" w:hAnsi="仿宋_GB2312" w:eastAsia="仿宋_GB2312" w:cs="仿宋_GB2312"/>
          <w:color w:val="auto"/>
          <w:sz w:val="24"/>
          <w:szCs w:val="24"/>
          <w:highlight w:val="none"/>
        </w:rPr>
        <w:t>本项目允许兼投兼中，即</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如在所投各标包中均排名第一，可同时中标</w:t>
      </w:r>
      <w:r>
        <w:rPr>
          <w:rFonts w:ascii="仿宋_GB2312" w:hAnsi="仿宋_GB2312" w:eastAsia="仿宋_GB2312" w:cs="仿宋_GB2312"/>
          <w:color w:val="auto"/>
          <w:sz w:val="24"/>
          <w:szCs w:val="24"/>
          <w:highlight w:val="none"/>
        </w:rPr>
        <w:t>。</w:t>
      </w:r>
    </w:p>
    <w:p w14:paraId="4BDB6F54">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3B0B58B4">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本项目允许兼投兼中，即</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如在所投各标包中均排名第一，可同时中标</w:t>
      </w:r>
      <w:r>
        <w:rPr>
          <w:rFonts w:ascii="仿宋_GB2312" w:hAnsi="仿宋_GB2312" w:eastAsia="仿宋_GB2312" w:cs="仿宋_GB2312"/>
          <w:color w:val="auto"/>
          <w:sz w:val="24"/>
          <w:szCs w:val="24"/>
          <w:highlight w:val="none"/>
        </w:rPr>
        <w:t>。</w:t>
      </w:r>
    </w:p>
    <w:p w14:paraId="120D4704">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24F8642D">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本项目允许兼投兼中，即</w:t>
      </w:r>
      <w:r>
        <w:rPr>
          <w:rFonts w:hint="eastAsia" w:ascii="仿宋_GB2312" w:hAnsi="仿宋_GB2312" w:eastAsia="仿宋_GB2312" w:cs="仿宋_GB2312"/>
          <w:color w:val="auto"/>
          <w:sz w:val="24"/>
          <w:szCs w:val="24"/>
          <w:highlight w:val="none"/>
          <w:lang w:val="en-US" w:eastAsia="zh-CN"/>
        </w:rPr>
        <w:t>供应商</w:t>
      </w:r>
      <w:r>
        <w:rPr>
          <w:rFonts w:hint="eastAsia" w:ascii="仿宋_GB2312" w:hAnsi="仿宋_GB2312" w:eastAsia="仿宋_GB2312" w:cs="仿宋_GB2312"/>
          <w:color w:val="auto"/>
          <w:sz w:val="24"/>
          <w:szCs w:val="24"/>
          <w:highlight w:val="none"/>
        </w:rPr>
        <w:t>如在所投各标包中均排名第一，可同时中标</w:t>
      </w:r>
      <w:r>
        <w:rPr>
          <w:rFonts w:ascii="仿宋_GB2312" w:hAnsi="仿宋_GB2312" w:eastAsia="仿宋_GB2312" w:cs="仿宋_GB2312"/>
          <w:color w:val="auto"/>
          <w:sz w:val="24"/>
          <w:szCs w:val="24"/>
          <w:highlight w:val="none"/>
        </w:rPr>
        <w:t>。</w:t>
      </w:r>
    </w:p>
    <w:p w14:paraId="120F285E">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3.3商务要求</w:t>
      </w:r>
    </w:p>
    <w:p w14:paraId="4758E23D">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3.3.1服务期限</w:t>
      </w:r>
    </w:p>
    <w:p w14:paraId="38381B6D">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6758BB80">
      <w:pPr>
        <w:pStyle w:val="4"/>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1年</w:t>
      </w:r>
      <w:r>
        <w:rPr>
          <w:rFonts w:ascii="仿宋_GB2312" w:hAnsi="仿宋_GB2312" w:eastAsia="仿宋_GB2312" w:cs="仿宋_GB2312"/>
          <w:color w:val="auto"/>
          <w:sz w:val="24"/>
          <w:szCs w:val="24"/>
          <w:highlight w:val="none"/>
        </w:rPr>
        <w:t>。</w:t>
      </w:r>
    </w:p>
    <w:p w14:paraId="564720C7">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00C633C0">
      <w:pPr>
        <w:pStyle w:val="4"/>
        <w:rPr>
          <w:color w:val="auto"/>
          <w:sz w:val="24"/>
          <w:szCs w:val="24"/>
          <w:highlight w:val="none"/>
        </w:rPr>
      </w:pPr>
      <w:r>
        <w:rPr>
          <w:rFonts w:hint="eastAsia" w:ascii="仿宋_GB2312" w:hAnsi="仿宋_GB2312" w:eastAsia="仿宋_GB2312" w:cs="仿宋_GB2312"/>
          <w:color w:val="auto"/>
          <w:sz w:val="24"/>
          <w:szCs w:val="24"/>
          <w:highlight w:val="none"/>
          <w:lang w:val="en-US" w:eastAsia="zh-CN"/>
        </w:rPr>
        <w:t>1年</w:t>
      </w:r>
      <w:r>
        <w:rPr>
          <w:rFonts w:ascii="仿宋_GB2312" w:hAnsi="仿宋_GB2312" w:eastAsia="仿宋_GB2312" w:cs="仿宋_GB2312"/>
          <w:color w:val="auto"/>
          <w:sz w:val="24"/>
          <w:szCs w:val="24"/>
          <w:highlight w:val="none"/>
        </w:rPr>
        <w:t>。</w:t>
      </w:r>
    </w:p>
    <w:p w14:paraId="4493870B">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2C17D5D8">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1年</w:t>
      </w:r>
      <w:r>
        <w:rPr>
          <w:rFonts w:ascii="仿宋_GB2312" w:hAnsi="仿宋_GB2312" w:eastAsia="仿宋_GB2312" w:cs="仿宋_GB2312"/>
          <w:color w:val="auto"/>
          <w:sz w:val="24"/>
          <w:szCs w:val="24"/>
          <w:highlight w:val="none"/>
        </w:rPr>
        <w:t>。</w:t>
      </w:r>
    </w:p>
    <w:p w14:paraId="000C2697">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52F7C90E">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1年</w:t>
      </w:r>
      <w:r>
        <w:rPr>
          <w:rFonts w:ascii="仿宋_GB2312" w:hAnsi="仿宋_GB2312" w:eastAsia="仿宋_GB2312" w:cs="仿宋_GB2312"/>
          <w:color w:val="auto"/>
          <w:sz w:val="24"/>
          <w:szCs w:val="24"/>
          <w:highlight w:val="none"/>
        </w:rPr>
        <w:t>。</w:t>
      </w:r>
    </w:p>
    <w:p w14:paraId="4BB68EF3">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3.3.2服务地点</w:t>
      </w:r>
    </w:p>
    <w:p w14:paraId="1A303C10">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5F47FFB9">
      <w:pPr>
        <w:pStyle w:val="4"/>
        <w:rPr>
          <w:color w:val="auto"/>
          <w:sz w:val="24"/>
          <w:szCs w:val="24"/>
          <w:highlight w:val="none"/>
        </w:rPr>
      </w:pPr>
      <w:r>
        <w:rPr>
          <w:rFonts w:ascii="仿宋_GB2312" w:hAnsi="仿宋_GB2312" w:eastAsia="仿宋_GB2312" w:cs="仿宋_GB2312"/>
          <w:color w:val="auto"/>
          <w:sz w:val="24"/>
          <w:szCs w:val="24"/>
          <w:highlight w:val="none"/>
        </w:rPr>
        <w:t>采购人指定地点</w:t>
      </w:r>
    </w:p>
    <w:p w14:paraId="7BDF863B">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385F675B">
      <w:pPr>
        <w:pStyle w:val="4"/>
        <w:rPr>
          <w:color w:val="auto"/>
          <w:sz w:val="24"/>
          <w:szCs w:val="24"/>
          <w:highlight w:val="none"/>
        </w:rPr>
      </w:pPr>
      <w:r>
        <w:rPr>
          <w:rFonts w:ascii="仿宋_GB2312" w:hAnsi="仿宋_GB2312" w:eastAsia="仿宋_GB2312" w:cs="仿宋_GB2312"/>
          <w:color w:val="auto"/>
          <w:sz w:val="24"/>
          <w:szCs w:val="24"/>
          <w:highlight w:val="none"/>
        </w:rPr>
        <w:t>采购人指定地点</w:t>
      </w:r>
    </w:p>
    <w:p w14:paraId="332B107D">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053B414B">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采购人指定地点</w:t>
      </w:r>
    </w:p>
    <w:p w14:paraId="4D49DC2F">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47A0E030">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采购人指定地点</w:t>
      </w:r>
    </w:p>
    <w:p w14:paraId="12BFC86E">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3.3.3考核（验收）标准和方法</w:t>
      </w:r>
    </w:p>
    <w:p w14:paraId="1E545783">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21C2827A">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现行的国家标准或国家行政部门颁布的法律法规、规章制度等，没有国家标准的可参考行业标准。</w:t>
      </w:r>
    </w:p>
    <w:p w14:paraId="0418738E">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采购包2：</w:t>
      </w:r>
    </w:p>
    <w:p w14:paraId="7C751837">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现行的国家标准或国家行政部门颁布的法律法规、规章制度等，没有国家标准的可参考行业标准。</w:t>
      </w:r>
    </w:p>
    <w:p w14:paraId="45B24FEF">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采购包3：</w:t>
      </w:r>
    </w:p>
    <w:p w14:paraId="5DE3EF7C">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现行的国家标准或国家行政部门颁布的法律法规、规章制度等，没有国家标准的可参考行业标准。</w:t>
      </w:r>
    </w:p>
    <w:p w14:paraId="35403030">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5709484D">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现行的国家标准或国家行政部门颁布的法律法规、规章制度等，没有国家标准的可参考行业标准。</w:t>
      </w:r>
    </w:p>
    <w:p w14:paraId="72B13EF3">
      <w:pPr>
        <w:pStyle w:val="4"/>
        <w:rPr>
          <w:rFonts w:ascii="仿宋_GB2312" w:hAnsi="仿宋_GB2312" w:eastAsia="仿宋_GB2312" w:cs="仿宋_GB2312"/>
          <w:color w:val="auto"/>
          <w:sz w:val="24"/>
          <w:szCs w:val="24"/>
          <w:highlight w:val="none"/>
        </w:rPr>
      </w:pPr>
    </w:p>
    <w:p w14:paraId="59721A99">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3.3.4支付方式</w:t>
      </w:r>
    </w:p>
    <w:p w14:paraId="25A1E374">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2DEC0017">
      <w:pPr>
        <w:pStyle w:val="4"/>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lang w:val="en-US" w:eastAsia="zh-CN"/>
        </w:rPr>
        <w:t>分期付款</w:t>
      </w:r>
    </w:p>
    <w:p w14:paraId="2A1DA442">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71307AB6">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分期付款</w:t>
      </w:r>
    </w:p>
    <w:p w14:paraId="014527CF">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235066F0">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分期付款</w:t>
      </w:r>
    </w:p>
    <w:p w14:paraId="011CB83C">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1569C73A">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分期付款</w:t>
      </w:r>
    </w:p>
    <w:p w14:paraId="2D62246F">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3.3.5支付约定</w:t>
      </w:r>
    </w:p>
    <w:p w14:paraId="3B073ED6">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25BAA5EE">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487BAA87">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7BC7431D">
      <w:pPr>
        <w:pStyle w:val="4"/>
        <w:rPr>
          <w:rFonts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33CB65BD">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6DF12823">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合同签订后，</w:t>
      </w:r>
      <w:r>
        <w:rPr>
          <w:rFonts w:hint="eastAsia" w:ascii="仿宋_GB2312" w:hAnsi="仿宋_GB2312" w:eastAsia="仿宋_GB2312" w:cs="仿宋_GB2312"/>
          <w:color w:val="auto"/>
          <w:sz w:val="24"/>
          <w:szCs w:val="24"/>
          <w:highlight w:val="none"/>
          <w:lang w:eastAsia="zh-CN"/>
        </w:rPr>
        <w:t>乙方</w:t>
      </w:r>
      <w:r>
        <w:rPr>
          <w:rFonts w:hint="eastAsia" w:ascii="仿宋_GB2312" w:hAnsi="仿宋_GB2312" w:eastAsia="仿宋_GB2312" w:cs="仿宋_GB2312"/>
          <w:color w:val="auto"/>
          <w:sz w:val="24"/>
          <w:szCs w:val="24"/>
          <w:highlight w:val="none"/>
        </w:rPr>
        <w:t>完成数据链路开通服务，并经甲方开验收合格后30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日内，甲方预付合同总金额的50%；服务期满半年且乙方考核合格后，自达到付款条件起30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日内，甲方预付合同总金额的50%，若乙方考核不合格，服务期限相应顺延，直至乙方考核合格为止，且甲方有权依据本合同条款追究其违约责任。</w:t>
      </w:r>
    </w:p>
    <w:p w14:paraId="7FB3CE2A">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024AF864">
      <w:pPr>
        <w:pStyle w:val="4"/>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合同签订后，乙方完成数据链路开通服务，并经甲方开验收合格后</w:t>
      </w:r>
      <w:r>
        <w:rPr>
          <w:rFonts w:hint="eastAsia" w:ascii="仿宋_GB2312" w:hAnsi="仿宋_GB2312" w:eastAsia="仿宋_GB2312" w:cs="仿宋_GB2312"/>
          <w:color w:val="auto"/>
          <w:sz w:val="24"/>
          <w:szCs w:val="24"/>
          <w:highlight w:val="none"/>
        </w:rPr>
        <w:t>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w:t>
      </w:r>
      <w:r>
        <w:rPr>
          <w:rFonts w:hint="eastAsia" w:ascii="仿宋_GB2312" w:hAnsi="仿宋_GB2312" w:eastAsia="仿宋_GB2312" w:cs="仿宋_GB2312"/>
          <w:color w:val="auto"/>
          <w:sz w:val="24"/>
          <w:szCs w:val="24"/>
          <w:highlight w:val="none"/>
          <w:lang w:val="en-US" w:eastAsia="zh-CN"/>
        </w:rPr>
        <w:t>，甲方预付合同总金额的50%；服务期满半年且乙方考核合格后，自达到付款条件起</w:t>
      </w:r>
      <w:r>
        <w:rPr>
          <w:rFonts w:hint="eastAsia" w:ascii="仿宋_GB2312" w:hAnsi="仿宋_GB2312" w:eastAsia="仿宋_GB2312" w:cs="仿宋_GB2312"/>
          <w:color w:val="auto"/>
          <w:sz w:val="24"/>
          <w:szCs w:val="24"/>
          <w:highlight w:val="none"/>
        </w:rPr>
        <w:t>30</w:t>
      </w:r>
      <w:r>
        <w:rPr>
          <w:rFonts w:hint="eastAsia" w:ascii="仿宋_GB2312" w:hAnsi="仿宋_GB2312" w:eastAsia="仿宋_GB2312" w:cs="仿宋_GB2312"/>
          <w:color w:val="auto"/>
          <w:sz w:val="24"/>
          <w:szCs w:val="24"/>
          <w:highlight w:val="none"/>
          <w:lang w:val="en-US" w:eastAsia="zh-CN"/>
        </w:rPr>
        <w:t>工作</w:t>
      </w:r>
      <w:r>
        <w:rPr>
          <w:rFonts w:hint="eastAsia" w:ascii="仿宋_GB2312" w:hAnsi="仿宋_GB2312" w:eastAsia="仿宋_GB2312" w:cs="仿宋_GB2312"/>
          <w:color w:val="auto"/>
          <w:sz w:val="24"/>
          <w:szCs w:val="24"/>
          <w:highlight w:val="none"/>
        </w:rPr>
        <w:t>日内</w:t>
      </w:r>
      <w:r>
        <w:rPr>
          <w:rFonts w:hint="eastAsia" w:ascii="仿宋_GB2312" w:hAnsi="仿宋_GB2312" w:eastAsia="仿宋_GB2312" w:cs="仿宋_GB2312"/>
          <w:color w:val="auto"/>
          <w:sz w:val="24"/>
          <w:szCs w:val="24"/>
          <w:highlight w:val="none"/>
          <w:lang w:val="en-US" w:eastAsia="zh-CN"/>
        </w:rPr>
        <w:t>，甲方预付合同总金额的50%，若乙方考核不合格，服务期限相应顺延，直至乙方考核合格为止，且甲方有权依据本合同条款追究其违约责任</w:t>
      </w:r>
      <w:r>
        <w:rPr>
          <w:rFonts w:hint="eastAsia" w:ascii="仿宋_GB2312" w:hAnsi="仿宋_GB2312" w:eastAsia="仿宋_GB2312" w:cs="仿宋_GB2312"/>
          <w:color w:val="auto"/>
          <w:sz w:val="24"/>
          <w:szCs w:val="24"/>
          <w:highlight w:val="none"/>
        </w:rPr>
        <w:t>。</w:t>
      </w:r>
    </w:p>
    <w:p w14:paraId="7D2CCAE3">
      <w:pPr>
        <w:pStyle w:val="4"/>
        <w:outlineLvl w:val="3"/>
        <w:rPr>
          <w:color w:val="auto"/>
          <w:sz w:val="24"/>
          <w:szCs w:val="24"/>
          <w:highlight w:val="none"/>
        </w:rPr>
      </w:pPr>
      <w:r>
        <w:rPr>
          <w:rFonts w:ascii="仿宋_GB2312" w:hAnsi="仿宋_GB2312" w:eastAsia="仿宋_GB2312" w:cs="仿宋_GB2312"/>
          <w:b/>
          <w:color w:val="auto"/>
          <w:sz w:val="24"/>
          <w:szCs w:val="24"/>
          <w:highlight w:val="none"/>
        </w:rPr>
        <w:t>3.3.6违约责任及解决争议的方法</w:t>
      </w:r>
    </w:p>
    <w:p w14:paraId="73FC3AAE">
      <w:pPr>
        <w:pStyle w:val="4"/>
        <w:rPr>
          <w:color w:val="auto"/>
          <w:sz w:val="24"/>
          <w:szCs w:val="24"/>
          <w:highlight w:val="none"/>
        </w:rPr>
      </w:pPr>
      <w:r>
        <w:rPr>
          <w:rFonts w:ascii="仿宋_GB2312" w:hAnsi="仿宋_GB2312" w:eastAsia="仿宋_GB2312" w:cs="仿宋_GB2312"/>
          <w:color w:val="auto"/>
          <w:sz w:val="24"/>
          <w:szCs w:val="24"/>
          <w:highlight w:val="none"/>
        </w:rPr>
        <w:t>采购包1：</w:t>
      </w:r>
    </w:p>
    <w:p w14:paraId="5343948E">
      <w:pPr>
        <w:pStyle w:val="4"/>
        <w:rPr>
          <w:color w:val="auto"/>
          <w:sz w:val="24"/>
          <w:szCs w:val="24"/>
          <w:highlight w:val="none"/>
        </w:rPr>
      </w:pPr>
      <w:r>
        <w:rPr>
          <w:rFonts w:ascii="仿宋_GB2312" w:hAnsi="仿宋_GB2312" w:eastAsia="仿宋_GB2312" w:cs="仿宋_GB2312"/>
          <w:color w:val="auto"/>
          <w:sz w:val="24"/>
          <w:szCs w:val="24"/>
          <w:highlight w:val="none"/>
        </w:rPr>
        <w:t xml:space="preserve"> 双方在执行合同中所发生的一切争议，应通过协商解决。如协商不成，可向甲方所在地人民法院起诉。</w:t>
      </w:r>
    </w:p>
    <w:p w14:paraId="3E9FA3C4">
      <w:pPr>
        <w:pStyle w:val="4"/>
        <w:rPr>
          <w:color w:val="auto"/>
          <w:sz w:val="24"/>
          <w:szCs w:val="24"/>
          <w:highlight w:val="none"/>
        </w:rPr>
      </w:pPr>
      <w:r>
        <w:rPr>
          <w:rFonts w:ascii="仿宋_GB2312" w:hAnsi="仿宋_GB2312" w:eastAsia="仿宋_GB2312" w:cs="仿宋_GB2312"/>
          <w:color w:val="auto"/>
          <w:sz w:val="24"/>
          <w:szCs w:val="24"/>
          <w:highlight w:val="none"/>
        </w:rPr>
        <w:t>采购包2：</w:t>
      </w:r>
    </w:p>
    <w:p w14:paraId="45FAFD58">
      <w:pPr>
        <w:pStyle w:val="4"/>
        <w:rPr>
          <w:color w:val="auto"/>
          <w:sz w:val="24"/>
          <w:szCs w:val="24"/>
          <w:highlight w:val="none"/>
        </w:rPr>
      </w:pPr>
      <w:r>
        <w:rPr>
          <w:rFonts w:ascii="仿宋_GB2312" w:hAnsi="仿宋_GB2312" w:eastAsia="仿宋_GB2312" w:cs="仿宋_GB2312"/>
          <w:color w:val="auto"/>
          <w:sz w:val="24"/>
          <w:szCs w:val="24"/>
          <w:highlight w:val="none"/>
        </w:rPr>
        <w:t>双方在执行合同中所发生的一切争议，应通过协商解决。如协商不成，可向甲方所在地人民法院起诉。</w:t>
      </w:r>
    </w:p>
    <w:p w14:paraId="02C252F7">
      <w:pPr>
        <w:pStyle w:val="4"/>
        <w:rPr>
          <w:color w:val="auto"/>
          <w:sz w:val="24"/>
          <w:szCs w:val="24"/>
          <w:highlight w:val="none"/>
        </w:rPr>
      </w:pPr>
      <w:r>
        <w:rPr>
          <w:rFonts w:ascii="仿宋_GB2312" w:hAnsi="仿宋_GB2312" w:eastAsia="仿宋_GB2312" w:cs="仿宋_GB2312"/>
          <w:color w:val="auto"/>
          <w:sz w:val="24"/>
          <w:szCs w:val="24"/>
          <w:highlight w:val="none"/>
        </w:rPr>
        <w:t>采购包3：</w:t>
      </w:r>
    </w:p>
    <w:p w14:paraId="10202D30">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双方在执行合同中所发生的一切争议，应通过协商解决。如协商不成，可向甲方所在地人民法院起诉。</w:t>
      </w:r>
    </w:p>
    <w:p w14:paraId="048B0D0F">
      <w:pPr>
        <w:pStyle w:val="4"/>
        <w:rPr>
          <w:color w:val="auto"/>
          <w:sz w:val="24"/>
          <w:szCs w:val="24"/>
          <w:highlight w:val="none"/>
        </w:rPr>
      </w:pPr>
      <w:r>
        <w:rPr>
          <w:rFonts w:ascii="仿宋_GB2312" w:hAnsi="仿宋_GB2312" w:eastAsia="仿宋_GB2312" w:cs="仿宋_GB2312"/>
          <w:color w:val="auto"/>
          <w:sz w:val="24"/>
          <w:szCs w:val="24"/>
          <w:highlight w:val="none"/>
        </w:rPr>
        <w:t>采购包</w:t>
      </w:r>
      <w:r>
        <w:rPr>
          <w:rFonts w:hint="eastAsia" w:ascii="仿宋_GB2312" w:hAnsi="仿宋_GB2312" w:eastAsia="仿宋_GB2312" w:cs="仿宋_GB2312"/>
          <w:color w:val="auto"/>
          <w:sz w:val="24"/>
          <w:szCs w:val="24"/>
          <w:highlight w:val="none"/>
          <w:lang w:val="en-US" w:eastAsia="zh-CN"/>
        </w:rPr>
        <w:t>4</w:t>
      </w:r>
      <w:r>
        <w:rPr>
          <w:rFonts w:ascii="仿宋_GB2312" w:hAnsi="仿宋_GB2312" w:eastAsia="仿宋_GB2312" w:cs="仿宋_GB2312"/>
          <w:color w:val="auto"/>
          <w:sz w:val="24"/>
          <w:szCs w:val="24"/>
          <w:highlight w:val="none"/>
        </w:rPr>
        <w:t>：</w:t>
      </w:r>
    </w:p>
    <w:p w14:paraId="62C7862B">
      <w:pPr>
        <w:pStyle w:val="4"/>
        <w:rPr>
          <w:rFonts w:ascii="仿宋_GB2312" w:hAnsi="仿宋_GB2312" w:eastAsia="仿宋_GB2312" w:cs="仿宋_GB2312"/>
          <w:color w:val="auto"/>
          <w:sz w:val="24"/>
          <w:szCs w:val="24"/>
          <w:highlight w:val="none"/>
        </w:rPr>
      </w:pPr>
      <w:r>
        <w:rPr>
          <w:rFonts w:ascii="仿宋_GB2312" w:hAnsi="仿宋_GB2312" w:eastAsia="仿宋_GB2312" w:cs="仿宋_GB2312"/>
          <w:color w:val="auto"/>
          <w:sz w:val="24"/>
          <w:szCs w:val="24"/>
          <w:highlight w:val="none"/>
        </w:rPr>
        <w:t>双方在执行合同中所发生的一切争议，应通过协商解决。如协商不成，可向甲方所在地人民法院起诉。</w:t>
      </w:r>
    </w:p>
    <w:p w14:paraId="41D67037">
      <w:pPr>
        <w:pStyle w:val="4"/>
        <w:outlineLvl w:val="2"/>
        <w:rPr>
          <w:color w:val="auto"/>
          <w:sz w:val="24"/>
          <w:szCs w:val="24"/>
          <w:highlight w:val="none"/>
        </w:rPr>
      </w:pPr>
      <w:r>
        <w:rPr>
          <w:rFonts w:ascii="仿宋_GB2312" w:hAnsi="仿宋_GB2312" w:eastAsia="仿宋_GB2312" w:cs="仿宋_GB2312"/>
          <w:b/>
          <w:color w:val="auto"/>
          <w:sz w:val="24"/>
          <w:szCs w:val="24"/>
          <w:highlight w:val="none"/>
        </w:rPr>
        <w:t>3.4其他要求</w:t>
      </w:r>
    </w:p>
    <w:p w14:paraId="02F0C8DD">
      <w:r>
        <w:rPr>
          <w:rFonts w:ascii="仿宋_GB2312" w:hAnsi="仿宋_GB2312" w:eastAsia="仿宋_GB2312" w:cs="仿宋_GB2312"/>
          <w:color w:val="auto"/>
          <w:sz w:val="24"/>
          <w:szCs w:val="24"/>
          <w:highlight w:val="none"/>
        </w:rPr>
        <w:t xml:space="preserve">1.各供应商应根据“陕西省财政厅 陕财办采函[2023]14号文”陕西省财政厅关于省级预算单位全面推行政府采购项目电子化交易的通知”、《政府采购项目电子化交易规则》等文件的要求，做好人员配备、设施设备、系统操作的相应准备，熟悉并正确实施相关操作流程，承担由于操作或其他因素造成的不利后果；2.供应商需要在线提交所有通过电子化交易平台实施的政府采购项目的响应文件，同时，线下提交纸质响应文件正本壹份、副本贰份、电子版壹份（U盘壹份），纸质响文件应与电子化交易平台提交的电子响应文件一致，若电子响应文件与纸质响应文件不一致的，以电子响应文件为准。纸质响应文件正副本须分袋密封，电子版响应文件一份（U盘）密封在响应文件正本封袋中递交；3.线下纸质文件递交截止时间：同在线递交电子响应文件截止时间一致；线下纸质文件递交地点：西安市航天基地雁塔南路391号正衡金融广场A座18楼会议室。4.供应商参与投标时可携带笔记本电脑。 </w:t>
      </w:r>
      <w:r>
        <w:rPr>
          <w:rFonts w:ascii="仿宋_GB2312" w:hAnsi="仿宋_GB2312" w:eastAsia="仿宋_GB2312" w:cs="仿宋_GB2312"/>
          <w:color w:val="auto"/>
          <w:sz w:val="21"/>
          <w:szCs w:val="21"/>
          <w:highlight w:val="none"/>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C24BED"/>
    <w:rsid w:val="3BC24B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Office_12.1.0.29158_F1E327BC-269C-435d-A152-05C5408002CA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2026-10-21T01:31:00Z</dcterms:created>
  <dc:creator>花干干</dc:creator>
  <cp:lastModifiedBy>花干干</cp:lastModifiedBy>
  <dcterms:modified xsi:type="dcterms:W3CDTF">2026-10-21T01:32:10Z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01FD35ED298748729CBEDA6ECE7AB394_11</vt:lpwstr>
  </property>
  <property fmtid="{D5CDD505-2E9C-101B-9397-08002B2CF9AE}" pid="4" name="KSOTemplateDocerSaveRecord">
    <vt:lpwstr>eyJoZGlkIjoiZmI5MzhkNmVhYTU2M2VlZThhYTNkMDIxZjc4MTlkMGQiLCJ1c2VySWQiOiI1NTMxNTQ2NjcifQ==</vt:lpwstr>
  </property>
</Properties>
</file>