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版本号：SXHC2026-07720260512001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文物保护分析专用仪器（能谱分析检测设备）采购项目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SXHC2026-077</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文物保护分析专用仪器（能谱分析检测设备）采购项目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文物保护分析专用仪器（能谱分析检测设备）采购项目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文物保护分析专用仪器（能谱分析检测设备）采购项目。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采购包1（文物保护分析专用仪器（能谱分析检测设备）采购项目）：属于专门面向中小企业采购。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中标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文物保护分析专用仪器（能谱分析检测设备）采购项目。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文物保护分析专用仪器采购（能谱分析检测设备）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标的名称：文物保护分析专用仪器采购（能谱分析检测设备）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本项目采购的能谱分析检测设备主要用于文物材料表面微区元素种类与含量分析，通过检测电子束轰击样品产生的特征X射线，实现元素定性与定量分析，为文物材质溯源、工艺研究及病害分析提供关键数据支撑。</w:t>
            </w:r>
          </w:p>
          <w:p>
            <w:pPr>
              <w:pStyle w:val="null3"/>
              <w:ind w:firstLine="400"/>
            </w:pPr>
            <w:r>
              <w:rPr>
                <w:rFonts w:ascii="仿宋_GB2312" w:hAnsi="仿宋_GB2312" w:cs="仿宋_GB2312" w:eastAsia="仿宋_GB2312"/>
              </w:rPr>
              <w:t>该设备需支持与现有电镜及EBSD系统兼容、适配，可实现一体化联用与多技术协同分析，全面满足当前工作场景下的各项核心需求；同时在分辨率、分析速度、运行稳定性等关键指标上，能够适配现阶段及未来一段时期内文物保护实验研究、科研项目与检测分析工作。项目资金计划全部用于该设备的采购、运输、安装调试、配套集成及技术培训。</w:t>
            </w:r>
          </w:p>
          <w:p>
            <w:pPr>
              <w:pStyle w:val="null3"/>
              <w:ind w:firstLine="402"/>
              <w:jc w:val="left"/>
            </w:pPr>
            <w:r>
              <w:rPr>
                <w:rFonts w:ascii="仿宋_GB2312" w:hAnsi="仿宋_GB2312" w:cs="仿宋_GB2312" w:eastAsia="仿宋_GB2312"/>
                <w:b/>
                <w:color w:val="000000"/>
              </w:rPr>
              <w:t>本项目核心产品为文物保护分析专用仪器（能谱分析检测设备）。</w:t>
            </w:r>
          </w:p>
          <w:p>
            <w:pPr>
              <w:pStyle w:val="null3"/>
              <w:ind w:firstLine="402"/>
              <w:jc w:val="left"/>
            </w:pPr>
            <w:r>
              <w:rPr>
                <w:rFonts w:ascii="仿宋_GB2312" w:hAnsi="仿宋_GB2312" w:cs="仿宋_GB2312" w:eastAsia="仿宋_GB2312"/>
                <w:b/>
                <w:color w:val="000000"/>
              </w:rPr>
              <w:t>二、</w:t>
            </w:r>
            <w:r>
              <w:rPr>
                <w:rFonts w:ascii="仿宋_GB2312" w:hAnsi="仿宋_GB2312" w:cs="仿宋_GB2312" w:eastAsia="仿宋_GB2312"/>
                <w:b/>
                <w:color w:val="000000"/>
              </w:rPr>
              <w:t>具体功能技术参数表</w:t>
            </w:r>
          </w:p>
          <w:tbl>
            <w:tblPr>
              <w:tblInd w:type="dxa" w:w="120"/>
              <w:tblBorders>
                <w:top w:val="none" w:color="000000" w:sz="4"/>
                <w:left w:val="none" w:color="000000" w:sz="4"/>
                <w:bottom w:val="none" w:color="000000" w:sz="4"/>
                <w:right w:val="none" w:color="000000" w:sz="4"/>
                <w:insideH w:val="none"/>
                <w:insideV w:val="none"/>
              </w:tblBorders>
            </w:tblPr>
            <w:tblGrid>
              <w:gridCol w:w="192"/>
              <w:gridCol w:w="341"/>
              <w:gridCol w:w="2271"/>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功能名称</w:t>
                  </w:r>
                </w:p>
              </w:tc>
              <w:tc>
                <w:tcPr>
                  <w:tcW w:type="dxa" w:w="2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技术参数要求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探测器</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（1）采用科研级SDD硅漂移电制冷探测器，有效面积≥65mm²；</w:t>
                  </w:r>
                </w:p>
                <w:p>
                  <w:pPr>
                    <w:pStyle w:val="null3"/>
                    <w:jc w:val="both"/>
                  </w:pPr>
                  <w:r>
                    <w:rPr>
                      <w:rFonts w:ascii="仿宋_GB2312" w:hAnsi="仿宋_GB2312" w:cs="仿宋_GB2312" w:eastAsia="仿宋_GB2312"/>
                      <w:sz w:val="19"/>
                    </w:rPr>
                    <w:t>（2）采用高分子超薄窗技术，提升轻元素探测效率；</w:t>
                  </w:r>
                </w:p>
                <w:p>
                  <w:pPr>
                    <w:pStyle w:val="null3"/>
                    <w:jc w:val="both"/>
                  </w:pPr>
                  <w:r>
                    <w:rPr>
                      <w:rFonts w:ascii="仿宋_GB2312" w:hAnsi="仿宋_GB2312" w:cs="仿宋_GB2312" w:eastAsia="仿宋_GB2312"/>
                      <w:sz w:val="19"/>
                    </w:rPr>
                    <w:t>（3）探测器可通过软件自动伸缩控制。</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真空与运行系统</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（1）真空系统与现有电镜FEI QUANT 650工作模式匹配，运行稳定可靠；</w:t>
                  </w:r>
                </w:p>
                <w:p>
                  <w:pPr>
                    <w:pStyle w:val="null3"/>
                    <w:jc w:val="both"/>
                  </w:pPr>
                  <w:r>
                    <w:rPr>
                      <w:rFonts w:ascii="仿宋_GB2312" w:hAnsi="仿宋_GB2312" w:cs="仿宋_GB2312" w:eastAsia="仿宋_GB2312"/>
                      <w:sz w:val="19"/>
                    </w:rPr>
                    <w:t>（2）可独立实现真空控制，不依赖扫描电镜抽放真空，保证检测效率与安全性。</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能量分辨率</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（1）MnKa不低于129eV（计数率100000–300000cps范围内）；</w:t>
                  </w:r>
                </w:p>
                <w:p>
                  <w:pPr>
                    <w:pStyle w:val="null3"/>
                    <w:jc w:val="both"/>
                  </w:pPr>
                  <w:r>
                    <w:rPr>
                      <w:rFonts w:ascii="仿宋_GB2312" w:hAnsi="仿宋_GB2312" w:cs="仿宋_GB2312" w:eastAsia="仿宋_GB2312"/>
                      <w:sz w:val="19"/>
                    </w:rPr>
                    <w:t>（2）FKa不低于62eV（计数率30000–50000cps范围内）；</w:t>
                  </w:r>
                </w:p>
                <w:p>
                  <w:pPr>
                    <w:pStyle w:val="null3"/>
                    <w:jc w:val="both"/>
                  </w:pPr>
                  <w:r>
                    <w:rPr>
                      <w:rFonts w:ascii="仿宋_GB2312" w:hAnsi="仿宋_GB2312" w:cs="仿宋_GB2312" w:eastAsia="仿宋_GB2312"/>
                      <w:sz w:val="19"/>
                    </w:rPr>
                    <w:t>（3）CKa不低于48eV（计数率30000–50000cps范围内）。</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元素分析范围</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分析范围覆盖Be4～Cf98，满足文物各类材质全元素分析需求。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实时分析功能</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（1）具备谱图实时动态刷新功能，可观测样品变化过程中谱图动态演变；</w:t>
                  </w:r>
                </w:p>
                <w:p>
                  <w:pPr>
                    <w:pStyle w:val="null3"/>
                    <w:jc w:val="both"/>
                  </w:pPr>
                  <w:r>
                    <w:rPr>
                      <w:rFonts w:ascii="仿宋_GB2312" w:hAnsi="仿宋_GB2312" w:cs="仿宋_GB2312" w:eastAsia="仿宋_GB2312"/>
                      <w:sz w:val="19"/>
                    </w:rPr>
                    <w:t>（2）具备元素面分布实时成像功能，样品台移动、变倍时可实时显示电子图像与元素分布图；</w:t>
                  </w:r>
                </w:p>
                <w:p>
                  <w:pPr>
                    <w:pStyle w:val="null3"/>
                    <w:jc w:val="both"/>
                  </w:pPr>
                  <w:r>
                    <w:rPr>
                      <w:rFonts w:ascii="仿宋_GB2312" w:hAnsi="仿宋_GB2312" w:cs="仿宋_GB2312" w:eastAsia="仿宋_GB2312"/>
                      <w:sz w:val="19"/>
                    </w:rPr>
                    <w:t>（3）样品停止移动后自动进入高清静态采集模式，支持软件控制样品台与放大倍数。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谱图与定量分析功能</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（1）具备峰位自动校准功能，开机即可稳定使用；</w:t>
                  </w:r>
                </w:p>
                <w:p>
                  <w:pPr>
                    <w:pStyle w:val="null3"/>
                    <w:jc w:val="both"/>
                  </w:pPr>
                  <w:r>
                    <w:rPr>
                      <w:rFonts w:ascii="仿宋_GB2312" w:hAnsi="仿宋_GB2312" w:cs="仿宋_GB2312" w:eastAsia="仿宋_GB2312"/>
                      <w:sz w:val="19"/>
                    </w:rPr>
                    <w:t>（2）支持实时谱图比对、谱峰自动识别与谱重构；</w:t>
                  </w:r>
                </w:p>
                <w:p>
                  <w:pPr>
                    <w:pStyle w:val="null3"/>
                    <w:jc w:val="both"/>
                  </w:pPr>
                  <w:r>
                    <w:rPr>
                      <w:rFonts w:ascii="仿宋_GB2312" w:hAnsi="仿宋_GB2312" w:cs="仿宋_GB2312" w:eastAsia="仿宋_GB2312"/>
                      <w:sz w:val="19"/>
                    </w:rPr>
                    <w:t>（3）配备完整KLM谱线数据库，提供20kV/5kV高低压定量分析数据库；</w:t>
                  </w:r>
                </w:p>
                <w:p>
                  <w:pPr>
                    <w:pStyle w:val="null3"/>
                    <w:jc w:val="both"/>
                  </w:pPr>
                  <w:r>
                    <w:rPr>
                      <w:rFonts w:ascii="仿宋_GB2312" w:hAnsi="仿宋_GB2312" w:cs="仿宋_GB2312" w:eastAsia="仿宋_GB2312"/>
                      <w:sz w:val="19"/>
                    </w:rPr>
                    <w:t>（4）支持用户使用标准样品自建定量数据库，实现精准定量分析。</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线扫描与面分布成像</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（1）线扫描单点数量≥8192点，支持从线扫描数据重建单点谱图；</w:t>
                  </w:r>
                </w:p>
                <w:p>
                  <w:pPr>
                    <w:pStyle w:val="null3"/>
                    <w:jc w:val="both"/>
                  </w:pPr>
                  <w:r>
                    <w:rPr>
                      <w:rFonts w:ascii="仿宋_GB2312" w:hAnsi="仿宋_GB2312" w:cs="仿宋_GB2312" w:eastAsia="仿宋_GB2312"/>
                      <w:sz w:val="19"/>
                    </w:rPr>
                    <w:t>（2）支持水平/垂直多线连续采集；</w:t>
                  </w:r>
                </w:p>
                <w:p>
                  <w:pPr>
                    <w:pStyle w:val="null3"/>
                    <w:jc w:val="both"/>
                  </w:pPr>
                  <w:r>
                    <w:rPr>
                      <w:rFonts w:ascii="仿宋_GB2312" w:hAnsi="仿宋_GB2312" w:cs="仿宋_GB2312" w:eastAsia="仿宋_GB2312"/>
                      <w:sz w:val="19"/>
                    </w:rPr>
                    <w:t>（3）电子图像分辨率≥8192×8192像素；</w:t>
                  </w:r>
                </w:p>
                <w:p>
                  <w:pPr>
                    <w:pStyle w:val="null3"/>
                    <w:jc w:val="both"/>
                  </w:pPr>
                  <w:r>
                    <w:rPr>
                      <w:rFonts w:ascii="仿宋_GB2312" w:hAnsi="仿宋_GB2312" w:cs="仿宋_GB2312" w:eastAsia="仿宋_GB2312"/>
                      <w:sz w:val="19"/>
                    </w:rPr>
                    <w:t>（4）元素面分布图分辨率≥4096×4096像素；</w:t>
                  </w:r>
                </w:p>
                <w:p>
                  <w:pPr>
                    <w:pStyle w:val="null3"/>
                    <w:jc w:val="both"/>
                  </w:pPr>
                  <w:r>
                    <w:rPr>
                      <w:rFonts w:ascii="仿宋_GB2312" w:hAnsi="仿宋_GB2312" w:cs="仿宋_GB2312" w:eastAsia="仿宋_GB2312"/>
                      <w:sz w:val="19"/>
                    </w:rPr>
                    <w:t>（5）支持元素分布图与电子图像叠加，可从面分布结果重建点、线谱图。</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信号处理与扩展能力</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（1）采用高性能脉冲信号处理器，数据处理速度快、稳定性强；</w:t>
                  </w:r>
                </w:p>
                <w:p>
                  <w:pPr>
                    <w:pStyle w:val="null3"/>
                    <w:jc w:val="both"/>
                  </w:pPr>
                  <w:r>
                    <w:rPr>
                      <w:rFonts w:ascii="仿宋_GB2312" w:hAnsi="仿宋_GB2312" w:cs="仿宋_GB2312" w:eastAsia="仿宋_GB2312"/>
                      <w:sz w:val="19"/>
                    </w:rPr>
                    <w:t>（2）支持多探测器扩展，满足未来系统升级需求。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系统兼容性</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（1）支持与现有FEIQuant650扫描电镜兼容；</w:t>
                  </w:r>
                </w:p>
                <w:p>
                  <w:pPr>
                    <w:pStyle w:val="null3"/>
                    <w:jc w:val="both"/>
                  </w:pPr>
                  <w:r>
                    <w:rPr>
                      <w:rFonts w:ascii="仿宋_GB2312" w:hAnsi="仿宋_GB2312" w:cs="仿宋_GB2312" w:eastAsia="仿宋_GB2312"/>
                      <w:sz w:val="19"/>
                    </w:rPr>
                    <w:t>（2）支持与现有电子背散射衍射仪（Oxford Instruments NordlysNano）适配，软件操作界面一体化，可同步、协同分析。</w:t>
                  </w:r>
                </w:p>
              </w:tc>
            </w:tr>
          </w:tbl>
          <w:p>
            <w:pPr>
              <w:pStyle w:val="null3"/>
              <w:ind w:firstLine="402"/>
              <w:jc w:val="left"/>
            </w:pPr>
            <w:r>
              <w:rPr>
                <w:rFonts w:ascii="仿宋_GB2312" w:hAnsi="仿宋_GB2312" w:cs="仿宋_GB2312" w:eastAsia="仿宋_GB2312"/>
                <w:b/>
                <w:color w:val="000000"/>
              </w:rPr>
              <w:t>三、相关</w:t>
            </w:r>
            <w:r>
              <w:rPr>
                <w:rFonts w:ascii="仿宋_GB2312" w:hAnsi="仿宋_GB2312" w:cs="仿宋_GB2312" w:eastAsia="仿宋_GB2312"/>
                <w:b/>
                <w:color w:val="000000"/>
              </w:rPr>
              <w:t>要求</w:t>
            </w:r>
          </w:p>
          <w:p>
            <w:pPr>
              <w:pStyle w:val="null3"/>
              <w:ind w:firstLine="400"/>
              <w:jc w:val="left"/>
            </w:pPr>
            <w:r>
              <w:rPr>
                <w:rFonts w:ascii="仿宋_GB2312" w:hAnsi="仿宋_GB2312" w:cs="仿宋_GB2312" w:eastAsia="仿宋_GB2312"/>
                <w:color w:val="000000"/>
              </w:rPr>
              <w:t>（一）</w:t>
            </w:r>
            <w:r>
              <w:rPr>
                <w:rFonts w:ascii="仿宋_GB2312" w:hAnsi="仿宋_GB2312" w:cs="仿宋_GB2312" w:eastAsia="仿宋_GB2312"/>
                <w:color w:val="000000"/>
              </w:rPr>
              <w:t>质量要求：中标人所提供设</w:t>
            </w:r>
            <w:r>
              <w:rPr>
                <w:rFonts w:ascii="仿宋_GB2312" w:hAnsi="仿宋_GB2312" w:cs="仿宋_GB2312" w:eastAsia="仿宋_GB2312"/>
                <w:color w:val="000000"/>
              </w:rPr>
              <w:t>备为全新原厂正品，无改装、翻新、二手</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（二）验收要求：</w:t>
            </w:r>
          </w:p>
          <w:p>
            <w:pPr>
              <w:pStyle w:val="null3"/>
              <w:ind w:firstLine="400"/>
              <w:jc w:val="left"/>
            </w:pPr>
            <w:r>
              <w:rPr>
                <w:rFonts w:ascii="仿宋_GB2312" w:hAnsi="仿宋_GB2312" w:cs="仿宋_GB2312" w:eastAsia="仿宋_GB2312"/>
                <w:color w:val="000000"/>
              </w:rPr>
              <w:t>1、</w:t>
            </w:r>
            <w:r>
              <w:rPr>
                <w:rFonts w:ascii="仿宋_GB2312" w:hAnsi="仿宋_GB2312" w:cs="仿宋_GB2312" w:eastAsia="仿宋_GB2312"/>
                <w:color w:val="000000"/>
              </w:rPr>
              <w:t>安装调试后须连续72小时无故障稳定运行</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2、</w:t>
            </w:r>
            <w:r>
              <w:rPr>
                <w:rFonts w:ascii="仿宋_GB2312" w:hAnsi="仿宋_GB2312" w:cs="仿宋_GB2312" w:eastAsia="仿宋_GB2312"/>
                <w:color w:val="000000"/>
              </w:rPr>
              <w:t>按招标文件、合同、产品技术标准组织验收，验收不合格须在3日内整改并承担全部费用。</w:t>
            </w:r>
          </w:p>
          <w:p>
            <w:pPr>
              <w:pStyle w:val="null3"/>
              <w:ind w:firstLine="400"/>
              <w:jc w:val="left"/>
            </w:pPr>
            <w:r>
              <w:rPr>
                <w:rFonts w:ascii="仿宋_GB2312" w:hAnsi="仿宋_GB2312" w:cs="仿宋_GB2312" w:eastAsia="仿宋_GB2312"/>
                <w:color w:val="000000"/>
              </w:rPr>
              <w:t>3、</w:t>
            </w:r>
            <w:r>
              <w:rPr>
                <w:rFonts w:ascii="仿宋_GB2312" w:hAnsi="仿宋_GB2312" w:cs="仿宋_GB2312" w:eastAsia="仿宋_GB2312"/>
                <w:color w:val="000000"/>
              </w:rPr>
              <w:t>验收后3日内提供完整技术资料：操作手册、维修手册、软件、合格证、校准证书、安装调试报告等</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w:t>
            </w:r>
            <w:r>
              <w:rPr>
                <w:rFonts w:ascii="仿宋_GB2312" w:hAnsi="仿宋_GB2312" w:cs="仿宋_GB2312" w:eastAsia="仿宋_GB2312"/>
                <w:color w:val="000000"/>
              </w:rPr>
              <w:t>三</w:t>
            </w:r>
            <w:r>
              <w:rPr>
                <w:rFonts w:ascii="仿宋_GB2312" w:hAnsi="仿宋_GB2312" w:cs="仿宋_GB2312" w:eastAsia="仿宋_GB2312"/>
                <w:color w:val="000000"/>
              </w:rPr>
              <w:t>）</w:t>
            </w:r>
            <w:r>
              <w:rPr>
                <w:rFonts w:ascii="仿宋_GB2312" w:hAnsi="仿宋_GB2312" w:cs="仿宋_GB2312" w:eastAsia="仿宋_GB2312"/>
                <w:color w:val="000000"/>
              </w:rPr>
              <w:t>质保与售后要求</w:t>
            </w:r>
          </w:p>
          <w:p>
            <w:pPr>
              <w:pStyle w:val="null3"/>
              <w:ind w:firstLine="400"/>
              <w:jc w:val="left"/>
            </w:pPr>
            <w:r>
              <w:rPr>
                <w:rFonts w:ascii="仿宋_GB2312" w:hAnsi="仿宋_GB2312" w:cs="仿宋_GB2312" w:eastAsia="仿宋_GB2312"/>
                <w:color w:val="000000"/>
              </w:rPr>
              <w:t>1、</w:t>
            </w:r>
            <w:r>
              <w:rPr>
                <w:rFonts w:ascii="仿宋_GB2312" w:hAnsi="仿宋_GB2312" w:cs="仿宋_GB2312" w:eastAsia="仿宋_GB2312"/>
                <w:color w:val="000000"/>
              </w:rPr>
              <w:t>整体免费质保期自验收合格之日起</w:t>
            </w:r>
            <w:r>
              <w:rPr>
                <w:rFonts w:ascii="仿宋_GB2312" w:hAnsi="仿宋_GB2312" w:cs="仿宋_GB2312" w:eastAsia="仿宋_GB2312"/>
                <w:color w:val="000000"/>
              </w:rPr>
              <w:t>不少于</w:t>
            </w:r>
            <w:r>
              <w:rPr>
                <w:rFonts w:ascii="仿宋_GB2312" w:hAnsi="仿宋_GB2312" w:cs="仿宋_GB2312" w:eastAsia="仿宋_GB2312"/>
                <w:color w:val="000000"/>
              </w:rPr>
              <w:t>1年</w:t>
            </w:r>
            <w:r>
              <w:rPr>
                <w:rFonts w:ascii="仿宋_GB2312" w:hAnsi="仿宋_GB2312" w:cs="仿宋_GB2312" w:eastAsia="仿宋_GB2312"/>
                <w:color w:val="000000"/>
              </w:rPr>
              <w:t>（若中标人质保期优于此要求，按其承诺的质保期进行质保），设备在质保期出现质量问题，中标人应负责三包（包修、包换、包退），费用由中标人负担，采购人有权到中标人生产场地检查产品质量和生产进度</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2、</w:t>
            </w:r>
            <w:r>
              <w:rPr>
                <w:rFonts w:ascii="仿宋_GB2312" w:hAnsi="仿宋_GB2312" w:cs="仿宋_GB2312" w:eastAsia="仿宋_GB2312"/>
                <w:color w:val="000000"/>
              </w:rPr>
              <w:t>质保期内24小时响应、48小时上门服务，免费维修及更换零配件。</w:t>
            </w:r>
          </w:p>
          <w:p>
            <w:pPr>
              <w:pStyle w:val="null3"/>
              <w:ind w:firstLine="400"/>
              <w:jc w:val="left"/>
            </w:pPr>
            <w:r>
              <w:rPr>
                <w:rFonts w:ascii="仿宋_GB2312" w:hAnsi="仿宋_GB2312" w:cs="仿宋_GB2312" w:eastAsia="仿宋_GB2312"/>
                <w:color w:val="000000"/>
              </w:rPr>
              <w:t>3、</w:t>
            </w:r>
            <w:r>
              <w:rPr>
                <w:rFonts w:ascii="仿宋_GB2312" w:hAnsi="仿宋_GB2312" w:cs="仿宋_GB2312" w:eastAsia="仿宋_GB2312"/>
                <w:color w:val="000000"/>
              </w:rPr>
              <w:t>质保期外提供终身技术支持与优惠零配件供应。</w:t>
            </w:r>
          </w:p>
          <w:p>
            <w:pPr>
              <w:pStyle w:val="null3"/>
              <w:ind w:firstLine="400"/>
              <w:jc w:val="left"/>
            </w:pPr>
            <w:r>
              <w:rPr>
                <w:rFonts w:ascii="仿宋_GB2312" w:hAnsi="仿宋_GB2312" w:cs="仿宋_GB2312" w:eastAsia="仿宋_GB2312"/>
                <w:color w:val="000000"/>
              </w:rPr>
              <w:t>（</w:t>
            </w:r>
            <w:r>
              <w:rPr>
                <w:rFonts w:ascii="仿宋_GB2312" w:hAnsi="仿宋_GB2312" w:cs="仿宋_GB2312" w:eastAsia="仿宋_GB2312"/>
                <w:color w:val="000000"/>
              </w:rPr>
              <w:t>四</w:t>
            </w:r>
            <w:r>
              <w:rPr>
                <w:rFonts w:ascii="仿宋_GB2312" w:hAnsi="仿宋_GB2312" w:cs="仿宋_GB2312" w:eastAsia="仿宋_GB2312"/>
                <w:color w:val="000000"/>
              </w:rPr>
              <w:t>）</w:t>
            </w:r>
            <w:r>
              <w:rPr>
                <w:rFonts w:ascii="仿宋_GB2312" w:hAnsi="仿宋_GB2312" w:cs="仿宋_GB2312" w:eastAsia="仿宋_GB2312"/>
                <w:color w:val="000000"/>
              </w:rPr>
              <w:t>培训要求</w:t>
            </w:r>
          </w:p>
          <w:p>
            <w:pPr>
              <w:pStyle w:val="null3"/>
              <w:ind w:firstLine="400"/>
              <w:jc w:val="left"/>
            </w:pPr>
            <w:r>
              <w:rPr>
                <w:rFonts w:ascii="仿宋_GB2312" w:hAnsi="仿宋_GB2312" w:cs="仿宋_GB2312" w:eastAsia="仿宋_GB2312"/>
                <w:color w:val="000000"/>
              </w:rPr>
              <w:t>提供免费操作与维护培训，培训人数</w:t>
            </w:r>
            <w:r>
              <w:rPr>
                <w:rFonts w:ascii="仿宋_GB2312" w:hAnsi="仿宋_GB2312" w:cs="仿宋_GB2312" w:eastAsia="仿宋_GB2312"/>
                <w:color w:val="000000"/>
              </w:rPr>
              <w:t>不少于</w:t>
            </w:r>
            <w:r>
              <w:rPr>
                <w:rFonts w:ascii="仿宋_GB2312" w:hAnsi="仿宋_GB2312" w:cs="仿宋_GB2312" w:eastAsia="仿宋_GB2312"/>
                <w:color w:val="000000"/>
              </w:rPr>
              <w:t>2人，确保操作人员独立使用设备</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（五）</w:t>
            </w:r>
            <w:r>
              <w:rPr>
                <w:rFonts w:ascii="仿宋_GB2312" w:hAnsi="仿宋_GB2312" w:cs="仿宋_GB2312" w:eastAsia="仿宋_GB2312"/>
                <w:color w:val="000000"/>
              </w:rPr>
              <w:t>运输及安装调试要求</w:t>
            </w:r>
          </w:p>
          <w:p>
            <w:pPr>
              <w:pStyle w:val="null3"/>
              <w:ind w:firstLine="400"/>
              <w:jc w:val="left"/>
            </w:pPr>
            <w:r>
              <w:rPr>
                <w:rFonts w:ascii="仿宋_GB2312" w:hAnsi="仿宋_GB2312" w:cs="仿宋_GB2312" w:eastAsia="仿宋_GB2312"/>
                <w:color w:val="000000"/>
              </w:rPr>
              <w:t>1、中标人负责所有产品的运输及安装，确保采购产品安全、完整到达采购人指定地点并按照要求完成安装、调试。运杂费用已包含在合同总价内，包括从产品供应地点所含的运输费、装卸费、仓储费、保险费等。</w:t>
            </w:r>
          </w:p>
          <w:p>
            <w:pPr>
              <w:pStyle w:val="null3"/>
              <w:ind w:firstLine="400"/>
              <w:jc w:val="left"/>
            </w:pPr>
            <w:r>
              <w:rPr>
                <w:rFonts w:ascii="仿宋_GB2312" w:hAnsi="仿宋_GB2312" w:cs="仿宋_GB2312" w:eastAsia="仿宋_GB2312"/>
                <w:color w:val="000000"/>
              </w:rPr>
              <w:t>2、运输方式由中标人自行选择，但必须保证按期交货所有采购货物在运输、搬运的过程中，造成甲方损失的，由中标人为采购人修复或更新。逾期按合同总额0.5‰/天支付违约金，逾期超过15天采购人有权解除合同。</w:t>
            </w:r>
          </w:p>
          <w:p>
            <w:pPr>
              <w:pStyle w:val="null3"/>
              <w:ind w:firstLine="400"/>
              <w:jc w:val="left"/>
            </w:pPr>
            <w:r>
              <w:rPr>
                <w:rFonts w:ascii="仿宋_GB2312" w:hAnsi="仿宋_GB2312" w:cs="仿宋_GB2312" w:eastAsia="仿宋_GB2312"/>
                <w:color w:val="000000"/>
              </w:rPr>
              <w:t>3、涉及的商品包装和快递包装，均应符合国家及行业要求，包装应适应于远距离运输、防潮、防震、防锈和防野蛮装卸，以确保货物安全无损运抵指定地点。</w:t>
            </w:r>
          </w:p>
          <w:p>
            <w:pPr>
              <w:pStyle w:val="null3"/>
              <w:ind w:firstLine="400"/>
              <w:jc w:val="left"/>
            </w:pPr>
            <w:r>
              <w:rPr>
                <w:rFonts w:ascii="仿宋_GB2312" w:hAnsi="仿宋_GB2312" w:cs="仿宋_GB2312" w:eastAsia="仿宋_GB2312"/>
                <w:color w:val="000000"/>
              </w:rPr>
              <w:t>（六）其他要求</w:t>
            </w:r>
          </w:p>
          <w:p>
            <w:pPr>
              <w:pStyle w:val="null3"/>
              <w:ind w:firstLine="400"/>
              <w:jc w:val="left"/>
            </w:pPr>
            <w:r>
              <w:rPr>
                <w:rFonts w:ascii="仿宋_GB2312" w:hAnsi="仿宋_GB2312" w:cs="仿宋_GB2312" w:eastAsia="仿宋_GB2312"/>
                <w:color w:val="000000"/>
              </w:rPr>
              <w:t>1、</w:t>
            </w:r>
            <w:r>
              <w:rPr>
                <w:rFonts w:ascii="仿宋_GB2312" w:hAnsi="仿宋_GB2312" w:cs="仿宋_GB2312" w:eastAsia="仿宋_GB2312"/>
                <w:color w:val="000000"/>
              </w:rPr>
              <w:t>保证设备及软件无知识产权纠纷</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2、</w:t>
            </w:r>
            <w:r>
              <w:rPr>
                <w:rFonts w:ascii="仿宋_GB2312" w:hAnsi="仿宋_GB2312" w:cs="仿宋_GB2312" w:eastAsia="仿宋_GB2312"/>
                <w:color w:val="000000"/>
              </w:rPr>
              <w:t>不得转包、分包本项目</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3、</w:t>
            </w:r>
            <w:r>
              <w:rPr>
                <w:rFonts w:ascii="仿宋_GB2312" w:hAnsi="仿宋_GB2312" w:cs="仿宋_GB2312" w:eastAsia="仿宋_GB2312"/>
                <w:color w:val="000000"/>
              </w:rPr>
              <w:t>配合采购人完成备案、验收、审计等相关工作。</w:t>
            </w:r>
          </w:p>
          <w:p>
            <w:pPr>
              <w:pStyle w:val="null3"/>
              <w:ind w:firstLine="402"/>
              <w:jc w:val="left"/>
            </w:pPr>
            <w:r>
              <w:rPr>
                <w:rFonts w:ascii="仿宋_GB2312" w:hAnsi="仿宋_GB2312" w:cs="仿宋_GB2312" w:eastAsia="仿宋_GB2312"/>
                <w:b/>
                <w:color w:val="000000"/>
              </w:rPr>
              <w:t>四、</w:t>
            </w:r>
            <w:r>
              <w:rPr>
                <w:rFonts w:ascii="仿宋_GB2312" w:hAnsi="仿宋_GB2312" w:cs="仿宋_GB2312" w:eastAsia="仿宋_GB2312"/>
                <w:b/>
                <w:color w:val="000000"/>
              </w:rPr>
              <w:t>商务要求</w:t>
            </w:r>
          </w:p>
          <w:p>
            <w:pPr>
              <w:pStyle w:val="null3"/>
              <w:ind w:firstLine="420"/>
              <w:jc w:val="left"/>
            </w:pPr>
            <w:r>
              <w:rPr>
                <w:rFonts w:ascii="仿宋_GB2312" w:hAnsi="仿宋_GB2312" w:cs="仿宋_GB2312" w:eastAsia="仿宋_GB2312"/>
                <w:color w:val="000000"/>
              </w:rPr>
              <w:t>（一）交货期：</w:t>
            </w:r>
            <w:r>
              <w:rPr>
                <w:rFonts w:ascii="仿宋_GB2312" w:hAnsi="仿宋_GB2312" w:cs="仿宋_GB2312" w:eastAsia="仿宋_GB2312"/>
                <w:color w:val="000000"/>
              </w:rPr>
              <w:t>自合同签订之日起</w:t>
            </w:r>
            <w:r>
              <w:rPr>
                <w:rFonts w:ascii="仿宋_GB2312" w:hAnsi="仿宋_GB2312" w:cs="仿宋_GB2312" w:eastAsia="仿宋_GB2312"/>
                <w:color w:val="000000"/>
              </w:rPr>
              <w:t>90日历天内完成产品供货、安装、调试、培训及验收工作</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 xml:space="preserve">    （二）交货地点：陕西省西安市临潼区秦始皇帝陵博物院文物保护部扫描电镜实验室</w:t>
            </w:r>
            <w:r>
              <w:rPr>
                <w:rFonts w:ascii="仿宋_GB2312" w:hAnsi="仿宋_GB2312" w:cs="仿宋_GB2312" w:eastAsia="仿宋_GB2312"/>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自合同签订之日起90日历天内完成产品供货、安装、调试、培训及验收工作。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陕西省西安市临潼区秦始皇帝陵博物院文物保护部扫描电镜实验室。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合同签订生效后（凭等额正规发票）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设备到货、安装调试、校准并验收合格后（凭验收合格证明及等额正规发票）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本项目核心产品为文物保护分析专用仪器（能谱分析检测设备）。（3）采购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投标人需在“第六章 投标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4）因系统格式设置无法调整，合同付款支付要求以第七章“拟签订采购合同文本”中体现的内容为准。（5）中标人在领取中标通知书前，须向采购代理机构提供纸质版投标文件3套（一正两副、正本应为彩色打印件，副本可采用正本的复印件），且提供的投标文件必须与在陕西省政府采购综合管理平台的项目电子化交易系统中递交的电子投标文件内容一致，纸质版投标文件必须装订成册签字盖章。（6）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投标人需在项目电子化交易系统中按要求上传财务状况报告（以下三种资料提供任意一种即可）： （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 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投标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投标报价表.docx 费用组成明细表.docx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投标报价表.docx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w:t>
            </w:r>
          </w:p>
        </w:tc>
        <w:tc>
          <w:tcPr>
            <w:tcW w:type="dxa" w:w="2492"/>
          </w:tcPr>
          <w:p>
            <w:pPr>
              <w:pStyle w:val="null3"/>
            </w:pPr>
            <w:r>
              <w:rPr>
                <w:rFonts w:ascii="仿宋_GB2312" w:hAnsi="仿宋_GB2312" w:cs="仿宋_GB2312" w:eastAsia="仿宋_GB2312"/>
              </w:rPr>
              <w:t>投标人应对采购要求中《具体功能技术参数表》的参数进行逐项应答，技术参数满足采购要求且证明材料提供完整得基础分19分，其中▲参数出现负偏离或缺失相关证明材料扣3分，非▲参数出现负偏离扣1分，扣完为止。 评审依据：▲参数提供相应的证明材料及设备技术条款响应偏离表，非项以设备技术条款响应偏离表响应情况为准，也可提供相应的证明材料。 注：相关证明材料（包括但不限于由国家认可或具备法定资质的检测机构出具的检测报告、官网截图、产品说明书、产品彩印等），未提供证明材料的不得分。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设备技术条款响应偏离表.docx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内容至少包括①项目介绍及现场部署；②项目实施流程（生产、包装、运输及安装调试等）；③重点与难点分析；④培训方案（培训组织方式及培训内容）；⑤项目验收方案等。 评审标准：项目实施方案各部分内容全面详细、阐述条理清晰详尽、符合本项目采购需求得10分，每缺一项内容扣2分，评审内容有瑕疵的根据情况扣分，扣完为止。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产品供应渠道正常，无假货、水货，无不良市场反馈，检验手续合法有效、无产权纠纷。提供相关证明材料，得2分。 注：生产厂家提供产品制造能力证明、代理商提供产品来源渠道证明材料（包括但不限于厂家授权、代理协议、经销合同等）及产品质量证明文件，未提供证明材料的不得分。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p>
            <w:pPr>
              <w:pStyle w:val="null3"/>
            </w:pPr>
            <w:r>
              <w:rPr>
                <w:rFonts w:ascii="仿宋_GB2312" w:hAnsi="仿宋_GB2312" w:cs="仿宋_GB2312" w:eastAsia="仿宋_GB2312"/>
              </w:rPr>
              <w:t>关于符合本国产品标准的声明函.docx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内容至少包括①项目进度保障措施；②质量保障措施；③安全保障措施；④风险管理措施；⑤保密措施等。 评审标准：项目保障措施各部分内容全面详细、阐述条理清晰详尽、符合本项目采购需求得10分，每缺一项内容扣2分，评审内容有瑕疵的根据情况扣分，扣完为止。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团队管理制度及团队人员配置清单（项目负责人及技术人员需具备能谱仪安装调试、维修维护、操作培训能力以及同类仪器服务经验）；②人员安排计划及岗位职责；③团队服务能力保证措施及监督机制等方面。 评审标准：拟投入人员配备方案各部分内容全面详细、阐述条理清晰详尽、符合本项目采购需求得9分，每缺一项内容扣3分，评审内容有瑕疵的根据情况扣分，扣完为止。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内容至少包括①设备、系统故障应急措施及疑难解答；②应急响应安排等方面。 评审标准：应急预案各部分内容全面详细、阐述条理清晰详尽、符合本项目采购需求得4分，每缺一项内容扣2分，评审内容有瑕疵的根据情况扣分，扣完为止。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内容至少包括①售后服务方式及售后服务团队配置；②故障检修和排除，以及维修时间响应；③定期回访、检修、保养等方面。 评审标准：售后服务方案各部分内容全面详细、阐述条理清晰详尽、符合本项目采购需求得6分，每缺一项内容扣2分，评审内容有瑕疵的根据情况扣分，扣完为止。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投标人具有2023年04月01日至今（以合同签订时间为准）的同类项目业绩，每提供一个计2分，满分10分。 注：投标文件中提供合同复印件加盖投标人公章。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详见附件：设备技术条款响应偏离表.docx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