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AEFE3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企业法人应提供合法有效的标识有统一社会信用代码的营业执照</w:t>
      </w:r>
      <w:r>
        <w:rPr>
          <w:rFonts w:hint="eastAsia" w:ascii="仿宋_GB2312" w:hAnsi="仿宋_GB2312" w:eastAsia="仿宋_GB2312" w:cs="仿宋_GB2312"/>
          <w:sz w:val="28"/>
          <w:szCs w:val="28"/>
        </w:rPr>
        <w:t>；事业法人提供事业单位法人证书；其他组织提供合法登记证明文件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；自然人应提供身份证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6F2E59BD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（以上内容在投标文件中提供复印件或扫描件并进行电子签章）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117256D9"/>
    <w:rsid w:val="2FD858D0"/>
    <w:rsid w:val="49F72CE2"/>
    <w:rsid w:val="5842572D"/>
    <w:rsid w:val="63021763"/>
    <w:rsid w:val="699506D5"/>
    <w:rsid w:val="6F3225A4"/>
    <w:rsid w:val="711B525F"/>
    <w:rsid w:val="78B7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List Paragraph"/>
    <w:basedOn w:val="1"/>
    <w:qFormat/>
    <w:uiPriority w:val="0"/>
    <w:pPr>
      <w:ind w:firstLine="20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2026-05-12T07:03:17Z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