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版本号：XBMH2026-13720260527002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《陕西交通》内刊编排制作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XBMH2026-137</w:t>
      </w:r>
      <w:r>
        <w:br/>
      </w:r>
      <w:r>
        <w:br/>
      </w:r>
      <w:r>
        <w:br/>
      </w:r>
    </w:p>
    <w:p>
      <w:pPr>
        <w:pStyle w:val="null3"/>
        <w:jc w:val="center"/>
        <w:outlineLvl w:val="2"/>
      </w:pPr>
      <w:r>
        <w:rPr>
          <w:rFonts w:ascii="仿宋_GB2312" w:hAnsi="仿宋_GB2312" w:cs="仿宋_GB2312" w:eastAsia="仿宋_GB2312"/>
          <w:sz w:val="28"/>
          <w:b/>
        </w:rPr>
        <w:t>陕西省交通运输厅宣传教育中心</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陕西省交通运输厅宣传教育中心</w:t>
      </w:r>
      <w:r>
        <w:rPr>
          <w:rFonts w:ascii="仿宋_GB2312" w:hAnsi="仿宋_GB2312" w:cs="仿宋_GB2312" w:eastAsia="仿宋_GB2312"/>
        </w:rPr>
        <w:t>委托，拟对</w:t>
      </w:r>
      <w:r>
        <w:rPr>
          <w:rFonts w:ascii="仿宋_GB2312" w:hAnsi="仿宋_GB2312" w:cs="仿宋_GB2312" w:eastAsia="仿宋_GB2312"/>
        </w:rPr>
        <w:t>《陕西交通》内刊编排制作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XBMH2026-137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《陕西交通》内刊编排制作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交通》纸媒创办近30年来，已出报2000多期，不仅生动地记录了陕西交通事业的发展历程，也真实地记录了陕西交通在各个时期的变化变迁，为陕西交通运输事业健康稳步发展作出了积极贡献，也为加快陕西交通高质量发展起到了鼓劲加油的重要作用。 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注：供应商需在项目电子化交易系统中按要求上传相应证明文件并进行电子签章。</w:t>
      </w:r>
    </w:p>
    <w:p>
      <w:pPr>
        <w:pStyle w:val="null3"/>
      </w:pPr>
      <w:r>
        <w:rPr>
          <w:rFonts w:ascii="仿宋_GB2312" w:hAnsi="仿宋_GB2312" w:cs="仿宋_GB2312" w:eastAsia="仿宋_GB2312"/>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rFonts w:ascii="仿宋_GB2312" w:hAnsi="仿宋_GB2312" w:cs="仿宋_GB2312" w:eastAsia="仿宋_GB2312"/>
        </w:rPr>
        <w:t>3、印刷经营许可证：供应商须具有新闻出版管理部门颁发的《印刷经营许可证》，注：供应商需在项目电子化交易系统中按要求上传相应证明文件并进行电子签章。</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陕西省西安市唐延路3号唐延国际中心AB区8楼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王倩、代沙沙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029-88347940转8033、8019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文件规定标准的95%计算，向中标（成交）供应商收取代理服务费。取费基数为各标包成交金额。 2.采购人指定的代理服务费缴纳账户信息如下： 银行户名：陕西西北民航工程咨询有限公司 开户行名称：中国建设银行股份有限公司西安高新科技支行 账 号：61001925700052502533 行 号：105791011313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陕西省交通运输厅宣传教育中心</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陕西省交通运输厅宣传教育中心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满足工作需要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w:t>
      </w:r>
    </w:p>
    <w:p>
      <w:pPr>
        <w:pStyle w:val="null3"/>
      </w:pPr>
      <w:r>
        <w:rPr>
          <w:rFonts w:ascii="仿宋_GB2312" w:hAnsi="仿宋_GB2312" w:cs="仿宋_GB2312" w:eastAsia="仿宋_GB2312"/>
        </w:rPr>
        <w:t>联系电话：029-88347940转8033</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交通》纸媒创办近30年来，已出报2000多期，不仅生动地记录了陕西交通事业的发展历程，也真实地记录了陕西交通在各个时期的变化变迁，为陕西交通运输事业健康稳步发展作出了积极贡献，也为加快陕西交通高质量发展起到了鼓劲加油的重要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《陕西交通》内刊编排制作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标的名称：《陕西交通》内刊编排制作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《陕西交通》纸媒创办近</w:t>
            </w:r>
            <w:r>
              <w:rPr>
                <w:rFonts w:ascii="仿宋_GB2312" w:hAnsi="仿宋_GB2312" w:cs="仿宋_GB2312" w:eastAsia="仿宋_GB2312"/>
                <w:sz w:val="24"/>
              </w:rPr>
              <w:t>30年来，已出报2000多期，不仅生动地记录了陕西交通事业的发展历程，也真实地记录了陕西交通在各个时期的变化变迁，为陕西交通运输事业健康稳步发展作出了积极贡献，也为加快陕西交通高质量发展起到了鼓劲加油的重要作用。</w:t>
            </w:r>
          </w:p>
          <w:p>
            <w:pPr>
              <w:pStyle w:val="null3"/>
              <w:jc w:val="left"/>
            </w:pPr>
            <w:r>
              <w:rPr>
                <w:rFonts w:ascii="仿宋_GB2312" w:hAnsi="仿宋_GB2312" w:cs="仿宋_GB2312" w:eastAsia="仿宋_GB2312"/>
                <w:sz w:val="24"/>
                <w:b/>
              </w:rPr>
              <w:t>二、技术要求</w:t>
            </w:r>
          </w:p>
          <w:p>
            <w:pPr>
              <w:pStyle w:val="null3"/>
              <w:ind w:firstLine="480"/>
              <w:jc w:val="left"/>
            </w:pPr>
            <w:r>
              <w:rPr>
                <w:rFonts w:ascii="仿宋_GB2312" w:hAnsi="仿宋_GB2312" w:cs="仿宋_GB2312" w:eastAsia="仿宋_GB2312"/>
                <w:sz w:val="24"/>
              </w:rPr>
              <w:t>1.报纸输出系统需使用与排版软件飞腾创艺相匹配的方正畅流系统；</w:t>
            </w:r>
          </w:p>
          <w:p>
            <w:pPr>
              <w:pStyle w:val="null3"/>
              <w:ind w:firstLine="480"/>
              <w:jc w:val="left"/>
            </w:pPr>
            <w:r>
              <w:rPr>
                <w:rFonts w:ascii="仿宋_GB2312" w:hAnsi="仿宋_GB2312" w:cs="仿宋_GB2312" w:eastAsia="仿宋_GB2312"/>
                <w:sz w:val="24"/>
              </w:rPr>
              <w:t>2.纸张要求：48克＊781原浆A级新闻纸，对开四版、双面彩色。</w:t>
            </w:r>
          </w:p>
          <w:p>
            <w:pPr>
              <w:pStyle w:val="null3"/>
              <w:jc w:val="left"/>
            </w:pPr>
            <w:r>
              <w:rPr>
                <w:rFonts w:ascii="仿宋_GB2312" w:hAnsi="仿宋_GB2312" w:cs="仿宋_GB2312" w:eastAsia="仿宋_GB2312"/>
                <w:sz w:val="24"/>
                <w:b/>
              </w:rPr>
              <w:t>三、商务要求</w:t>
            </w:r>
          </w:p>
          <w:p>
            <w:pPr>
              <w:pStyle w:val="null3"/>
              <w:ind w:firstLine="480"/>
              <w:jc w:val="left"/>
            </w:pPr>
            <w:r>
              <w:rPr>
                <w:rFonts w:ascii="仿宋_GB2312" w:hAnsi="仿宋_GB2312" w:cs="仿宋_GB2312" w:eastAsia="仿宋_GB2312"/>
                <w:sz w:val="24"/>
              </w:rPr>
              <w:t>1.每周一、周四晚10:00前完成出版；</w:t>
            </w:r>
          </w:p>
          <w:p>
            <w:pPr>
              <w:pStyle w:val="null3"/>
              <w:ind w:firstLine="480"/>
              <w:jc w:val="left"/>
            </w:pPr>
            <w:r>
              <w:rPr>
                <w:rFonts w:ascii="仿宋_GB2312" w:hAnsi="仿宋_GB2312" w:cs="仿宋_GB2312" w:eastAsia="仿宋_GB2312"/>
                <w:sz w:val="24"/>
              </w:rPr>
              <w:t>2.全年110期、210万份对开张(含增刊、专刊、八版在内)；前期制作、排版、图像处理在甲方；</w:t>
            </w:r>
          </w:p>
          <w:p>
            <w:pPr>
              <w:pStyle w:val="null3"/>
              <w:ind w:firstLine="480"/>
              <w:jc w:val="left"/>
            </w:pPr>
            <w:r>
              <w:rPr>
                <w:rFonts w:ascii="仿宋_GB2312" w:hAnsi="仿宋_GB2312" w:cs="仿宋_GB2312" w:eastAsia="仿宋_GB2312"/>
                <w:sz w:val="24"/>
              </w:rPr>
              <w:t>3.排版系统流畅可靠，避免在发排过程中出现的错字、别字、图片模糊、字体偏差等，全年报纸出版差错率控制在万分之三以内；</w:t>
            </w:r>
          </w:p>
          <w:p>
            <w:pPr>
              <w:pStyle w:val="null3"/>
              <w:ind w:firstLine="480"/>
              <w:jc w:val="left"/>
            </w:pPr>
            <w:r>
              <w:rPr>
                <w:rFonts w:ascii="仿宋_GB2312" w:hAnsi="仿宋_GB2312" w:cs="仿宋_GB2312" w:eastAsia="仿宋_GB2312"/>
                <w:sz w:val="24"/>
              </w:rPr>
              <w:t>4.具备一定的应急系统，能够应对突发情况，保证报纸按时保质完成出版发行，等等。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全年110期、210万份对开张(含增刊、专刊、⼋版在内)；前期制作、排版、图像处理在甲⽅</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1.报纸输出系统需使⽤与排版软件⻜腾创艺相匹配的⽅正畅流系统； 2.纸张要求：48克＊781原浆A级新闻纸，对开四 版、双⾯彩⾊。</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企业划分标准所属⾏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专⻔⾯向中⼩企业采购。3.为顺利推进政府采购电⼦化交易平台试点应⽤⼯作，供应商需要在线提交所有通过电⼦化交易平台实施的政府采购项⽬的响应⽂件，同时，线下提交纸质响应⽂件三份、提供近期（3个⽉内）同⼀种报刊印刷样张不少于五份，电⼦版本⼀份（以U盘形式提供，⽂件格式包含.doc/.docx格式及响应文件签字盖章后扫描的.pdf格式），递交截⽌时间同在线递交电⼦响应⽂件截⽌时间⼀致。若电⼦响应⽂件与纸质响应⽂件不⼀致的，以电子响应⽂件为准。三份响应⽂件分别各⾃装订成册密封，在封⼝处加盖供应商公章。 4.需要落实的政府采购政策：（1）《国务院办公厅关于建⽴政府强制采购节能产品制度的通知》（国办发〔2007〕51号）；（2）《财政部 司法部关于政府采购⽀持监狱企业发展有关问题的通知》（财库〔2014〕68号）；（3）《三部⻔联合发布关于促进残疾⼈就业政府采购政策的通知》（财库〔2017〕141号）；（4）《财政部 发展改⾰委 ⽣态环境部 市场监管总局关于调整优化节能产品、环境标志产品政府采购执⾏机制的通知》（财库〔2019〕9号）；（5）《关于运⽤政府采购政策⽀持乡村产业振兴的通知》（财库〔2021〕19号）；（6）《政府采购促进中⼩企业发展管理办法》（财库〔2020〕46号）；（7）陕西省财政厅关于印发《陕西省中⼩企业政府采购信⽤融资办法》（陕财办采〔2018〕23号）；（8）《关于进⼀步加⼤政府采购⽀持中⼩企业⼒度的通知》（财库〔2022〕19号）；（9）《关于扩⼤政府采购⽀持绿⾊建材促进建筑品质提升政策实施范围的通知》（财库〔2022〕35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西安市雁塔区唐延路6号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乙方交付报刊，不符合合同要求及约定技术参数的，及时履行更换或义务。 本合同未经双方同意，任何一方不得以任何形式公开本合同及附件内容，以确保双方的商业机密。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其他，完成甲方工作要求，达到付款条件起90个工作日内，支付合同总金额的100.0%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1、本合同签订后甲乙双方不得单方终止合同，如乙方违约，应退还已收取费用，并赔偿给甲方实际造成的损失；如甲方违约，乙方收取的费用不予退还。 2、如因乙方未全面履行合同义务或者发生违约，甲方有权终止合同，依法向乙方进行经济索赔，并报请政府采购监督管理机关进行相应的行政处罚。甲方违约的，应当赔偿给乙方造成的直接经济损失。 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详见附件合同条款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提供具有财务审计资质单位出具的2024年度（或2025年度）财务报告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印刷经营许可证</w:t>
            </w:r>
          </w:p>
        </w:tc>
        <w:tc>
          <w:tcPr>
            <w:tcW w:type="dxa" w:w="3322"/>
          </w:tcPr>
          <w:p>
            <w:pPr>
              <w:pStyle w:val="null3"/>
            </w:pPr>
            <w:r>
              <w:rPr>
                <w:rFonts w:ascii="仿宋_GB2312" w:hAnsi="仿宋_GB2312" w:cs="仿宋_GB2312" w:eastAsia="仿宋_GB2312"/>
              </w:rPr>
              <w:t>供应商须具有新闻出版管理部门颁发的《印刷经营许可证》，注：供应商需在项目电子化交易系统中按要求上传相应证明文件并进行电子签章。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法定代表人身份证明及授权委托书 资格证明文件 其他材料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针对本项目的理解分析，分析服务特点和难点，并提出解决措施</w:t>
            </w:r>
          </w:p>
        </w:tc>
        <w:tc>
          <w:tcPr>
            <w:tcW w:type="dxa" w:w="2492"/>
          </w:tcPr>
          <w:p>
            <w:pPr>
              <w:pStyle w:val="null3"/>
            </w:pPr>
            <w:r>
              <w:rPr>
                <w:rFonts w:ascii="仿宋_GB2312" w:hAnsi="仿宋_GB2312" w:cs="仿宋_GB2312" w:eastAsia="仿宋_GB2312"/>
              </w:rPr>
              <w:t>一、评审内容： ①项目的实施背景理解； ②工作项目理解分析； ③对项目中特点、难点提出解决措施。 二、评审标准： 1、完整性：内容全面，对评审内容中的各项要求有详细描述； 2、可行性：切合本标段实际情况，提出步骤清晰的方案； 3、针对性：紧扣项目实际情况需求，内容切实合理。 三、赋分标准： ①项目的实施背景理解：每完全满足一个评审标准得1分，满分3分； ②工作项目理解分析：每完全满足一个评审标准得1分，满分3分； ③对项目中特点、难点提出解决措施：每完全满足一个评审标准得1分，满分3分。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响应情况及相关证明材料</w:t>
            </w:r>
          </w:p>
          <w:p>
            <w:pPr>
              <w:pStyle w:val="null3"/>
            </w:pPr>
            <w:r>
              <w:rPr>
                <w:rFonts w:ascii="仿宋_GB2312" w:hAnsi="仿宋_GB2312" w:cs="仿宋_GB2312" w:eastAsia="仿宋_GB2312"/>
              </w:rPr>
              <w:t>技术商务偏离表</w:t>
            </w:r>
          </w:p>
        </w:tc>
      </w:tr>
      <w:tr>
        <w:tc>
          <w:tcPr>
            <w:tcW w:type="dxa" w:w="831"/>
            <w:vMerge/>
          </w:tcPr>
          <w:p/>
        </w:tc>
        <w:tc>
          <w:tcPr>
            <w:tcW w:type="dxa" w:w="1661"/>
          </w:tcPr>
          <w:p>
            <w:pPr>
              <w:pStyle w:val="null3"/>
            </w:pPr>
            <w:r>
              <w:rPr>
                <w:rFonts w:ascii="仿宋_GB2312" w:hAnsi="仿宋_GB2312" w:cs="仿宋_GB2312" w:eastAsia="仿宋_GB2312"/>
              </w:rPr>
              <w:t>针对本项目实施方案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1、完整性：内容全面，对评审内容中的各项要求有详细描述； 2、可行性：切合本标段实际情况，提出步骤清晰的方案； 3、针对性：紧扣项目实际情况需求，内容切实合理； 4、专业性：逻辑性强，具有技术含量、技术水准。 三、赋分标准： ①总体框架及计划：每完全满足一个评审标准得1分，满分4分； ②技术思路及方法：每完全满足一个评审标准得1分，满分4分； ③关键点、重难点分析：每完全满足一个评审标准得1分，满分4分； ④服务理念及特色：每完全满足一个评审标准得1分，满分4分。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w:t>
            </w:r>
          </w:p>
          <w:p>
            <w:pPr>
              <w:pStyle w:val="null3"/>
            </w:pPr>
            <w:r>
              <w:rPr>
                <w:rFonts w:ascii="仿宋_GB2312" w:hAnsi="仿宋_GB2312" w:cs="仿宋_GB2312" w:eastAsia="仿宋_GB2312"/>
              </w:rPr>
              <w:t>响应情况及相关证明材料</w:t>
            </w:r>
          </w:p>
        </w:tc>
      </w:tr>
      <w:tr>
        <w:tc>
          <w:tcPr>
            <w:tcW w:type="dxa" w:w="831"/>
            <w:vMerge/>
          </w:tcPr>
          <w:p/>
        </w:tc>
        <w:tc>
          <w:tcPr>
            <w:tcW w:type="dxa" w:w="1661"/>
          </w:tcPr>
          <w:p>
            <w:pPr>
              <w:pStyle w:val="null3"/>
            </w:pPr>
            <w:r>
              <w:rPr>
                <w:rFonts w:ascii="仿宋_GB2312" w:hAnsi="仿宋_GB2312" w:cs="仿宋_GB2312" w:eastAsia="仿宋_GB2312"/>
              </w:rPr>
              <w:t>针对本项目质量保证</w:t>
            </w:r>
          </w:p>
        </w:tc>
        <w:tc>
          <w:tcPr>
            <w:tcW w:type="dxa" w:w="2492"/>
          </w:tcPr>
          <w:p>
            <w:pPr>
              <w:pStyle w:val="null3"/>
            </w:pPr>
            <w:r>
              <w:rPr>
                <w:rFonts w:ascii="仿宋_GB2312" w:hAnsi="仿宋_GB2312" w:cs="仿宋_GB2312" w:eastAsia="仿宋_GB2312"/>
              </w:rPr>
              <w:t>一、评审内容： ①具有针对本项目质量管理制度； ②质量保障措施； ③内部管控流程合理。 二、评审标准： 1、完整性：内容全面，对评审内容中的各项要求有详细描述； 2、可行性：切合本标段实际情况，提出步骤清晰的方案； 3、针对性：紧扣项目实际情况需求，内容切实合理。 三、赋分标准： ①具有针对本项目质量管理制度：每完全满足一个评审标准得1分，满分3分； ②质量保障措施：每完全满足一个评审标准得1分，满分3分； ③内部管控流程：每完全满足一个评审标准得1分，满分3分。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w:t>
            </w:r>
          </w:p>
          <w:p>
            <w:pPr>
              <w:pStyle w:val="null3"/>
            </w:pPr>
            <w:r>
              <w:rPr>
                <w:rFonts w:ascii="仿宋_GB2312" w:hAnsi="仿宋_GB2312" w:cs="仿宋_GB2312" w:eastAsia="仿宋_GB2312"/>
              </w:rPr>
              <w:t>响应情况及相关证明材料</w:t>
            </w:r>
          </w:p>
        </w:tc>
      </w:tr>
      <w:tr>
        <w:tc>
          <w:tcPr>
            <w:tcW w:type="dxa" w:w="831"/>
            <w:vMerge/>
          </w:tcPr>
          <w:p/>
        </w:tc>
        <w:tc>
          <w:tcPr>
            <w:tcW w:type="dxa" w:w="1661"/>
          </w:tcPr>
          <w:p>
            <w:pPr>
              <w:pStyle w:val="null3"/>
            </w:pPr>
            <w:r>
              <w:rPr>
                <w:rFonts w:ascii="仿宋_GB2312" w:hAnsi="仿宋_GB2312" w:cs="仿宋_GB2312" w:eastAsia="仿宋_GB2312"/>
              </w:rPr>
              <w:t>针对本项目进度控制</w:t>
            </w:r>
          </w:p>
        </w:tc>
        <w:tc>
          <w:tcPr>
            <w:tcW w:type="dxa" w:w="2492"/>
          </w:tcPr>
          <w:p>
            <w:pPr>
              <w:pStyle w:val="null3"/>
            </w:pPr>
            <w:r>
              <w:rPr>
                <w:rFonts w:ascii="仿宋_GB2312" w:hAnsi="仿宋_GB2312" w:cs="仿宋_GB2312" w:eastAsia="仿宋_GB2312"/>
              </w:rPr>
              <w:t>一、评审内容： ①进度的保障措施； ②突发状况应急预案；二、评审标准： 1、完整性：内容全面，对评审内容中的各项要求有详细描述； 2、可行性：切合本标段实际情况，提出步骤清晰的方案； 3、针对性：紧扣项目实际情况需求，内容切实合理。 三、赋分标准： ①进度的保障措施：每完全满足一个评审标准得1分，满分3分； ②突发状况应急预案：每完全满足一个评审标准得1分，满分3分。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响应情况及相关证明材料</w:t>
            </w:r>
          </w:p>
          <w:p>
            <w:pPr>
              <w:pStyle w:val="null3"/>
            </w:pPr>
            <w:r>
              <w:rPr>
                <w:rFonts w:ascii="仿宋_GB2312" w:hAnsi="仿宋_GB2312" w:cs="仿宋_GB2312" w:eastAsia="仿宋_GB2312"/>
              </w:rPr>
              <w:t>技术商务偏离表</w:t>
            </w:r>
          </w:p>
        </w:tc>
      </w:tr>
      <w:tr>
        <w:tc>
          <w:tcPr>
            <w:tcW w:type="dxa" w:w="831"/>
            <w:vMerge/>
          </w:tcPr>
          <w:p/>
        </w:tc>
        <w:tc>
          <w:tcPr>
            <w:tcW w:type="dxa" w:w="1661"/>
          </w:tcPr>
          <w:p>
            <w:pPr>
              <w:pStyle w:val="null3"/>
            </w:pPr>
            <w:r>
              <w:rPr>
                <w:rFonts w:ascii="仿宋_GB2312" w:hAnsi="仿宋_GB2312" w:cs="仿宋_GB2312" w:eastAsia="仿宋_GB2312"/>
              </w:rPr>
              <w:t>针对本项目组织架构</w:t>
            </w:r>
          </w:p>
        </w:tc>
        <w:tc>
          <w:tcPr>
            <w:tcW w:type="dxa" w:w="2492"/>
          </w:tcPr>
          <w:p>
            <w:pPr>
              <w:pStyle w:val="null3"/>
            </w:pPr>
            <w:r>
              <w:rPr>
                <w:rFonts w:ascii="仿宋_GB2312" w:hAnsi="仿宋_GB2312" w:cs="仿宋_GB2312" w:eastAsia="仿宋_GB2312"/>
              </w:rPr>
              <w:t>一、评审内容： ①组织架构；②岗位设置；③人员数量及分工。二、赋分标准：1、完整性：内容全面，对评审内容中的各项要求有详细描述； 2、可行性：切合本标段实际情况，提出步骤清晰的方案； 3、针对性：紧扣项目实际情况需求，内容切实合理。 三、赋分标准： ①组织架构：每完全满足一个评审标准得1分，满分3分； ②岗位设置：每完全满足一个评审标准得1分，满分3分。③人员数量及分工：每完全满足一个评审标准得1分，满分3分。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响应情况及相关证明材料</w:t>
            </w:r>
          </w:p>
          <w:p>
            <w:pPr>
              <w:pStyle w:val="null3"/>
            </w:pPr>
            <w:r>
              <w:rPr>
                <w:rFonts w:ascii="仿宋_GB2312" w:hAnsi="仿宋_GB2312" w:cs="仿宋_GB2312" w:eastAsia="仿宋_GB2312"/>
              </w:rPr>
              <w:t>技术商务偏离表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供应商提供近期（3个月内）同一种报刊印刷样张不少于五份。注：未提供此项不得分。 一、评审内容：①印刷字迹；②版面；③纸质；④有无残页现象；⑤有无错漏页现象；⑥装订。 二、评审标准：1、印刷字迹清晰；2、版面整洁；3、纸质优良；4、无残页现象；5、无错漏页现象；6、装订整齐。 三、赋分标准： ①印刷字迹：印刷字迹清晰得3分，较清晰得2分，不清晰得1分。满分3分。 ②版面：版面整洁得3分，较整洁得2分，不整洁得1分。满分3分。 ③纸质：纸质厚实得3分，纸质较厚得2分，较薄得1分。 ④有无残页现象：无残页现象得3分，有轻微残页现象得2分，残页严重得1分。 ⑤有无错漏页现象：无错漏页现象得3分。有轻微错漏页现象得2分，错漏页现象严重得1分。⑥装订：装订整齐得1分。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w:t>
            </w:r>
          </w:p>
          <w:p>
            <w:pPr>
              <w:pStyle w:val="null3"/>
            </w:pPr>
            <w:r>
              <w:rPr>
                <w:rFonts w:ascii="仿宋_GB2312" w:hAnsi="仿宋_GB2312" w:cs="仿宋_GB2312" w:eastAsia="仿宋_GB2312"/>
              </w:rPr>
              <w:t>响应情况及相关证明材料</w:t>
            </w:r>
          </w:p>
        </w:tc>
      </w:tr>
      <w:tr>
        <w:tc>
          <w:tcPr>
            <w:tcW w:type="dxa" w:w="831"/>
            <w:vMerge/>
          </w:tcPr>
          <w:p/>
        </w:tc>
        <w:tc>
          <w:tcPr>
            <w:tcW w:type="dxa" w:w="1661"/>
          </w:tcPr>
          <w:p>
            <w:pPr>
              <w:pStyle w:val="null3"/>
            </w:pPr>
            <w:r>
              <w:rPr>
                <w:rFonts w:ascii="仿宋_GB2312" w:hAnsi="仿宋_GB2312" w:cs="仿宋_GB2312" w:eastAsia="仿宋_GB2312"/>
              </w:rPr>
              <w:t>针对本项目设备配备</w:t>
            </w:r>
          </w:p>
        </w:tc>
        <w:tc>
          <w:tcPr>
            <w:tcW w:type="dxa" w:w="2492"/>
          </w:tcPr>
          <w:p>
            <w:pPr>
              <w:pStyle w:val="null3"/>
            </w:pPr>
            <w:r>
              <w:rPr>
                <w:rFonts w:ascii="仿宋_GB2312" w:hAnsi="仿宋_GB2312" w:cs="仿宋_GB2312" w:eastAsia="仿宋_GB2312"/>
              </w:rPr>
              <w:t>提供印刷设备清单（包括但不限于：规格型号、数量、设备照片、购置发票等能证明设备归属的材料）、设备具有针对性、先进性、全面性得5分。 提供印刷设备清单（规格型号、数量、设备照片）、设备具有针对性、先进性、全面性得4分。 提供印刷设备清单（规格型号、数量）、设备具有针对性得3分。 提供印刷设备清单（数量）、设备具有针对性得2分。 提供印刷设备清单得1分。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响应情况及相关证明材料</w:t>
            </w:r>
          </w:p>
          <w:p>
            <w:pPr>
              <w:pStyle w:val="null3"/>
            </w:pPr>
            <w:r>
              <w:rPr>
                <w:rFonts w:ascii="仿宋_GB2312" w:hAnsi="仿宋_GB2312" w:cs="仿宋_GB2312" w:eastAsia="仿宋_GB2312"/>
              </w:rPr>
              <w:t>技术商务偏离表</w:t>
            </w:r>
          </w:p>
        </w:tc>
      </w:tr>
      <w:tr>
        <w:tc>
          <w:tcPr>
            <w:tcW w:type="dxa" w:w="831"/>
            <w:vMerge/>
          </w:tcPr>
          <w:p/>
        </w:tc>
        <w:tc>
          <w:tcPr>
            <w:tcW w:type="dxa" w:w="1661"/>
          </w:tcPr>
          <w:p>
            <w:pPr>
              <w:pStyle w:val="null3"/>
            </w:pPr>
            <w:r>
              <w:rPr>
                <w:rFonts w:ascii="仿宋_GB2312" w:hAnsi="仿宋_GB2312" w:cs="仿宋_GB2312" w:eastAsia="仿宋_GB2312"/>
              </w:rPr>
              <w:t>针对本项目后期服务</w:t>
            </w:r>
          </w:p>
        </w:tc>
        <w:tc>
          <w:tcPr>
            <w:tcW w:type="dxa" w:w="2492"/>
          </w:tcPr>
          <w:p>
            <w:pPr>
              <w:pStyle w:val="null3"/>
            </w:pPr>
            <w:r>
              <w:rPr>
                <w:rFonts w:ascii="仿宋_GB2312" w:hAnsi="仿宋_GB2312" w:cs="仿宋_GB2312" w:eastAsia="仿宋_GB2312"/>
              </w:rPr>
              <w:t>具有切实可行的后期支持服务方案承诺。得2分。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w:t>
            </w:r>
          </w:p>
          <w:p>
            <w:pPr>
              <w:pStyle w:val="null3"/>
            </w:pPr>
            <w:r>
              <w:rPr>
                <w:rFonts w:ascii="仿宋_GB2312" w:hAnsi="仿宋_GB2312" w:cs="仿宋_GB2312" w:eastAsia="仿宋_GB2312"/>
              </w:rPr>
              <w:t>响应情况及相关证明材料</w:t>
            </w:r>
          </w:p>
        </w:tc>
      </w:tr>
      <w:tr>
        <w:tc>
          <w:tcPr>
            <w:tcW w:type="dxa" w:w="831"/>
            <w:vMerge/>
          </w:tcPr>
          <w:p/>
        </w:tc>
        <w:tc>
          <w:tcPr>
            <w:tcW w:type="dxa" w:w="1661"/>
          </w:tcPr>
          <w:p>
            <w:pPr>
              <w:pStyle w:val="null3"/>
            </w:pPr>
            <w:r>
              <w:rPr>
                <w:rFonts w:ascii="仿宋_GB2312" w:hAnsi="仿宋_GB2312" w:cs="仿宋_GB2312" w:eastAsia="仿宋_GB2312"/>
              </w:rPr>
              <w:t>针对本项目安全管理方案</w:t>
            </w:r>
          </w:p>
        </w:tc>
        <w:tc>
          <w:tcPr>
            <w:tcW w:type="dxa" w:w="2492"/>
          </w:tcPr>
          <w:p>
            <w:pPr>
              <w:pStyle w:val="null3"/>
            </w:pPr>
            <w:r>
              <w:rPr>
                <w:rFonts w:ascii="仿宋_GB2312" w:hAnsi="仿宋_GB2312" w:cs="仿宋_GB2312" w:eastAsia="仿宋_GB2312"/>
              </w:rPr>
              <w:t>具有完善的生产安全管理方案，根据方案1、描述全面性、可行性、合理性。优秀得4分。2、描述基本全面、可行、合理得3分。3、描述基本有瑕疵、可行性差得2分。4、描述基本不合理得1分。5、供应商持有在保险期内针对纸张、印刷品成品或半成品的本企业财产综合险，必须提供有效证明复印件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w:t>
            </w:r>
          </w:p>
          <w:p>
            <w:pPr>
              <w:pStyle w:val="null3"/>
            </w:pPr>
            <w:r>
              <w:rPr>
                <w:rFonts w:ascii="仿宋_GB2312" w:hAnsi="仿宋_GB2312" w:cs="仿宋_GB2312" w:eastAsia="仿宋_GB2312"/>
              </w:rPr>
              <w:t>响应情况及相关证明材料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供应商近三年（2023年1月至今，以签订合同时间或中标通知书落款时间为准）具有类似印刷项目业绩，每提供一个得2分，最高得12分。 （以磋商响应文件中合同或合同关键页（必须含封面、内容、签订时间、盖章签字页等信息）或中标通知书加盖公章的扫描件为准，未提供不得分）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w:t>
      </w:r>
    </w:p>
    <w:p>
      <w:pPr>
        <w:pStyle w:val="null3"/>
        <w:ind w:firstLine="960"/>
      </w:pPr>
      <w:r>
        <w:rPr>
          <w:rFonts w:ascii="仿宋_GB2312" w:hAnsi="仿宋_GB2312" w:cs="仿宋_GB2312" w:eastAsia="仿宋_GB2312"/>
        </w:rPr>
        <w:t>详见附件：技术商务偏离表</w:t>
      </w:r>
    </w:p>
    <w:p>
      <w:pPr>
        <w:pStyle w:val="null3"/>
        <w:ind w:firstLine="960"/>
      </w:pPr>
      <w:r>
        <w:rPr>
          <w:rFonts w:ascii="仿宋_GB2312" w:hAnsi="仿宋_GB2312" w:cs="仿宋_GB2312" w:eastAsia="仿宋_GB2312"/>
        </w:rPr>
        <w:t>详见附件：业绩统计表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详见附件：响应情况及相关证明材料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