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版本号：SXLX26-02-073Z(F)20260610001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西安市长安区人民法院法律文书送达项目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SXLX26-02-073Z(F)</w:t>
      </w:r>
      <w:r>
        <w:br/>
      </w:r>
      <w:r>
        <w:br/>
      </w:r>
      <w:r>
        <w:br/>
      </w:r>
    </w:p>
    <w:p>
      <w:pPr>
        <w:pStyle w:val="null3"/>
        <w:jc w:val="center"/>
        <w:outlineLvl w:val="5"/>
      </w:pPr>
      <w:r>
        <w:rPr>
          <w:rFonts w:ascii="仿宋_GB2312" w:hAnsi="仿宋_GB2312" w:cs="仿宋_GB2312" w:eastAsia="仿宋_GB2312"/>
          <w:sz w:val="15"/>
          <w:b/>
        </w:rPr>
        <w:t>西安市长安区人民法院[160]</w:t>
      </w:r>
    </w:p>
    <w:p>
      <w:pPr>
        <w:pStyle w:val="null3"/>
        <w:jc w:val="center"/>
        <w:outlineLvl w:val="5"/>
      </w:pPr>
      <w:r>
        <w:rPr>
          <w:rFonts w:ascii="仿宋_GB2312" w:hAnsi="仿宋_GB2312" w:cs="仿宋_GB2312" w:eastAsia="仿宋_GB2312"/>
          <w:sz w:val="15"/>
          <w:b/>
        </w:rPr>
        <w:t>陕西隆信项目管理有限公司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陕西隆信项目管理有限公司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西安市长安区人民法院[160]</w:t>
      </w:r>
      <w:r>
        <w:rPr>
          <w:rFonts w:ascii="仿宋_GB2312" w:hAnsi="仿宋_GB2312" w:cs="仿宋_GB2312" w:eastAsia="仿宋_GB2312"/>
        </w:rPr>
        <w:t>委托，拟对</w:t>
      </w:r>
      <w:r>
        <w:rPr>
          <w:rFonts w:ascii="仿宋_GB2312" w:hAnsi="仿宋_GB2312" w:cs="仿宋_GB2312" w:eastAsia="仿宋_GB2312"/>
        </w:rPr>
        <w:t>西安市长安区人民法院法律文书送达项目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SXLX26-02-073Z(F)</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西安市长安区人民法院法律文书送达项目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西安市长安区人民法院法律文书送达项目，送达法律文书，上门揽收，对邮件提供准确及时的速递服务。具体内容详见第三章“采购项目技术、服务、商务及其他要求”</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西安市长安区人民法院[160]</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西安市长安区西长安街141号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029-84165132</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陕西隆信项目管理有限公司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陕西省西安市雁塔区雁翔路111号赛格·中京坊公寓A一单元二层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魏晴霏、王小琼、任甜、杜航、郑婧婧、王真、梁嘉峰、马彩霞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029-88489979-8205</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采购包1：2,600,000.00元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采购预算为基础，根据《国家计委关于印发招标代理服务收费管理暂行办法的通知》（计价格〔2002〕1980号）和国家发改委办公厅颁发的《关于招标代理服务收费有关问题的通知》（发改办价格〔2003〕857号）文件规定标准收取，以上费用由成交供应商支付，具体收费金额将在成交公告中公布。 请将采购代理服务费汇至下列指定账户： 开户名称：陕西隆信项目管理有限公司 开 户 行：招商银行股份有限公司西安土门支行 账 号：129904064810902 财务部电话：029-88489979-8501 注：此服务费应计入报价中，但不需要单独开列。</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西安市长安区人民法院[160]</w:t>
      </w:r>
      <w:r>
        <w:rPr>
          <w:rFonts w:ascii="仿宋_GB2312" w:hAnsi="仿宋_GB2312" w:cs="仿宋_GB2312" w:eastAsia="仿宋_GB2312"/>
        </w:rPr>
        <w:t>和</w:t>
      </w:r>
      <w:r>
        <w:rPr>
          <w:rFonts w:ascii="仿宋_GB2312" w:hAnsi="仿宋_GB2312" w:cs="仿宋_GB2312" w:eastAsia="仿宋_GB2312"/>
        </w:rPr>
        <w:t>陕西隆信项目管理有限公司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陕西隆信项目管理有限公司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西安市长安区人民法院[160]</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陕西隆信项目管理有限公司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供应商在次月8日前将上月采购人的邮件统计表(包括邮件号码、日期、寄达地、重量、资费)以明细单及电子文档的形式交与采购人，经采购人核实确认。如有错误，需在下一次付款时扣除相应费用。</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陕西隆信项目管理有限公司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sz w:val="21"/>
          <w:color w:val="000000"/>
        </w:rPr>
        <w:t>西安市长安区人民法院法律文书送达项目</w:t>
      </w:r>
      <w:r>
        <w:rPr>
          <w:rFonts w:ascii="仿宋_GB2312" w:hAnsi="仿宋_GB2312" w:cs="仿宋_GB2312" w:eastAsia="仿宋_GB2312"/>
          <w:sz w:val="21"/>
          <w:color w:val="000000"/>
        </w:rPr>
        <w:t>，送达法律文书，上门揽收，对邮件提供准确及时的速递服务。</w:t>
      </w:r>
      <w:r>
        <w:rPr>
          <w:rFonts w:ascii="仿宋_GB2312" w:hAnsi="仿宋_GB2312" w:cs="仿宋_GB2312" w:eastAsia="仿宋_GB2312"/>
          <w:sz w:val="21"/>
          <w:b/>
          <w:color w:val="000000"/>
        </w:rPr>
        <w:t>本项目所属行业为邮政业。</w:t>
      </w:r>
      <w:r>
        <w:rPr>
          <w:rFonts w:ascii="仿宋_GB2312" w:hAnsi="仿宋_GB2312" w:cs="仿宋_GB2312" w:eastAsia="仿宋_GB2312"/>
          <w:sz w:val="21"/>
          <w:color w:val="000000"/>
        </w:rPr>
        <w:t>（从业人员</w:t>
      </w:r>
      <w:r>
        <w:rPr>
          <w:rFonts w:ascii="仿宋_GB2312" w:hAnsi="仿宋_GB2312" w:cs="仿宋_GB2312" w:eastAsia="仿宋_GB2312"/>
          <w:sz w:val="21"/>
          <w:color w:val="000000"/>
        </w:rPr>
        <w:t>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2,600,000.00</w:t>
      </w:r>
    </w:p>
    <w:p>
      <w:pPr>
        <w:pStyle w:val="null3"/>
      </w:pPr>
      <w:r>
        <w:rPr>
          <w:rFonts w:ascii="仿宋_GB2312" w:hAnsi="仿宋_GB2312" w:cs="仿宋_GB2312" w:eastAsia="仿宋_GB2312"/>
        </w:rPr>
        <w:t>采购包最高限价（元）: 2,600,000.00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法律文书送达</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2,600,000.00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邮政业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标的名称：法律文书送达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color w:val="000000"/>
              </w:rPr>
              <w:t>1.技术条款（服务内容）</w:t>
            </w:r>
          </w:p>
          <w:p>
            <w:pPr>
              <w:pStyle w:val="null3"/>
              <w:ind w:firstLine="350"/>
              <w:jc w:val="both"/>
            </w:pPr>
            <w:r>
              <w:rPr>
                <w:rFonts w:ascii="仿宋_GB2312" w:hAnsi="仿宋_GB2312" w:cs="仿宋_GB2312" w:eastAsia="仿宋_GB2312"/>
                <w:sz w:val="21"/>
                <w:color w:val="000000"/>
              </w:rPr>
              <w:t>根据《最高人民法院关于以法院专递方式邮寄送达民事诉讼文书的若干规定》人民法院直接送达诉讼文书有困难的，可以交由国家邮政机构（以下简称邮政机构）以法院专递方式邮寄送达，以法院专递方式邮寄送达民事诉讼文书的，其送达与人民法院送达具有同等法律效力。</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1）法律文书邮寄封套必须使用法院专递专用封套，并具有法院专递标识。</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2）投递深度：确保“门到门、桌到桌”的服务水平，投递至邮件详情单上最具体的地址。</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投递频次：按《最高人民法院关于以法院专递方式邮寄送达民事诉讼文书的若干规定》执行，即“法院专递”邮件到达投递单位的五个工作日内，按照详情单上的送达地址投送至少三次（每次未能投递成功需要在详情单上进行未妥投标注）。对投送三次未能送达，通过电话或者其他联系方式无法通知到受送达人的，方可将邮件退回人民法院，并注明退回的理由。</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4）法院专递邮件投递到详情单上的具体地址，严禁邮政机构未经法院允许投递到其他地址。</w:t>
            </w:r>
          </w:p>
          <w:p>
            <w:pPr>
              <w:pStyle w:val="null3"/>
              <w:jc w:val="both"/>
            </w:pPr>
            <w:r>
              <w:rPr>
                <w:rFonts w:ascii="仿宋_GB2312" w:hAnsi="仿宋_GB2312" w:cs="仿宋_GB2312" w:eastAsia="仿宋_GB2312"/>
                <w:sz w:val="21"/>
                <w:b/>
              </w:rPr>
              <w:t>2.商务条款</w:t>
            </w:r>
          </w:p>
          <w:p>
            <w:pPr>
              <w:pStyle w:val="null3"/>
              <w:ind w:firstLine="350"/>
              <w:jc w:val="both"/>
            </w:pPr>
            <w:r>
              <w:rPr>
                <w:rFonts w:ascii="仿宋_GB2312" w:hAnsi="仿宋_GB2312" w:cs="仿宋_GB2312" w:eastAsia="仿宋_GB2312"/>
                <w:sz w:val="21"/>
                <w:color w:val="0C0C0C"/>
              </w:rPr>
              <w:t>（</w:t>
            </w:r>
            <w:r>
              <w:rPr>
                <w:rFonts w:ascii="仿宋_GB2312" w:hAnsi="仿宋_GB2312" w:cs="仿宋_GB2312" w:eastAsia="仿宋_GB2312"/>
                <w:sz w:val="21"/>
                <w:color w:val="0C0C0C"/>
              </w:rPr>
              <w:t>1）标的清单合计金额等于分项报价明细表中同城+省内异地（除同城）+省际之和。</w:t>
            </w:r>
            <w:r>
              <w:rPr>
                <w:rFonts w:ascii="仿宋_GB2312" w:hAnsi="仿宋_GB2312" w:cs="仿宋_GB2312" w:eastAsia="仿宋_GB2312"/>
                <w:sz w:val="21"/>
                <w:color w:val="0C0C0C"/>
              </w:rPr>
              <w:t>分项报价表</w:t>
            </w:r>
            <w:r>
              <w:rPr>
                <w:rFonts w:ascii="仿宋_GB2312" w:hAnsi="仿宋_GB2312" w:cs="仿宋_GB2312" w:eastAsia="仿宋_GB2312"/>
                <w:sz w:val="21"/>
                <w:color w:val="0C0C0C"/>
              </w:rPr>
              <w:t>最后报价按降价比例（最后一次总报价</w:t>
            </w:r>
            <w:r>
              <w:rPr>
                <w:rFonts w:ascii="仿宋_GB2312" w:hAnsi="仿宋_GB2312" w:cs="仿宋_GB2312" w:eastAsia="仿宋_GB2312"/>
                <w:sz w:val="21"/>
                <w:color w:val="0C0C0C"/>
              </w:rPr>
              <w:t>/首次总报价）进行调整，调整后单价在合同执行过程中是固定不</w:t>
            </w:r>
            <w:r>
              <w:rPr>
                <w:rFonts w:ascii="仿宋_GB2312" w:hAnsi="仿宋_GB2312" w:cs="仿宋_GB2312" w:eastAsia="仿宋_GB2312"/>
                <w:sz w:val="21"/>
                <w:color w:val="0C0C0C"/>
              </w:rPr>
              <w:t>变的，不得以任何理由予以变更。</w:t>
            </w:r>
          </w:p>
          <w:p>
            <w:pPr>
              <w:pStyle w:val="null3"/>
              <w:ind w:firstLine="350"/>
              <w:jc w:val="both"/>
            </w:pPr>
            <w:r>
              <w:rPr>
                <w:rFonts w:ascii="仿宋_GB2312" w:hAnsi="仿宋_GB2312" w:cs="仿宋_GB2312" w:eastAsia="仿宋_GB2312"/>
                <w:sz w:val="21"/>
              </w:rPr>
              <w:t>（</w:t>
            </w:r>
            <w:r>
              <w:rPr>
                <w:rFonts w:ascii="仿宋_GB2312" w:hAnsi="仿宋_GB2312" w:cs="仿宋_GB2312" w:eastAsia="仿宋_GB2312"/>
                <w:sz w:val="21"/>
              </w:rPr>
              <w:t>2）本项目</w:t>
            </w:r>
            <w:r>
              <w:rPr>
                <w:rFonts w:ascii="仿宋_GB2312" w:hAnsi="仿宋_GB2312" w:cs="仿宋_GB2312" w:eastAsia="仿宋_GB2312"/>
                <w:sz w:val="21"/>
              </w:rPr>
              <w:t>单价限价：同城</w:t>
            </w:r>
            <w:r>
              <w:rPr>
                <w:rFonts w:ascii="仿宋_GB2312" w:hAnsi="仿宋_GB2312" w:cs="仿宋_GB2312" w:eastAsia="仿宋_GB2312"/>
                <w:sz w:val="21"/>
              </w:rPr>
              <w:t>20元/件,省内异地30元/件、省际30元/件，</w:t>
            </w:r>
            <w:r>
              <w:rPr>
                <w:rFonts w:ascii="仿宋_GB2312" w:hAnsi="仿宋_GB2312" w:cs="仿宋_GB2312" w:eastAsia="仿宋_GB2312"/>
                <w:sz w:val="21"/>
              </w:rPr>
              <w:t>单价限价合计为</w:t>
            </w:r>
            <w:r>
              <w:rPr>
                <w:rFonts w:ascii="仿宋_GB2312" w:hAnsi="仿宋_GB2312" w:cs="仿宋_GB2312" w:eastAsia="仿宋_GB2312"/>
                <w:sz w:val="21"/>
              </w:rPr>
              <w:t>80元，</w:t>
            </w:r>
            <w:r>
              <w:rPr>
                <w:rFonts w:ascii="仿宋_GB2312" w:hAnsi="仿宋_GB2312" w:cs="仿宋_GB2312" w:eastAsia="仿宋_GB2312"/>
                <w:sz w:val="21"/>
              </w:rPr>
              <w:t>重量均为</w:t>
            </w:r>
            <w:r>
              <w:rPr>
                <w:rFonts w:ascii="仿宋_GB2312" w:hAnsi="仿宋_GB2312" w:cs="仿宋_GB2312" w:eastAsia="仿宋_GB2312"/>
                <w:sz w:val="21"/>
              </w:rPr>
              <w:t xml:space="preserve"> 500g/件</w:t>
            </w:r>
            <w:r>
              <w:rPr>
                <w:rFonts w:ascii="仿宋_GB2312" w:hAnsi="仿宋_GB2312" w:cs="仿宋_GB2312" w:eastAsia="仿宋_GB2312"/>
                <w:sz w:val="21"/>
              </w:rPr>
              <w:t>。</w:t>
            </w:r>
            <w:r>
              <w:rPr>
                <w:rFonts w:ascii="仿宋_GB2312" w:hAnsi="仿宋_GB2312" w:cs="仿宋_GB2312" w:eastAsia="仿宋_GB2312"/>
                <w:sz w:val="21"/>
              </w:rPr>
              <w:t>供应商报价超过限价，则按无效响应处理。</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rPr>
              <w:t>其他详见采购文件</w:t>
            </w:r>
            <w:r>
              <w:rPr>
                <w:rFonts w:ascii="仿宋_GB2312" w:hAnsi="仿宋_GB2312" w:cs="仿宋_GB2312" w:eastAsia="仿宋_GB2312"/>
                <w:sz w:val="21"/>
              </w:rPr>
              <w:t>3.3商务要求。</w:t>
            </w:r>
          </w:p>
          <w:p>
            <w:pPr>
              <w:pStyle w:val="null3"/>
              <w:jc w:val="both"/>
            </w:pPr>
            <w:r>
              <w:rPr>
                <w:rFonts w:ascii="仿宋_GB2312" w:hAnsi="仿宋_GB2312" w:cs="仿宋_GB2312" w:eastAsia="仿宋_GB2312"/>
                <w:sz w:val="21"/>
                <w:b/>
                <w:color w:val="000000"/>
              </w:rPr>
              <w:t>3.服务、产品（如有）执行的标准、规范：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1）国家标准、规范/；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2）行业标准、规范/；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3）地方标准、规范/；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4）团体标准、规范/；</w:t>
            </w:r>
          </w:p>
          <w:p>
            <w:pPr>
              <w:pStyle w:val="null3"/>
              <w:ind w:firstLine="35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5）企业标准、规范/。</w:t>
            </w:r>
          </w:p>
          <w:p>
            <w:pPr>
              <w:pStyle w:val="null3"/>
              <w:jc w:val="both"/>
            </w:pPr>
            <w:r>
              <w:rPr>
                <w:rFonts w:ascii="仿宋_GB2312" w:hAnsi="仿宋_GB2312" w:cs="仿宋_GB2312" w:eastAsia="仿宋_GB2312"/>
                <w:sz w:val="21"/>
                <w:b/>
                <w:color w:val="000000"/>
              </w:rPr>
              <w:t>4.本章第</w:t>
            </w:r>
            <w:r>
              <w:rPr>
                <w:rFonts w:ascii="仿宋_GB2312" w:hAnsi="仿宋_GB2312" w:cs="仿宋_GB2312" w:eastAsia="仿宋_GB2312"/>
                <w:sz w:val="21"/>
                <w:b/>
                <w:color w:val="000000"/>
                <w:u w:val="single"/>
              </w:rPr>
              <w:t>3</w:t>
            </w:r>
            <w:r>
              <w:rPr>
                <w:rFonts w:ascii="仿宋_GB2312" w:hAnsi="仿宋_GB2312" w:cs="仿宋_GB2312" w:eastAsia="仿宋_GB2312"/>
                <w:sz w:val="21"/>
                <w:b/>
                <w:color w:val="000000"/>
              </w:rPr>
              <w:t>条款未明确服务（产品）执行标准、规范的，按下列方法进行选择：</w:t>
            </w:r>
          </w:p>
          <w:p>
            <w:pPr>
              <w:pStyle w:val="null3"/>
              <w:ind w:firstLine="350"/>
              <w:jc w:val="both"/>
            </w:pPr>
            <w:r>
              <w:rPr>
                <w:rFonts w:ascii="仿宋_GB2312" w:hAnsi="仿宋_GB2312" w:cs="仿宋_GB2312" w:eastAsia="仿宋_GB2312"/>
                <w:sz w:val="21"/>
                <w:color w:val="000000"/>
              </w:rPr>
              <w:t>□顺序执行： 国家标准→行业标准→地方标准→ 团体标准→企业 标 准（有国家标准按国家标准执行，没有国家标准按行业标准， 以此类推）；</w:t>
            </w:r>
          </w:p>
          <w:p>
            <w:pPr>
              <w:pStyle w:val="null3"/>
              <w:ind w:firstLine="350"/>
              <w:jc w:val="both"/>
            </w:pPr>
            <w:r>
              <w:rPr>
                <w:rFonts w:ascii="仿宋_GB2312" w:hAnsi="仿宋_GB2312" w:cs="仿宋_GB2312" w:eastAsia="仿宋_GB2312"/>
                <w:sz w:val="21"/>
                <w:color w:val="000000"/>
              </w:rPr>
              <w:t>□最高标准执行：国家标准，行业标准，地方标准，团体标准，企业标准（哪个标准高执行哪个标准）</w:t>
            </w:r>
          </w:p>
          <w:p>
            <w:pPr>
              <w:pStyle w:val="null3"/>
            </w:pPr>
            <w:r>
              <w:rPr>
                <w:rFonts w:ascii="仿宋_GB2312" w:hAnsi="仿宋_GB2312" w:cs="仿宋_GB2312" w:eastAsia="仿宋_GB2312"/>
                <w:sz w:val="21"/>
                <w:color w:val="000000"/>
              </w:rPr>
              <w:t>☑必须执行：国家（行业）强制性标准。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供应商针对本项目配备相关服务人员，确保按时、按质完成采购人需求。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供应商根据本项目采购需求和采购人要求进行合理匹配。</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西安市长安区人民法院</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预付款，合同签订后，供应商开具正式发票后，达到付款条件起10个工作日内，支付合同总金额的60.0%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进度款，2026年9月20日前，供应商开具正式发票后，达到付款条件起10个工作日内，达到付款条件起10个工作日内，支付合同总金额的20.0%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进度款，2026年12月20日前，供应商开具正式发票后，达到付款条件起10个工作日内，支付合同总金额的20.0%</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供应商在次月8日前将上月采购人的邮件统计表(包括邮件号码、日期、寄达地、重量、资费)以明细单及电子文档的形式交与采购人，经采购人核实确认。如有错误，需在下一次付款时扣除相应费用。</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详见采购文件和合同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成交供应商在领取成交通知书时提供纸质版响应文件2套，应通过专用制作软件直接打印，确保与电子投标文件保持一致，不允许修改和补充。提交地点：陕西省西安市雁塔区雁翔路111号赛格·中京坊公寓A一单元二层招标二部。 二、供应商的报价是供应商响应本项目要求的全部工作内容的价格体现，包括供应商完成本项目所需的直接费、间接费、利润、税金及其他相关的一切费用。包括但不限于：人工费、设备费、管理费、邮寄费、验收费、采购代理服务费、利润和税金等全部费用。在提供服务的过程中的任何遗漏，均由成交供应商免费提供，采购人将不再支付任何费用。 三、协商有效期 1.出现特殊情况需要延长响应有效期的，采购代理机构或采购人可于响应有效期满之前，以书面形式通知所有供应商延长响应有效期。供应商应予书面答复，同意延长的，应相应延长其协商保证金（如有）有效期，但不得要求或被允许修改其响应文件；供应商拒绝延长的，其响应文件失效，递交协商保证金的，供应商有权收回其协商保证金。 2.在响应有效期内，供应商撤销响应文件的，应承担采购文件和法律规定的责任。 3.成交供应商的响应有效期自动延长至合同终止为止。 四、分公司独立参与协商时，不能使用总公司的资质或业绩；总公司授权分公司或分支机构参与协商，可以使用总公司的资质或业绩。总公司单独参与协商时，可以使用分公司的业绩，在相关资质证书的管理要求和适用范围内可以使用分公司资质。 五、恶意质疑、投诉的法律后果 1.对捏造事实、提供虚假材料进行质疑、投诉的行为将予以严肃处理： 《政府采购质疑和投诉办法》（财政部令第94号）规定，投诉人在全国范围内十二个月内三次以上投诉查无实据的，由财政部门列入不良行为记录名单。对于捏造事实或提供虚假材料或以非法手段取得证明材料（证据来源的合法性存在明显疑问，投诉人无法证明其取得方式合法的，视为以非法手段取得证明材料）进行投诉的，属于虚假、恶意投诉，由财政部门列入不良行为记录名单，并禁止其一至三年内参加政府采购活动。 2.对捏造事实诬告陷害他人、诽谤他人的法律适用： （1）《中华人民共和国刑法》第243条【诬告陷害罪】捏造事实诬告陷害他人，意图使他人受刑事追究，情节严重的，处三年以下有期徒刑、拘役或者管制；造成严重后果的，处三年以上十年以下有期徒刑。 （2）《中华人民共和国刑法》第246条【侮辱罪、诽谤罪】以暴力或者其他方法公然侮辱他人或者捏造事实诽谤他人，情节严重的，处三年以下有期徒刑、拘役、管制或者剥夺政治权利。 六、签名是指手写签名或者加盖名章(含电子签名或电子印章)，盖章是指加盖单位印章。 七、资格审查小组说明：1、根据《中华人民共和国政府采购法》第二十三条规定，采购人应依法对供应商的资格进行审查。经采购人授权，资格审查工作可由资格审查小组完成；2、资格审查小组，由经采购人授权的采购人代表和采购代理机构工作人员组成，由采购代理机构项目经理担任资格审查小组组长；3、资格审查小组成立后，全体小组成员应当在签到表中签到。 八、关于采购文件第一次报价出现下列情况的，不需要供应商澄清，按以下原则处理： 1.报价中的大写金额和小写金额不一致的，以大写金额为准，但大写金额出现文字错误，导致金额无法判断的除外； 2.单价金额小数点或者百分比有明显错位的，应以总价为准，并修改单价； 3.总价金额与按单价汇总金额不一致的，以单价汇总金额计算结果为准。同时出现两种以上不一致的，按照前款规定的顺序修正。修正后的报价经加盖供应商（法定名称）电子印章后产生约束力，供应商不确认的，其报价无效。 九、最终报价如出现异常低价，执行财库〔2026〕2号《关于推动解决政府采购异常低价问题的通知》。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供应商的营业执照等证明文件，自然人的身份证明文件</w:t>
            </w:r>
          </w:p>
        </w:tc>
        <w:tc>
          <w:tcPr>
            <w:tcW w:type="dxa" w:w="3322"/>
          </w:tcPr>
          <w:p>
            <w:pPr>
              <w:pStyle w:val="null3"/>
            </w:pPr>
            <w:r>
              <w:rPr>
                <w:rFonts w:ascii="仿宋_GB2312" w:hAnsi="仿宋_GB2312" w:cs="仿宋_GB2312" w:eastAsia="仿宋_GB2312"/>
              </w:rPr>
              <w:t>根据“资格证明文件”中提供的要求和说明，提供符合自身条件且合法有效的主体资格证明材料。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单位负责人）参加协商的，提供本人身份证复印件；法定代表人（单位负责人）授权他人参加协商的，提供法定代表人（单位负责人）委托授权书及被授权代表的身份证复印件。按照电子化全流程要求，投标（响应）文件递交时，签到的人员信息应为法定代表人或授权委托人。</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根据“资格证明文件”中提供的格式和说明，提供符合自身条件的证明材料。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具备履行合同所必需的设备和专业技术能力的证明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参加本次协商前3年内，在经营活动中没有重大违法记录的书面声明</w:t>
            </w:r>
          </w:p>
        </w:tc>
        <w:tc>
          <w:tcPr>
            <w:tcW w:type="dxa" w:w="3322"/>
          </w:tcPr>
          <w:p>
            <w:pPr>
              <w:pStyle w:val="null3"/>
            </w:pPr>
            <w:r>
              <w:rPr>
                <w:rFonts w:ascii="仿宋_GB2312" w:hAnsi="仿宋_GB2312" w:cs="仿宋_GB2312" w:eastAsia="仿宋_GB2312"/>
              </w:rPr>
              <w:t>按采购文件提供的格式进行响应声明。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采购代理机构将于本项目采购文件递交截止日在“中国执行信息公开网”“信用中国”“中国政府采购网”对供应商进行信用记录查询。对列入失信被执行人、列入重大税收违法失信主体，或处于“政府采购严重违法失信行为信息记录”名单中的供应商，将拒绝其参与政府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供应商响应文件满足采购文件中的实质性要求。</w:t>
            </w:r>
          </w:p>
        </w:tc>
        <w:tc>
          <w:tcPr>
            <w:tcW w:type="dxa" w:w="1661"/>
          </w:tcPr>
          <w:p>
            <w:pPr>
              <w:pStyle w:val="null3"/>
            </w:pPr>
            <w:r>
              <w:rPr>
                <w:rFonts w:ascii="仿宋_GB2312" w:hAnsi="仿宋_GB2312" w:cs="仿宋_GB2312" w:eastAsia="仿宋_GB2312"/>
              </w:rPr>
              <w:t>响应文件封面 商务技术文件.docx 标的清单 报价表 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协商小组认为供应商报价明显不合理，影响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报价合理性的，协商小组应当将其响应文件作为无效处理。</w:t>
            </w:r>
          </w:p>
        </w:tc>
        <w:tc>
          <w:tcPr>
            <w:tcW w:type="dxa" w:w="1661"/>
          </w:tcPr>
          <w:p>
            <w:pPr>
              <w:pStyle w:val="null3"/>
            </w:pPr>
            <w:r>
              <w:rPr>
                <w:rFonts w:ascii="仿宋_GB2312" w:hAnsi="仿宋_GB2312" w:cs="仿宋_GB2312" w:eastAsia="仿宋_GB2312"/>
              </w:rPr>
              <w:t>商务技术文件.docx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响应文件中不存在采购文件规定的无效情形。</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响应文件上法定代表人（单位负责人）或其委托代理人的签名齐全并加盖单位公章。</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应符合“响应文件格式”要求（不得因文件排序等非实质性的格式、形式问题限制和影响供应商响应)。</w:t>
            </w:r>
          </w:p>
        </w:tc>
        <w:tc>
          <w:tcPr>
            <w:tcW w:type="dxa" w:w="1661"/>
          </w:tcPr>
          <w:p>
            <w:pPr>
              <w:pStyle w:val="null3"/>
            </w:pPr>
            <w:r>
              <w:rPr>
                <w:rFonts w:ascii="仿宋_GB2312" w:hAnsi="仿宋_GB2312" w:cs="仿宋_GB2312" w:eastAsia="仿宋_GB2312"/>
              </w:rPr>
              <w:t>响应文件封面 中小企业声明函 残疾人福利性单位声明函 商务技术文件.docx 标的清单 报价表 响应函 资格证明文件.docx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（1）只能有一个有效报价，不得提交选择性报价，且报价不超过第二章“供应商须知”前附表规定的采购预算金额或最高限价。 （2）本项目单价限价：同城20元/件,省内异地30元/件、省际30元/件，单价限价合计为80元。供应商报价超过限价则按无效响应处理。</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应满足采购文件中要求的服务期限</w:t>
            </w:r>
          </w:p>
        </w:tc>
        <w:tc>
          <w:tcPr>
            <w:tcW w:type="dxa" w:w="1661"/>
          </w:tcPr>
          <w:p>
            <w:pPr>
              <w:pStyle w:val="null3"/>
            </w:pPr>
            <w:r>
              <w:rPr>
                <w:rFonts w:ascii="仿宋_GB2312" w:hAnsi="仿宋_GB2312" w:cs="仿宋_GB2312" w:eastAsia="仿宋_GB2312"/>
              </w:rPr>
              <w:t>商务技术文件.docx 标的清单 报价表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应符合采购文件中的规定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