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C3ACE">
      <w:pPr>
        <w:widowControl w:val="0"/>
        <w:spacing w:line="360" w:lineRule="auto"/>
        <w:jc w:val="both"/>
        <w:rPr>
          <w:rFonts w:ascii="宋体" w:hAnsi="宋体" w:eastAsia="宋体" w:cs="宋体"/>
          <w:lang w:eastAsia="zh-CN"/>
        </w:rPr>
      </w:pPr>
      <w:r>
        <w:rPr>
          <w:rFonts w:hint="eastAsia" w:ascii="宋体" w:hAnsi="宋体" w:eastAsia="宋体" w:cs="宋体"/>
          <w:b/>
          <w:bCs/>
          <w:color w:val="auto"/>
          <w:kern w:val="2"/>
          <w:lang w:eastAsia="zh-CN"/>
        </w:rPr>
        <w:t>1.技术条款（服务内容）</w:t>
      </w:r>
    </w:p>
    <w:p w14:paraId="1DE6DB3F">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根据《最高人民法院关于以法院专递方式邮寄送达民事诉讼文书的若干规定》人民法院直接送达诉讼文书有困难的，可以交由国家邮政机构（以下简称邮政机构）以法院专递方式邮寄送达，以法院专递方式邮寄送达民事诉讼文书的，其送达与人民法院送达具有同等法律效力。</w:t>
      </w:r>
    </w:p>
    <w:p w14:paraId="66B054E7">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（1）法律文书邮寄封套必须使用法院专递专用封套，并具有法院专递标识。</w:t>
      </w:r>
    </w:p>
    <w:p w14:paraId="0291041E">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（2）投递深度：确保“门到门、桌到桌”的服务水平，投递至邮件详情单上最具体的地址。</w:t>
      </w:r>
    </w:p>
    <w:p w14:paraId="62BCCF2F">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3）投递频次：按《最高人民法院关于以法院专递方式邮寄送达民事诉讼文书的若干规定》执行，即“法院专递”邮件到达投递单位的五个工作日内，按照详情单上的送达地址投送至少三次（每次未能投递成功需要在详情单上进行未妥投标注）。对投送三次未能送达，通过电话或者其他联系方式无法通知到受送达人的，方可将邮件退回人民法院，并注明退回的理由。</w:t>
      </w:r>
    </w:p>
    <w:p w14:paraId="681F6BB0">
      <w:pPr>
        <w:pStyle w:val="6"/>
        <w:widowControl w:val="0"/>
        <w:spacing w:line="360" w:lineRule="auto"/>
        <w:ind w:firstLine="420" w:firstLineChars="200"/>
        <w:jc w:val="both"/>
        <w:rPr>
          <w:rFonts w:hint="default" w:ascii="宋体" w:hAnsi="宋体"/>
          <w:color w:val="000000"/>
          <w:sz w:val="21"/>
          <w:szCs w:val="21"/>
        </w:rPr>
      </w:pPr>
      <w:r>
        <w:rPr>
          <w:rFonts w:ascii="宋体" w:hAnsi="宋体"/>
          <w:color w:val="000000"/>
          <w:sz w:val="21"/>
          <w:szCs w:val="21"/>
        </w:rPr>
        <w:t>（4）法院专递邮件投递到详情单上的具体地址，严禁邮政机构未经法院允许投递到其他地址。</w:t>
      </w:r>
    </w:p>
    <w:p w14:paraId="39B87B37">
      <w:pPr>
        <w:pStyle w:val="6"/>
        <w:widowControl w:val="0"/>
        <w:spacing w:line="360" w:lineRule="auto"/>
        <w:jc w:val="both"/>
        <w:rPr>
          <w:rFonts w:hint="default" w:ascii="宋体" w:hAnsi="宋体"/>
          <w:sz w:val="21"/>
          <w:szCs w:val="21"/>
        </w:rPr>
      </w:pPr>
      <w:r>
        <w:rPr>
          <w:rFonts w:ascii="宋体" w:hAnsi="宋体"/>
          <w:b/>
          <w:bCs/>
          <w:snapToGrid w:val="0"/>
          <w:kern w:val="2"/>
          <w:sz w:val="21"/>
          <w:szCs w:val="21"/>
        </w:rPr>
        <w:t>2.商务条款</w:t>
      </w:r>
    </w:p>
    <w:p w14:paraId="41E47A3F">
      <w:pPr>
        <w:pStyle w:val="6"/>
        <w:widowControl w:val="0"/>
        <w:spacing w:line="360" w:lineRule="auto"/>
        <w:ind w:firstLine="350"/>
        <w:jc w:val="both"/>
        <w:rPr>
          <w:rFonts w:hint="default" w:ascii="宋体" w:hAnsi="宋体"/>
          <w:color w:val="0D0D0D" w:themeColor="text1" w:themeTint="F2"/>
          <w:sz w:val="21"/>
          <w:szCs w:val="21"/>
          <w:highlight w:val="none"/>
          <w14:textFill>
            <w14:solidFill>
              <w14:schemeClr w14:val="tx1">
                <w14:lumMod w14:val="95000"/>
                <w14:lumOff w14:val="5000"/>
              </w14:schemeClr>
            </w14:solidFill>
          </w14:textFill>
        </w:rPr>
      </w:pPr>
      <w:r>
        <w:rPr>
          <w:rFonts w:ascii="宋体" w:hAnsi="宋体"/>
          <w:color w:val="0D0D0D" w:themeColor="text1" w:themeTint="F2"/>
          <w:sz w:val="21"/>
          <w:szCs w:val="21"/>
          <w14:textFill>
            <w14:solidFill>
              <w14:schemeClr w14:val="tx1">
                <w14:lumMod w14:val="95000"/>
                <w14:lumOff w14:val="5000"/>
              </w14:schemeClr>
            </w14:solidFill>
          </w14:textFill>
        </w:rPr>
        <w:t>（1）标的清单合计金额等于分项报价明细表中同城+省内异地（除同城）+省际之和。</w:t>
      </w:r>
      <w:r>
        <w:rPr>
          <w:rFonts w:hint="eastAsia" w:ascii="宋体" w:hAnsi="宋体"/>
          <w:color w:val="0D0D0D" w:themeColor="text1" w:themeTint="F2"/>
          <w:sz w:val="21"/>
          <w:szCs w:val="21"/>
          <w:lang w:val="en-US" w:eastAsia="zh-CN"/>
          <w14:textFill>
            <w14:solidFill>
              <w14:schemeClr w14:val="tx1">
                <w14:lumMod w14:val="95000"/>
                <w14:lumOff w14:val="5000"/>
              </w14:schemeClr>
            </w14:solidFill>
          </w14:textFill>
        </w:rPr>
        <w:t>分项报价表</w:t>
      </w:r>
      <w:r>
        <w:rPr>
          <w:rFonts w:ascii="宋体" w:hAnsi="宋体"/>
          <w:color w:val="0D0D0D" w:themeColor="text1" w:themeTint="F2"/>
          <w:sz w:val="21"/>
          <w:szCs w:val="21"/>
          <w14:textFill>
            <w14:solidFill>
              <w14:schemeClr w14:val="tx1">
                <w14:lumMod w14:val="95000"/>
                <w14:lumOff w14:val="5000"/>
              </w14:schemeClr>
            </w14:solidFill>
          </w14:textFill>
        </w:rPr>
        <w:t>最后报价按降价比例（最后一次总报价/首次总报价）进行调整，调整后单价在合同执行过程中是固定不</w:t>
      </w:r>
      <w:r>
        <w:rPr>
          <w:rFonts w:ascii="宋体" w:hAnsi="宋体"/>
          <w:color w:val="0D0D0D" w:themeColor="text1" w:themeTint="F2"/>
          <w:sz w:val="21"/>
          <w:szCs w:val="21"/>
          <w:highlight w:val="none"/>
          <w14:textFill>
            <w14:solidFill>
              <w14:schemeClr w14:val="tx1">
                <w14:lumMod w14:val="95000"/>
                <w14:lumOff w14:val="5000"/>
              </w14:schemeClr>
            </w14:solidFill>
          </w14:textFill>
        </w:rPr>
        <w:t>变的，不得以任何理由予以变更。</w:t>
      </w:r>
    </w:p>
    <w:p w14:paraId="177288C8">
      <w:pPr>
        <w:pStyle w:val="6"/>
        <w:widowControl w:val="0"/>
        <w:spacing w:line="360" w:lineRule="auto"/>
        <w:ind w:firstLine="350"/>
        <w:jc w:val="both"/>
        <w:rPr>
          <w:rFonts w:hint="default" w:ascii="宋体" w:hAnsi="宋体"/>
          <w:sz w:val="21"/>
          <w:szCs w:val="21"/>
          <w:highlight w:val="none"/>
          <w:lang w:val="en-US" w:eastAsia="zh-CN"/>
        </w:rPr>
      </w:pPr>
      <w:r>
        <w:rPr>
          <w:rFonts w:hint="eastAsia" w:ascii="宋体" w:hAnsi="宋体"/>
          <w:sz w:val="21"/>
          <w:szCs w:val="21"/>
          <w:highlight w:val="none"/>
          <w:lang w:val="en-US" w:eastAsia="zh-CN"/>
        </w:rPr>
        <w:t>（2）本项目</w:t>
      </w:r>
      <w:r>
        <w:rPr>
          <w:rFonts w:hint="default" w:ascii="宋体" w:hAnsi="宋体"/>
          <w:sz w:val="21"/>
          <w:szCs w:val="21"/>
          <w:highlight w:val="none"/>
        </w:rPr>
        <w:t>单价限价：同城20元/件,省内异地30元/件、省际30元/件，</w:t>
      </w:r>
      <w:r>
        <w:rPr>
          <w:rFonts w:hint="eastAsia" w:ascii="宋体" w:hAnsi="宋体"/>
          <w:sz w:val="21"/>
          <w:szCs w:val="21"/>
          <w:highlight w:val="none"/>
          <w:lang w:val="en-US" w:eastAsia="zh-CN"/>
        </w:rPr>
        <w:t>单价限价合计为80元，</w:t>
      </w:r>
      <w:r>
        <w:rPr>
          <w:rFonts w:hint="default" w:ascii="宋体" w:hAnsi="宋体"/>
          <w:sz w:val="21"/>
          <w:szCs w:val="21"/>
          <w:highlight w:val="none"/>
        </w:rPr>
        <w:t>重量均为 500g/件</w:t>
      </w:r>
      <w:r>
        <w:rPr>
          <w:rFonts w:hint="eastAsia" w:ascii="宋体" w:hAnsi="宋体"/>
          <w:sz w:val="21"/>
          <w:szCs w:val="21"/>
          <w:highlight w:val="none"/>
          <w:lang w:eastAsia="zh-CN"/>
        </w:rPr>
        <w:t>。</w:t>
      </w:r>
      <w:r>
        <w:rPr>
          <w:rFonts w:hint="eastAsia" w:ascii="宋体" w:hAnsi="宋体"/>
          <w:sz w:val="21"/>
          <w:szCs w:val="21"/>
          <w:highlight w:val="none"/>
          <w:lang w:val="en-US" w:eastAsia="zh-CN"/>
        </w:rPr>
        <w:t>供应商报价超过限价则按无效响应处理。</w:t>
      </w:r>
    </w:p>
    <w:p w14:paraId="7F196364">
      <w:pPr>
        <w:pStyle w:val="6"/>
        <w:widowControl w:val="0"/>
        <w:spacing w:line="360" w:lineRule="auto"/>
        <w:ind w:firstLine="350"/>
        <w:jc w:val="both"/>
        <w:rPr>
          <w:rFonts w:ascii="宋体" w:hAnsi="宋体"/>
          <w:sz w:val="21"/>
          <w:szCs w:val="21"/>
        </w:rPr>
      </w:pPr>
      <w:r>
        <w:rPr>
          <w:rFonts w:ascii="宋体" w:hAnsi="宋体"/>
          <w:color w:val="000000"/>
          <w:sz w:val="21"/>
          <w:szCs w:val="21"/>
        </w:rPr>
        <w:t>（</w:t>
      </w:r>
      <w:r>
        <w:rPr>
          <w:rFonts w:hint="eastAsia" w:ascii="宋体" w:hAnsi="宋体"/>
          <w:color w:val="000000"/>
          <w:sz w:val="21"/>
          <w:szCs w:val="21"/>
          <w:lang w:val="en-US" w:eastAsia="zh-CN"/>
        </w:rPr>
        <w:t>3</w:t>
      </w:r>
      <w:r>
        <w:rPr>
          <w:rFonts w:ascii="宋体" w:hAnsi="宋体"/>
          <w:color w:val="000000"/>
          <w:sz w:val="21"/>
          <w:szCs w:val="21"/>
        </w:rPr>
        <w:t>）</w:t>
      </w:r>
      <w:r>
        <w:rPr>
          <w:rFonts w:ascii="宋体" w:hAnsi="宋体"/>
          <w:sz w:val="21"/>
          <w:szCs w:val="21"/>
        </w:rPr>
        <w:t>其他详见采购文件3.3商务要求。</w:t>
      </w:r>
    </w:p>
    <w:p w14:paraId="68D35B77">
      <w:pPr>
        <w:pStyle w:val="6"/>
        <w:widowControl w:val="0"/>
        <w:spacing w:line="360" w:lineRule="auto"/>
        <w:jc w:val="both"/>
        <w:rPr>
          <w:rFonts w:hint="default" w:ascii="宋体" w:hAnsi="宋体"/>
          <w:color w:val="000000"/>
          <w:sz w:val="21"/>
          <w:szCs w:val="21"/>
        </w:rPr>
      </w:pPr>
      <w:r>
        <w:rPr>
          <w:rFonts w:ascii="宋体" w:hAnsi="宋体"/>
          <w:b/>
          <w:bCs/>
          <w:color w:val="000000"/>
          <w:sz w:val="21"/>
          <w:szCs w:val="21"/>
        </w:rPr>
        <w:t>3.服务、产品（如有）执行的标准、规范：</w:t>
      </w:r>
    </w:p>
    <w:p w14:paraId="4D8F265C">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（1）国家标准、规范/；</w:t>
      </w:r>
    </w:p>
    <w:p w14:paraId="6C5F4583">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（2）行业标准、规范/；</w:t>
      </w:r>
    </w:p>
    <w:p w14:paraId="03862E31">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（3）地方标准、规范/；</w:t>
      </w:r>
    </w:p>
    <w:p w14:paraId="71AD8A5A">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（4）团体标准、规范/；</w:t>
      </w:r>
    </w:p>
    <w:p w14:paraId="760E222E">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（5）企业标准、规范/。</w:t>
      </w:r>
    </w:p>
    <w:p w14:paraId="16D4C31B">
      <w:pPr>
        <w:pStyle w:val="6"/>
        <w:widowControl w:val="0"/>
        <w:spacing w:line="360" w:lineRule="auto"/>
        <w:jc w:val="both"/>
        <w:rPr>
          <w:rFonts w:hint="default" w:ascii="宋体" w:hAnsi="宋体"/>
          <w:b/>
          <w:bCs/>
          <w:color w:val="000000"/>
          <w:sz w:val="21"/>
          <w:szCs w:val="21"/>
        </w:rPr>
      </w:pPr>
      <w:r>
        <w:rPr>
          <w:rFonts w:ascii="宋体" w:hAnsi="宋体"/>
          <w:b/>
          <w:bCs/>
          <w:color w:val="000000"/>
          <w:sz w:val="21"/>
          <w:szCs w:val="21"/>
        </w:rPr>
        <w:t>4.本章第</w:t>
      </w:r>
      <w:r>
        <w:rPr>
          <w:rFonts w:ascii="宋体" w:hAnsi="宋体"/>
          <w:b/>
          <w:bCs/>
          <w:color w:val="000000"/>
          <w:sz w:val="21"/>
          <w:szCs w:val="21"/>
          <w:u w:val="single"/>
        </w:rPr>
        <w:t>3</w:t>
      </w:r>
      <w:r>
        <w:rPr>
          <w:rFonts w:ascii="宋体" w:hAnsi="宋体"/>
          <w:b/>
          <w:bCs/>
          <w:color w:val="000000"/>
          <w:sz w:val="21"/>
          <w:szCs w:val="21"/>
        </w:rPr>
        <w:t>条款未明确服务（产品）执行标准、规范的，按下列方法进行选择：</w:t>
      </w:r>
    </w:p>
    <w:p w14:paraId="0C8342CF">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□顺序执行： 国家标准→行业标准→地方标准→ 团体标准→企业 标 准（有国家标准按国家标准执行，没有国家标准按行业标准， 以此类推）；</w:t>
      </w:r>
    </w:p>
    <w:p w14:paraId="1D18D184">
      <w:pPr>
        <w:pStyle w:val="6"/>
        <w:widowControl w:val="0"/>
        <w:spacing w:line="360" w:lineRule="auto"/>
        <w:ind w:firstLine="350"/>
        <w:jc w:val="both"/>
        <w:rPr>
          <w:rFonts w:hint="default" w:ascii="宋体" w:hAnsi="宋体"/>
          <w:color w:val="000000"/>
          <w:sz w:val="21"/>
          <w:szCs w:val="21"/>
        </w:rPr>
      </w:pPr>
      <w:r>
        <w:rPr>
          <w:rFonts w:ascii="宋体" w:hAnsi="宋体"/>
          <w:color w:val="000000"/>
          <w:sz w:val="21"/>
          <w:szCs w:val="21"/>
        </w:rPr>
        <w:t>□最高标准执行：国家标准，行业标准，地方标准，团体标准，企业标准（哪个标准高执行哪个标准）</w:t>
      </w:r>
    </w:p>
    <w:p w14:paraId="7BC55444">
      <w:r>
        <w:rPr>
          <w:rFonts w:hint="eastAsia" w:ascii="宋体" w:hAnsi="宋体" w:eastAsia="宋体" w:cs="宋体"/>
          <w:lang w:eastAsia="zh-CN"/>
        </w:rPr>
        <w:t>☑必须执行：国家（行业）强制性标准。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E1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2026-06-10T10:20:21Z</dcterms:created>
  <dc:creator>LX</dc:creator>
  <cp:lastModifiedBy>哆啦A梦</cp:lastModifiedBy>
  <dcterms:modified xsi:type="dcterms:W3CDTF">2026-06-10T10:20:43Z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54189858461C4E5CB61CE7A8D4DC4226_12</vt:lpwstr>
  </property>
</Properties>
</file>