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900FFD">
      <w:pPr>
        <w:pStyle w:val="15"/>
        <w:jc w:val="center"/>
        <w:rPr>
          <w:rFonts w:hint="eastAsia" w:ascii="宋体" w:hAnsi="宋体" w:cs="宋体"/>
          <w:b/>
          <w:bCs w:val="0"/>
          <w:sz w:val="56"/>
          <w:szCs w:val="40"/>
          <w:lang w:val="en-US" w:eastAsia="zh-CN"/>
        </w:rPr>
      </w:pPr>
    </w:p>
    <w:p w14:paraId="6B501540">
      <w:pPr>
        <w:pStyle w:val="15"/>
        <w:jc w:val="center"/>
        <w:rPr>
          <w:rFonts w:ascii="宋体" w:hAnsi="宋体" w:eastAsia="宋体" w:cs="宋体"/>
          <w:bCs/>
          <w:sz w:val="112"/>
          <w:szCs w:val="56"/>
        </w:rPr>
      </w:pPr>
      <w:r>
        <w:rPr>
          <w:rFonts w:hint="eastAsia" w:ascii="宋体" w:hAnsi="宋体" w:cs="宋体"/>
          <w:b/>
          <w:bCs w:val="0"/>
          <w:sz w:val="56"/>
          <w:szCs w:val="40"/>
          <w:lang w:val="en-US" w:eastAsia="zh-CN"/>
        </w:rPr>
        <w:t>延安职业技术学院2026年度数字化教学资源建设与运行服务项目（二标包）</w:t>
      </w:r>
    </w:p>
    <w:p w14:paraId="06DF36D5">
      <w:pPr>
        <w:pStyle w:val="5"/>
        <w:rPr>
          <w:rFonts w:ascii="宋体" w:hAnsi="宋体" w:eastAsia="宋体" w:cs="宋体"/>
          <w:bCs/>
          <w:sz w:val="72"/>
          <w:szCs w:val="48"/>
        </w:rPr>
      </w:pPr>
    </w:p>
    <w:p w14:paraId="68097AA1">
      <w:pPr>
        <w:pStyle w:val="9"/>
      </w:pPr>
    </w:p>
    <w:p w14:paraId="31D60169"/>
    <w:p w14:paraId="21FF3AFF">
      <w:pPr>
        <w:snapToGrid w:val="0"/>
        <w:jc w:val="center"/>
        <w:rPr>
          <w:rFonts w:ascii="宋体" w:hAnsi="宋体" w:eastAsia="宋体" w:cs="宋体"/>
          <w:b/>
          <w:bCs w:val="0"/>
          <w:color w:val="auto"/>
          <w:sz w:val="72"/>
          <w:szCs w:val="48"/>
        </w:rPr>
      </w:pPr>
      <w:r>
        <w:rPr>
          <w:rFonts w:hint="eastAsia" w:ascii="宋体" w:hAnsi="宋体" w:eastAsia="宋体" w:cs="宋体"/>
          <w:b/>
          <w:bCs w:val="0"/>
          <w:color w:val="auto"/>
          <w:sz w:val="72"/>
          <w:szCs w:val="48"/>
        </w:rPr>
        <w:t>竞争性</w:t>
      </w:r>
      <w:r>
        <w:rPr>
          <w:rFonts w:hint="eastAsia" w:ascii="宋体" w:hAnsi="宋体" w:eastAsia="宋体" w:cs="宋体"/>
          <w:b/>
          <w:bCs w:val="0"/>
          <w:color w:val="auto"/>
          <w:sz w:val="72"/>
          <w:szCs w:val="48"/>
          <w:lang w:val="en-US" w:eastAsia="zh-CN"/>
        </w:rPr>
        <w:t>磋商</w:t>
      </w:r>
      <w:r>
        <w:rPr>
          <w:rFonts w:hint="eastAsia" w:ascii="宋体" w:hAnsi="宋体" w:eastAsia="宋体" w:cs="宋体"/>
          <w:b/>
          <w:bCs w:val="0"/>
          <w:color w:val="auto"/>
          <w:sz w:val="72"/>
          <w:szCs w:val="48"/>
        </w:rPr>
        <w:t>文件</w:t>
      </w:r>
    </w:p>
    <w:p w14:paraId="7E75ED74">
      <w:pPr>
        <w:pStyle w:val="14"/>
        <w:spacing w:line="240" w:lineRule="auto"/>
        <w:ind w:firstLine="2249" w:firstLineChars="700"/>
        <w:jc w:val="both"/>
        <w:rPr>
          <w:rFonts w:ascii="宋体" w:hAnsi="宋体" w:eastAsia="宋体" w:cs="宋体"/>
          <w:b/>
          <w:bCs/>
          <w:color w:val="auto"/>
          <w:kern w:val="0"/>
          <w:sz w:val="32"/>
          <w:szCs w:val="32"/>
        </w:rPr>
      </w:pPr>
      <w:r>
        <w:rPr>
          <w:rFonts w:hint="eastAsia" w:ascii="宋体" w:hAnsi="宋体" w:eastAsia="宋体" w:cs="宋体"/>
          <w:b/>
          <w:bCs/>
          <w:color w:val="auto"/>
          <w:kern w:val="0"/>
          <w:sz w:val="32"/>
          <w:szCs w:val="32"/>
          <w:lang w:val="en-US" w:eastAsia="zh-CN"/>
        </w:rPr>
        <w:t>（项目编号</w:t>
      </w:r>
      <w:r>
        <w:rPr>
          <w:rFonts w:hint="eastAsia" w:ascii="宋体" w:hAnsi="宋体" w:eastAsia="宋体" w:cs="宋体"/>
          <w:b/>
          <w:bCs/>
          <w:color w:val="auto"/>
          <w:kern w:val="0"/>
          <w:sz w:val="32"/>
          <w:szCs w:val="32"/>
        </w:rPr>
        <w:t>：</w:t>
      </w:r>
      <w:r>
        <w:rPr>
          <w:rFonts w:hint="eastAsia" w:ascii="宋体" w:hAnsi="宋体" w:cs="宋体"/>
          <w:b/>
          <w:bCs/>
          <w:color w:val="auto"/>
          <w:kern w:val="0"/>
          <w:sz w:val="32"/>
          <w:szCs w:val="32"/>
          <w:lang w:eastAsia="zh-CN"/>
        </w:rPr>
        <w:t>YASC-2026-73</w:t>
      </w:r>
      <w:r>
        <w:rPr>
          <w:rFonts w:hint="eastAsia" w:ascii="宋体" w:hAnsi="宋体" w:eastAsia="宋体" w:cs="宋体"/>
          <w:b/>
          <w:bCs/>
          <w:color w:val="auto"/>
          <w:kern w:val="0"/>
          <w:sz w:val="32"/>
          <w:szCs w:val="32"/>
          <w:lang w:val="en-US" w:eastAsia="zh-CN"/>
        </w:rPr>
        <w:t>）</w:t>
      </w:r>
    </w:p>
    <w:p w14:paraId="26956C02">
      <w:pPr>
        <w:pStyle w:val="14"/>
        <w:rPr>
          <w:rFonts w:ascii="宋体" w:hAnsi="宋体" w:eastAsia="宋体" w:cs="宋体"/>
        </w:rPr>
      </w:pPr>
    </w:p>
    <w:p w14:paraId="00732A7D">
      <w:pPr>
        <w:pStyle w:val="14"/>
        <w:ind w:left="0" w:leftChars="0"/>
        <w:rPr>
          <w:rFonts w:ascii="宋体" w:hAnsi="宋体" w:eastAsia="宋体" w:cs="宋体"/>
        </w:rPr>
      </w:pPr>
    </w:p>
    <w:p w14:paraId="09B9CBBD">
      <w:pPr>
        <w:pStyle w:val="14"/>
        <w:ind w:left="0" w:leftChars="0"/>
        <w:rPr>
          <w:rFonts w:ascii="宋体" w:hAnsi="宋体" w:eastAsia="宋体" w:cs="宋体"/>
        </w:rPr>
      </w:pPr>
    </w:p>
    <w:p w14:paraId="58730A06">
      <w:pPr>
        <w:pStyle w:val="47"/>
        <w:rPr>
          <w:rFonts w:ascii="宋体" w:hAnsi="宋体" w:eastAsia="宋体" w:cs="宋体"/>
        </w:rPr>
      </w:pPr>
    </w:p>
    <w:p w14:paraId="6D079CCE">
      <w:pPr>
        <w:snapToGrid w:val="0"/>
        <w:spacing w:line="480" w:lineRule="auto"/>
        <w:ind w:left="420" w:firstLine="420"/>
        <w:rPr>
          <w:rFonts w:ascii="宋体" w:hAnsi="宋体" w:eastAsia="宋体" w:cs="宋体"/>
          <w:b/>
          <w:bCs/>
          <w:sz w:val="36"/>
          <w:szCs w:val="44"/>
        </w:rPr>
      </w:pPr>
    </w:p>
    <w:p w14:paraId="3FB8AA89">
      <w:pPr>
        <w:ind w:firstLine="321" w:firstLineChars="100"/>
        <w:jc w:val="both"/>
        <w:rPr>
          <w:rFonts w:hint="eastAsia" w:ascii="宋体" w:hAnsi="宋体" w:eastAsia="宋体" w:cs="宋体"/>
          <w:b/>
          <w:bCs/>
          <w:color w:val="auto"/>
          <w:sz w:val="32"/>
          <w:szCs w:val="44"/>
          <w:lang w:eastAsia="zh-CN"/>
        </w:rPr>
      </w:pPr>
      <w:r>
        <w:rPr>
          <w:rFonts w:hint="eastAsia" w:ascii="宋体" w:hAnsi="宋体" w:eastAsia="宋体" w:cs="宋体"/>
          <w:b/>
          <w:bCs/>
          <w:color w:val="auto"/>
          <w:sz w:val="32"/>
          <w:szCs w:val="44"/>
          <w:lang w:val="en-US" w:eastAsia="zh-CN"/>
        </w:rPr>
        <w:t xml:space="preserve"> </w:t>
      </w:r>
      <w:r>
        <w:rPr>
          <w:rFonts w:hint="eastAsia" w:ascii="宋体" w:hAnsi="宋体" w:eastAsia="宋体" w:cs="宋体"/>
          <w:b/>
          <w:bCs/>
          <w:color w:val="auto"/>
          <w:sz w:val="32"/>
          <w:szCs w:val="44"/>
        </w:rPr>
        <w:t>采</w:t>
      </w:r>
      <w:r>
        <w:rPr>
          <w:rFonts w:hint="eastAsia" w:ascii="宋体" w:hAnsi="宋体" w:eastAsia="宋体" w:cs="宋体"/>
          <w:b/>
          <w:bCs/>
          <w:color w:val="auto"/>
          <w:sz w:val="32"/>
          <w:szCs w:val="44"/>
          <w:lang w:val="en-US" w:eastAsia="zh-CN"/>
        </w:rPr>
        <w:t xml:space="preserve">   </w:t>
      </w:r>
      <w:r>
        <w:rPr>
          <w:rFonts w:hint="eastAsia" w:ascii="宋体" w:hAnsi="宋体" w:eastAsia="宋体" w:cs="宋体"/>
          <w:b/>
          <w:bCs/>
          <w:color w:val="auto"/>
          <w:sz w:val="32"/>
          <w:szCs w:val="44"/>
        </w:rPr>
        <w:t>购</w:t>
      </w:r>
      <w:r>
        <w:rPr>
          <w:rFonts w:hint="eastAsia" w:ascii="宋体" w:hAnsi="宋体" w:eastAsia="宋体" w:cs="宋体"/>
          <w:b/>
          <w:bCs/>
          <w:color w:val="auto"/>
          <w:sz w:val="32"/>
          <w:szCs w:val="44"/>
          <w:lang w:val="en-US" w:eastAsia="zh-CN"/>
        </w:rPr>
        <w:t xml:space="preserve">   </w:t>
      </w:r>
      <w:r>
        <w:rPr>
          <w:rFonts w:hint="eastAsia" w:ascii="宋体" w:hAnsi="宋体" w:eastAsia="宋体" w:cs="宋体"/>
          <w:b/>
          <w:bCs/>
          <w:color w:val="auto"/>
          <w:sz w:val="32"/>
          <w:szCs w:val="44"/>
        </w:rPr>
        <w:t>人：</w:t>
      </w:r>
      <w:r>
        <w:rPr>
          <w:rFonts w:hint="eastAsia" w:ascii="宋体" w:hAnsi="宋体" w:cs="宋体"/>
          <w:b/>
          <w:bCs/>
          <w:color w:val="auto"/>
          <w:sz w:val="32"/>
          <w:szCs w:val="44"/>
          <w:lang w:val="en-US" w:eastAsia="zh-CN"/>
        </w:rPr>
        <w:t>延安职业技术学院</w:t>
      </w:r>
    </w:p>
    <w:p w14:paraId="03623A36">
      <w:pPr>
        <w:rPr>
          <w:rFonts w:hint="eastAsia" w:ascii="宋体" w:hAnsi="宋体" w:eastAsia="宋体" w:cs="宋体"/>
          <w:b/>
          <w:bCs/>
          <w:color w:val="auto"/>
          <w:sz w:val="32"/>
          <w:szCs w:val="44"/>
          <w:lang w:val="en-US" w:eastAsia="zh-CN"/>
        </w:rPr>
      </w:pPr>
      <w:r>
        <w:rPr>
          <w:rFonts w:hint="eastAsia" w:ascii="宋体" w:hAnsi="宋体" w:eastAsia="宋体" w:cs="宋体"/>
          <w:b/>
          <w:bCs/>
          <w:color w:val="auto"/>
          <w:sz w:val="32"/>
          <w:szCs w:val="44"/>
          <w:lang w:val="en-US" w:eastAsia="zh-CN"/>
        </w:rPr>
        <w:t xml:space="preserve"> </w:t>
      </w:r>
    </w:p>
    <w:p w14:paraId="1DE7A0D0">
      <w:pPr>
        <w:rPr>
          <w:rFonts w:hint="eastAsia" w:ascii="宋体" w:hAnsi="宋体" w:eastAsia="宋体" w:cs="宋体"/>
          <w:b/>
          <w:bCs/>
          <w:color w:val="auto"/>
          <w:sz w:val="28"/>
        </w:rPr>
      </w:pPr>
      <w:r>
        <w:rPr>
          <w:rFonts w:hint="eastAsia" w:ascii="宋体" w:hAnsi="宋体" w:eastAsia="宋体" w:cs="宋体"/>
          <w:b/>
          <w:bCs/>
          <w:color w:val="auto"/>
          <w:sz w:val="32"/>
          <w:szCs w:val="44"/>
          <w:lang w:val="en-US" w:eastAsia="zh-CN"/>
        </w:rPr>
        <w:t xml:space="preserve">   </w:t>
      </w:r>
      <w:r>
        <w:rPr>
          <w:rFonts w:hint="eastAsia" w:ascii="宋体" w:hAnsi="宋体" w:eastAsia="宋体" w:cs="宋体"/>
          <w:b/>
          <w:bCs/>
          <w:color w:val="auto"/>
          <w:sz w:val="32"/>
          <w:szCs w:val="44"/>
        </w:rPr>
        <w:t>采购代理机构：</w:t>
      </w:r>
      <w:r>
        <w:rPr>
          <w:rFonts w:hint="eastAsia" w:ascii="宋体" w:hAnsi="宋体" w:cs="宋体"/>
          <w:b/>
          <w:bCs/>
          <w:color w:val="auto"/>
          <w:sz w:val="32"/>
          <w:szCs w:val="44"/>
          <w:lang w:eastAsia="zh-CN"/>
        </w:rPr>
        <w:t>延安市宝塔区盛潮项目管理有限公司</w:t>
      </w:r>
    </w:p>
    <w:p w14:paraId="6E41CBE8">
      <w:pPr>
        <w:rPr>
          <w:rFonts w:hint="eastAsia" w:ascii="宋体" w:hAnsi="宋体" w:eastAsia="宋体" w:cs="宋体"/>
          <w:b/>
          <w:bCs/>
          <w:color w:val="auto"/>
          <w:sz w:val="32"/>
          <w:szCs w:val="44"/>
          <w:lang w:eastAsia="zh-CN"/>
        </w:rPr>
      </w:pPr>
    </w:p>
    <w:p w14:paraId="6B6EBE06">
      <w:pPr>
        <w:rPr>
          <w:rFonts w:hint="eastAsia" w:ascii="宋体" w:hAnsi="宋体" w:eastAsia="宋体" w:cs="宋体"/>
          <w:b/>
          <w:bCs/>
          <w:color w:val="auto"/>
          <w:sz w:val="32"/>
          <w:szCs w:val="44"/>
          <w:lang w:eastAsia="zh-CN"/>
        </w:rPr>
      </w:pPr>
      <w:r>
        <w:rPr>
          <w:rFonts w:hint="eastAsia" w:ascii="宋体" w:hAnsi="宋体" w:eastAsia="宋体" w:cs="宋体"/>
          <w:b/>
          <w:bCs/>
          <w:color w:val="auto"/>
          <w:sz w:val="32"/>
          <w:szCs w:val="44"/>
          <w:lang w:val="en-US" w:eastAsia="zh-CN"/>
        </w:rPr>
        <w:t xml:space="preserve">   日        期： 202</w:t>
      </w:r>
      <w:r>
        <w:rPr>
          <w:rFonts w:hint="eastAsia" w:ascii="宋体" w:hAnsi="宋体" w:cs="宋体"/>
          <w:b/>
          <w:bCs/>
          <w:color w:val="auto"/>
          <w:sz w:val="32"/>
          <w:szCs w:val="44"/>
          <w:lang w:val="en-US" w:eastAsia="zh-CN"/>
        </w:rPr>
        <w:t>6</w:t>
      </w:r>
      <w:r>
        <w:rPr>
          <w:rFonts w:hint="eastAsia" w:ascii="宋体" w:hAnsi="宋体" w:eastAsia="宋体" w:cs="宋体"/>
          <w:b/>
          <w:bCs/>
          <w:color w:val="auto"/>
          <w:sz w:val="32"/>
          <w:szCs w:val="44"/>
          <w:lang w:eastAsia="zh-CN"/>
        </w:rPr>
        <w:t>年</w:t>
      </w:r>
      <w:r>
        <w:rPr>
          <w:rFonts w:hint="eastAsia" w:ascii="宋体" w:hAnsi="宋体" w:cs="宋体"/>
          <w:b/>
          <w:bCs/>
          <w:color w:val="auto"/>
          <w:sz w:val="32"/>
          <w:szCs w:val="44"/>
          <w:lang w:val="en-US" w:eastAsia="zh-CN"/>
        </w:rPr>
        <w:t>10</w:t>
      </w:r>
      <w:r>
        <w:rPr>
          <w:rFonts w:hint="eastAsia" w:ascii="宋体" w:hAnsi="宋体" w:eastAsia="宋体" w:cs="宋体"/>
          <w:b/>
          <w:bCs/>
          <w:color w:val="auto"/>
          <w:sz w:val="32"/>
          <w:szCs w:val="44"/>
          <w:lang w:eastAsia="zh-CN"/>
        </w:rPr>
        <w:t>月</w:t>
      </w:r>
    </w:p>
    <w:p w14:paraId="3673FC48">
      <w:pPr>
        <w:jc w:val="center"/>
        <w:rPr>
          <w:rFonts w:hint="eastAsia" w:ascii="宋体" w:hAnsi="宋体" w:eastAsia="宋体" w:cs="宋体"/>
          <w:b/>
          <w:bCs/>
          <w:sz w:val="36"/>
          <w:szCs w:val="36"/>
          <w:highlight w:val="none"/>
        </w:rPr>
      </w:pPr>
    </w:p>
    <w:p w14:paraId="284CB2AA">
      <w:pPr>
        <w:pStyle w:val="9"/>
        <w:rPr>
          <w:rFonts w:hint="eastAsia" w:ascii="宋体" w:hAnsi="宋体" w:eastAsia="宋体" w:cs="宋体"/>
          <w:b/>
          <w:bCs/>
          <w:sz w:val="36"/>
          <w:szCs w:val="36"/>
          <w:highlight w:val="none"/>
        </w:rPr>
      </w:pPr>
    </w:p>
    <w:p w14:paraId="6D4BAEA0">
      <w:pPr>
        <w:rPr>
          <w:rFonts w:hint="eastAsia" w:ascii="宋体" w:hAnsi="宋体" w:eastAsia="宋体" w:cs="宋体"/>
          <w:b/>
          <w:bCs/>
          <w:sz w:val="36"/>
          <w:szCs w:val="36"/>
          <w:highlight w:val="none"/>
        </w:rPr>
      </w:pPr>
    </w:p>
    <w:p w14:paraId="74BB1874">
      <w:pPr>
        <w:pStyle w:val="9"/>
        <w:rPr>
          <w:rFonts w:hint="eastAsia" w:ascii="宋体" w:hAnsi="宋体" w:eastAsia="宋体" w:cs="宋体"/>
          <w:b/>
          <w:bCs/>
          <w:sz w:val="36"/>
          <w:szCs w:val="36"/>
          <w:highlight w:val="none"/>
        </w:rPr>
      </w:pPr>
    </w:p>
    <w:p w14:paraId="5EAF53CE">
      <w:pPr>
        <w:rPr>
          <w:rFonts w:hint="eastAsia" w:ascii="宋体" w:hAnsi="宋体" w:eastAsia="宋体" w:cs="宋体"/>
          <w:b/>
          <w:bCs/>
          <w:sz w:val="36"/>
          <w:szCs w:val="36"/>
          <w:highlight w:val="none"/>
        </w:rPr>
      </w:pPr>
    </w:p>
    <w:p w14:paraId="10767DEC">
      <w:pPr>
        <w:pStyle w:val="9"/>
        <w:rPr>
          <w:rFonts w:hint="eastAsia" w:ascii="宋体" w:hAnsi="宋体" w:eastAsia="宋体" w:cs="宋体"/>
          <w:b/>
          <w:bCs/>
          <w:sz w:val="36"/>
          <w:szCs w:val="36"/>
          <w:highlight w:val="none"/>
        </w:rPr>
      </w:pPr>
    </w:p>
    <w:p w14:paraId="7124BCB3">
      <w:pPr>
        <w:rPr>
          <w:rFonts w:hint="eastAsia" w:ascii="宋体" w:hAnsi="宋体" w:eastAsia="宋体" w:cs="宋体"/>
          <w:b/>
          <w:bCs/>
          <w:sz w:val="36"/>
          <w:szCs w:val="36"/>
          <w:highlight w:val="none"/>
        </w:rPr>
      </w:pPr>
    </w:p>
    <w:p w14:paraId="03BBCED6">
      <w:pPr>
        <w:pStyle w:val="9"/>
        <w:rPr>
          <w:rFonts w:hint="eastAsia" w:ascii="宋体" w:hAnsi="宋体" w:eastAsia="宋体" w:cs="宋体"/>
          <w:b/>
          <w:bCs/>
          <w:sz w:val="36"/>
          <w:szCs w:val="36"/>
          <w:highlight w:val="none"/>
        </w:rPr>
      </w:pPr>
    </w:p>
    <w:p w14:paraId="5454993E">
      <w:pPr>
        <w:rPr>
          <w:rFonts w:hint="eastAsia" w:ascii="宋体" w:hAnsi="宋体" w:eastAsia="宋体" w:cs="宋体"/>
          <w:b/>
          <w:bCs/>
          <w:sz w:val="36"/>
          <w:szCs w:val="36"/>
          <w:highlight w:val="none"/>
        </w:rPr>
      </w:pPr>
    </w:p>
    <w:p w14:paraId="0A3C2584">
      <w:pPr>
        <w:pStyle w:val="9"/>
        <w:rPr>
          <w:rFonts w:hint="eastAsia" w:ascii="宋体" w:hAnsi="宋体" w:eastAsia="宋体" w:cs="宋体"/>
          <w:b/>
          <w:bCs/>
          <w:sz w:val="36"/>
          <w:szCs w:val="36"/>
          <w:highlight w:val="none"/>
        </w:rPr>
      </w:pPr>
    </w:p>
    <w:p w14:paraId="080EA8E4">
      <w:pPr>
        <w:rPr>
          <w:rFonts w:hint="eastAsia" w:ascii="宋体" w:hAnsi="宋体" w:eastAsia="宋体" w:cs="宋体"/>
          <w:b/>
          <w:bCs/>
          <w:sz w:val="36"/>
          <w:szCs w:val="36"/>
          <w:highlight w:val="none"/>
        </w:rPr>
      </w:pPr>
    </w:p>
    <w:p w14:paraId="68190DD5">
      <w:pPr>
        <w:pStyle w:val="9"/>
        <w:rPr>
          <w:rFonts w:hint="eastAsia" w:ascii="宋体" w:hAnsi="宋体" w:eastAsia="宋体" w:cs="宋体"/>
          <w:b/>
          <w:bCs/>
          <w:sz w:val="36"/>
          <w:szCs w:val="36"/>
          <w:highlight w:val="none"/>
        </w:rPr>
      </w:pPr>
    </w:p>
    <w:p w14:paraId="3488A61D">
      <w:pPr>
        <w:rPr>
          <w:rFonts w:hint="eastAsia" w:ascii="宋体" w:hAnsi="宋体" w:eastAsia="宋体" w:cs="宋体"/>
          <w:b/>
          <w:bCs/>
          <w:sz w:val="36"/>
          <w:szCs w:val="36"/>
          <w:highlight w:val="none"/>
        </w:rPr>
      </w:pPr>
    </w:p>
    <w:p w14:paraId="5D2812EB">
      <w:pPr>
        <w:pStyle w:val="9"/>
        <w:rPr>
          <w:rFonts w:hint="eastAsia" w:ascii="宋体" w:hAnsi="宋体" w:eastAsia="宋体" w:cs="宋体"/>
          <w:b/>
          <w:bCs/>
          <w:sz w:val="36"/>
          <w:szCs w:val="36"/>
          <w:highlight w:val="none"/>
        </w:rPr>
      </w:pPr>
    </w:p>
    <w:p w14:paraId="7FBF40B7">
      <w:pPr>
        <w:rPr>
          <w:rFonts w:hint="eastAsia" w:ascii="宋体" w:hAnsi="宋体" w:eastAsia="宋体" w:cs="宋体"/>
          <w:b/>
          <w:bCs/>
          <w:sz w:val="36"/>
          <w:szCs w:val="36"/>
          <w:highlight w:val="none"/>
        </w:rPr>
      </w:pPr>
    </w:p>
    <w:p w14:paraId="47ECA52D">
      <w:pPr>
        <w:pStyle w:val="9"/>
        <w:rPr>
          <w:rFonts w:hint="eastAsia" w:ascii="宋体" w:hAnsi="宋体" w:eastAsia="宋体" w:cs="宋体"/>
          <w:b/>
          <w:bCs/>
          <w:sz w:val="36"/>
          <w:szCs w:val="36"/>
          <w:highlight w:val="none"/>
        </w:rPr>
      </w:pPr>
    </w:p>
    <w:p w14:paraId="1DB7BAE0">
      <w:pPr>
        <w:rPr>
          <w:rFonts w:hint="eastAsia" w:ascii="宋体" w:hAnsi="宋体" w:eastAsia="宋体" w:cs="宋体"/>
          <w:b/>
          <w:bCs/>
          <w:sz w:val="36"/>
          <w:szCs w:val="36"/>
          <w:highlight w:val="none"/>
        </w:rPr>
      </w:pPr>
    </w:p>
    <w:p w14:paraId="59D3F842">
      <w:pPr>
        <w:pStyle w:val="9"/>
        <w:rPr>
          <w:rFonts w:hint="eastAsia" w:ascii="宋体" w:hAnsi="宋体" w:eastAsia="宋体" w:cs="宋体"/>
          <w:b/>
          <w:bCs/>
          <w:sz w:val="36"/>
          <w:szCs w:val="36"/>
          <w:highlight w:val="none"/>
        </w:rPr>
      </w:pPr>
    </w:p>
    <w:p w14:paraId="0C137BC6">
      <w:pPr>
        <w:rPr>
          <w:rFonts w:hint="eastAsia" w:ascii="宋体" w:hAnsi="宋体" w:eastAsia="宋体" w:cs="宋体"/>
          <w:b/>
          <w:bCs/>
          <w:sz w:val="36"/>
          <w:szCs w:val="36"/>
          <w:highlight w:val="none"/>
        </w:rPr>
      </w:pPr>
    </w:p>
    <w:p w14:paraId="3F341746">
      <w:pPr>
        <w:pStyle w:val="9"/>
        <w:rPr>
          <w:rFonts w:hint="eastAsia" w:ascii="宋体" w:hAnsi="宋体" w:eastAsia="宋体" w:cs="宋体"/>
          <w:b/>
          <w:bCs/>
          <w:sz w:val="36"/>
          <w:szCs w:val="36"/>
          <w:highlight w:val="none"/>
        </w:rPr>
      </w:pPr>
    </w:p>
    <w:p w14:paraId="2827C7BC">
      <w:pPr>
        <w:rPr>
          <w:rFonts w:hint="eastAsia" w:ascii="宋体" w:hAnsi="宋体" w:eastAsia="宋体" w:cs="宋体"/>
          <w:b/>
          <w:bCs/>
          <w:sz w:val="36"/>
          <w:szCs w:val="36"/>
          <w:highlight w:val="none"/>
        </w:rPr>
      </w:pPr>
    </w:p>
    <w:p w14:paraId="27615562">
      <w:pPr>
        <w:pStyle w:val="9"/>
        <w:rPr>
          <w:rFonts w:hint="eastAsia" w:ascii="宋体" w:hAnsi="宋体" w:eastAsia="宋体" w:cs="宋体"/>
          <w:b/>
          <w:bCs/>
          <w:sz w:val="36"/>
          <w:szCs w:val="36"/>
          <w:highlight w:val="none"/>
        </w:rPr>
      </w:pPr>
    </w:p>
    <w:p w14:paraId="45116D24">
      <w:pPr>
        <w:jc w:val="center"/>
        <w:rPr>
          <w:rFonts w:hint="eastAsia" w:ascii="宋体" w:hAnsi="宋体" w:eastAsia="宋体" w:cs="宋体"/>
          <w:b/>
          <w:bCs/>
          <w:sz w:val="36"/>
          <w:szCs w:val="36"/>
          <w:highlight w:val="none"/>
        </w:rPr>
      </w:pPr>
    </w:p>
    <w:p w14:paraId="39F9295C">
      <w:pPr>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目  录</w:t>
      </w:r>
    </w:p>
    <w:p w14:paraId="332BB64C">
      <w:pPr>
        <w:ind w:firstLine="420"/>
        <w:rPr>
          <w:rFonts w:hint="eastAsia" w:ascii="宋体" w:hAnsi="宋体" w:eastAsia="宋体" w:cs="宋体"/>
          <w:sz w:val="28"/>
          <w:szCs w:val="28"/>
          <w:highlight w:val="none"/>
        </w:rPr>
      </w:pPr>
    </w:p>
    <w:p w14:paraId="792F34B3">
      <w:pPr>
        <w:spacing w:line="480" w:lineRule="auto"/>
        <w:ind w:firstLine="562" w:firstLineChars="200"/>
        <w:rPr>
          <w:rFonts w:hint="eastAsia" w:ascii="宋体" w:hAnsi="宋体" w:eastAsia="宋体" w:cs="宋体"/>
          <w:b/>
          <w:sz w:val="28"/>
          <w:szCs w:val="28"/>
          <w:highlight w:val="none"/>
        </w:rPr>
      </w:pPr>
      <w:r>
        <w:rPr>
          <w:rFonts w:hint="eastAsia" w:ascii="宋体" w:hAnsi="宋体" w:eastAsia="宋体" w:cs="宋体"/>
          <w:b/>
          <w:sz w:val="28"/>
          <w:szCs w:val="28"/>
          <w:highlight w:val="none"/>
        </w:rPr>
        <w:t>第一部分  磋商</w:t>
      </w:r>
      <w:r>
        <w:rPr>
          <w:rFonts w:hint="eastAsia" w:ascii="宋体" w:hAnsi="宋体" w:eastAsia="宋体" w:cs="宋体"/>
          <w:b/>
          <w:sz w:val="28"/>
          <w:szCs w:val="28"/>
          <w:highlight w:val="none"/>
          <w:lang w:val="en-US" w:eastAsia="zh-CN"/>
        </w:rPr>
        <w:t>公告</w:t>
      </w:r>
      <w:r>
        <w:rPr>
          <w:rFonts w:hint="eastAsia" w:ascii="宋体" w:hAnsi="宋体" w:eastAsia="宋体" w:cs="宋体"/>
          <w:b/>
          <w:sz w:val="28"/>
          <w:szCs w:val="28"/>
          <w:highlight w:val="none"/>
        </w:rPr>
        <w:t xml:space="preserve"> </w:t>
      </w:r>
    </w:p>
    <w:p w14:paraId="1924B8BA">
      <w:pPr>
        <w:spacing w:line="480" w:lineRule="auto"/>
        <w:ind w:firstLine="562" w:firstLineChars="200"/>
        <w:rPr>
          <w:rFonts w:hint="eastAsia" w:ascii="宋体" w:hAnsi="宋体" w:eastAsia="宋体" w:cs="宋体"/>
          <w:b/>
          <w:sz w:val="28"/>
          <w:szCs w:val="28"/>
          <w:highlight w:val="none"/>
        </w:rPr>
      </w:pPr>
    </w:p>
    <w:p w14:paraId="7D1C86D3">
      <w:pPr>
        <w:spacing w:line="480" w:lineRule="auto"/>
        <w:ind w:firstLine="562" w:firstLineChars="20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第二部分  </w:t>
      </w:r>
      <w:r>
        <w:rPr>
          <w:rFonts w:hint="eastAsia" w:ascii="宋体" w:hAnsi="宋体" w:eastAsia="宋体" w:cs="宋体"/>
          <w:b/>
          <w:sz w:val="28"/>
          <w:szCs w:val="28"/>
          <w:highlight w:val="none"/>
          <w:lang w:eastAsia="zh-CN"/>
        </w:rPr>
        <w:t>供应商</w:t>
      </w:r>
      <w:r>
        <w:rPr>
          <w:rFonts w:hint="eastAsia" w:ascii="宋体" w:hAnsi="宋体" w:eastAsia="宋体" w:cs="宋体"/>
          <w:b/>
          <w:sz w:val="28"/>
          <w:szCs w:val="28"/>
          <w:highlight w:val="none"/>
        </w:rPr>
        <w:t>须知</w:t>
      </w:r>
    </w:p>
    <w:p w14:paraId="3846567B">
      <w:pPr>
        <w:spacing w:line="480" w:lineRule="auto"/>
        <w:ind w:firstLine="562" w:firstLineChars="200"/>
        <w:rPr>
          <w:rFonts w:hint="eastAsia" w:ascii="宋体" w:hAnsi="宋体" w:eastAsia="宋体" w:cs="宋体"/>
          <w:b/>
          <w:sz w:val="28"/>
          <w:szCs w:val="28"/>
          <w:highlight w:val="none"/>
        </w:rPr>
      </w:pPr>
    </w:p>
    <w:p w14:paraId="47B838A5">
      <w:pPr>
        <w:spacing w:line="480" w:lineRule="auto"/>
        <w:ind w:firstLine="562" w:firstLineChars="200"/>
        <w:rPr>
          <w:rFonts w:hint="eastAsia" w:ascii="宋体" w:hAnsi="宋体" w:eastAsia="宋体" w:cs="宋体"/>
          <w:b/>
          <w:color w:val="FF0000"/>
          <w:sz w:val="28"/>
          <w:szCs w:val="28"/>
          <w:highlight w:val="none"/>
        </w:rPr>
      </w:pPr>
      <w:r>
        <w:rPr>
          <w:rFonts w:hint="eastAsia" w:ascii="宋体" w:hAnsi="宋体" w:eastAsia="宋体" w:cs="宋体"/>
          <w:b/>
          <w:sz w:val="28"/>
          <w:szCs w:val="28"/>
          <w:highlight w:val="none"/>
        </w:rPr>
        <w:t xml:space="preserve">第三部分  磋商内容及要求 </w:t>
      </w:r>
    </w:p>
    <w:p w14:paraId="755F105D">
      <w:pPr>
        <w:spacing w:line="480" w:lineRule="auto"/>
        <w:ind w:firstLine="562" w:firstLineChars="200"/>
        <w:rPr>
          <w:rFonts w:hint="eastAsia" w:ascii="宋体" w:hAnsi="宋体" w:eastAsia="宋体" w:cs="宋体"/>
          <w:b/>
          <w:sz w:val="28"/>
          <w:szCs w:val="28"/>
          <w:highlight w:val="none"/>
        </w:rPr>
      </w:pPr>
    </w:p>
    <w:p w14:paraId="57A88155">
      <w:pPr>
        <w:spacing w:line="480" w:lineRule="auto"/>
        <w:ind w:firstLine="562" w:firstLineChars="200"/>
        <w:rPr>
          <w:rFonts w:hint="eastAsia" w:ascii="宋体" w:hAnsi="宋体" w:eastAsia="宋体" w:cs="宋体"/>
          <w:sz w:val="28"/>
          <w:szCs w:val="28"/>
          <w:highlight w:val="none"/>
        </w:rPr>
      </w:pPr>
      <w:r>
        <w:rPr>
          <w:rFonts w:hint="eastAsia" w:ascii="宋体" w:hAnsi="宋体" w:eastAsia="宋体" w:cs="宋体"/>
          <w:b/>
          <w:sz w:val="28"/>
          <w:szCs w:val="28"/>
          <w:highlight w:val="none"/>
        </w:rPr>
        <w:t>第四部分  商务及合同主要条款</w:t>
      </w:r>
    </w:p>
    <w:p w14:paraId="25F58DD6">
      <w:pPr>
        <w:spacing w:line="480" w:lineRule="auto"/>
        <w:ind w:firstLine="562" w:firstLineChars="200"/>
        <w:rPr>
          <w:rFonts w:hint="eastAsia" w:ascii="宋体" w:hAnsi="宋体" w:eastAsia="宋体" w:cs="宋体"/>
          <w:b/>
          <w:sz w:val="28"/>
          <w:szCs w:val="28"/>
          <w:highlight w:val="none"/>
        </w:rPr>
      </w:pPr>
    </w:p>
    <w:p w14:paraId="78FCF093">
      <w:pPr>
        <w:spacing w:line="480" w:lineRule="auto"/>
        <w:ind w:firstLine="562" w:firstLineChars="20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第五部分  响应文件格式    </w:t>
      </w:r>
    </w:p>
    <w:p w14:paraId="47881680">
      <w:pPr>
        <w:spacing w:line="480" w:lineRule="auto"/>
        <w:ind w:firstLine="482" w:firstLineChars="200"/>
        <w:rPr>
          <w:rFonts w:hint="eastAsia" w:ascii="宋体" w:hAnsi="宋体" w:eastAsia="宋体" w:cs="宋体"/>
          <w:b/>
          <w:sz w:val="24"/>
          <w:szCs w:val="24"/>
          <w:highlight w:val="none"/>
        </w:rPr>
      </w:pPr>
    </w:p>
    <w:p w14:paraId="3B2B70F2">
      <w:pPr>
        <w:spacing w:line="480" w:lineRule="auto"/>
        <w:ind w:firstLine="482" w:firstLineChars="200"/>
        <w:rPr>
          <w:rFonts w:hint="eastAsia" w:ascii="宋体" w:hAnsi="宋体" w:eastAsia="宋体" w:cs="宋体"/>
          <w:b/>
          <w:sz w:val="24"/>
          <w:szCs w:val="24"/>
          <w:highlight w:val="none"/>
        </w:rPr>
        <w:sectPr>
          <w:footerReference r:id="rId6" w:type="first"/>
          <w:footerReference r:id="rId5" w:type="default"/>
          <w:pgSz w:w="11906" w:h="16838"/>
          <w:pgMar w:top="1418" w:right="986" w:bottom="1418" w:left="1440" w:header="851" w:footer="992" w:gutter="0"/>
          <w:pgNumType w:fmt="numberInDash" w:start="1"/>
          <w:cols w:space="720" w:num="1"/>
          <w:docGrid w:linePitch="326" w:charSpace="0"/>
        </w:sectPr>
      </w:pPr>
      <w:r>
        <w:rPr>
          <w:rFonts w:hint="eastAsia" w:ascii="宋体" w:hAnsi="宋体" w:eastAsia="宋体" w:cs="宋体"/>
          <w:b/>
          <w:sz w:val="24"/>
          <w:szCs w:val="24"/>
          <w:highlight w:val="none"/>
        </w:rPr>
        <w:t xml:space="preserve"> </w:t>
      </w:r>
    </w:p>
    <w:p w14:paraId="26588197">
      <w:pPr>
        <w:pStyle w:val="2"/>
        <w:spacing w:line="400" w:lineRule="exac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第一部分  磋商</w:t>
      </w:r>
      <w:r>
        <w:rPr>
          <w:rFonts w:hint="eastAsia" w:ascii="宋体" w:hAnsi="宋体" w:eastAsia="宋体" w:cs="宋体"/>
          <w:b/>
          <w:bCs/>
          <w:sz w:val="32"/>
          <w:szCs w:val="32"/>
          <w:highlight w:val="none"/>
          <w:lang w:val="en-US" w:eastAsia="zh-CN"/>
        </w:rPr>
        <w:t>公告</w:t>
      </w:r>
    </w:p>
    <w:p w14:paraId="3645173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eastAsia="宋体" w:cs="宋体"/>
          <w:b/>
          <w:sz w:val="24"/>
          <w:szCs w:val="24"/>
          <w:highlight w:val="none"/>
        </w:rPr>
        <w:t xml:space="preserve"> </w:t>
      </w:r>
      <w:r>
        <w:rPr>
          <w:rFonts w:hint="eastAsia" w:ascii="宋体" w:hAnsi="宋体" w:cs="宋体"/>
          <w:sz w:val="24"/>
        </w:rPr>
        <w:t>项目概况</w:t>
      </w:r>
    </w:p>
    <w:p w14:paraId="4B8DD57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lang w:eastAsia="zh-CN"/>
        </w:rPr>
        <w:t>延安职业技术学院2026年度数字化教学资源建设与运行服务项目</w:t>
      </w:r>
      <w:r>
        <w:rPr>
          <w:rFonts w:hint="eastAsia" w:ascii="宋体" w:hAnsi="宋体" w:cs="宋体"/>
          <w:sz w:val="24"/>
        </w:rPr>
        <w:t>的潜在供应商应在全国公共资源交易中心平台（陕西省·延安市）平台获取</w:t>
      </w:r>
      <w:r>
        <w:rPr>
          <w:rFonts w:hint="eastAsia" w:ascii="宋体" w:hAnsi="宋体" w:cs="宋体"/>
          <w:sz w:val="24"/>
          <w:lang w:val="en-US" w:eastAsia="zh-CN"/>
        </w:rPr>
        <w:t>采购</w:t>
      </w:r>
      <w:r>
        <w:rPr>
          <w:rFonts w:hint="eastAsia" w:ascii="宋体" w:hAnsi="宋体" w:cs="宋体"/>
          <w:sz w:val="24"/>
        </w:rPr>
        <w:t>文件，并于202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23</w:t>
      </w:r>
      <w:r>
        <w:rPr>
          <w:rFonts w:hint="eastAsia" w:ascii="宋体" w:hAnsi="宋体" w:cs="宋体"/>
          <w:sz w:val="24"/>
        </w:rPr>
        <w:t>日</w:t>
      </w:r>
      <w:r>
        <w:rPr>
          <w:rFonts w:hint="eastAsia" w:ascii="宋体" w:hAnsi="宋体" w:cs="宋体"/>
          <w:sz w:val="24"/>
          <w:lang w:val="en-US" w:eastAsia="zh-CN"/>
        </w:rPr>
        <w:t>10</w:t>
      </w:r>
      <w:r>
        <w:rPr>
          <w:rFonts w:hint="eastAsia" w:ascii="宋体" w:hAnsi="宋体" w:cs="宋体"/>
          <w:sz w:val="24"/>
        </w:rPr>
        <w:t>时</w:t>
      </w:r>
      <w:r>
        <w:rPr>
          <w:rFonts w:hint="eastAsia" w:ascii="宋体" w:hAnsi="宋体" w:cs="宋体"/>
          <w:sz w:val="24"/>
          <w:lang w:val="en-US" w:eastAsia="zh-CN"/>
        </w:rPr>
        <w:t>00</w:t>
      </w:r>
      <w:r>
        <w:rPr>
          <w:rFonts w:hint="eastAsia" w:ascii="宋体" w:hAnsi="宋体" w:cs="宋体"/>
          <w:sz w:val="24"/>
        </w:rPr>
        <w:t>分（北京时间）前递交响应文件。</w:t>
      </w:r>
    </w:p>
    <w:p w14:paraId="4CDCC28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一、项目基本情况</w:t>
      </w:r>
    </w:p>
    <w:p w14:paraId="559BC24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lang w:val="en-US" w:eastAsia="zh-CN"/>
        </w:rPr>
      </w:pPr>
      <w:r>
        <w:rPr>
          <w:rFonts w:hint="eastAsia" w:ascii="宋体" w:hAnsi="宋体" w:cs="宋体"/>
          <w:color w:val="auto"/>
          <w:sz w:val="24"/>
        </w:rPr>
        <w:t>项目编号：</w:t>
      </w:r>
      <w:r>
        <w:rPr>
          <w:rFonts w:hint="eastAsia" w:ascii="宋体" w:hAnsi="宋体" w:cs="宋体"/>
          <w:color w:val="auto"/>
          <w:sz w:val="24"/>
          <w:lang w:eastAsia="zh-CN"/>
        </w:rPr>
        <w:t>YASC-2026-73</w:t>
      </w:r>
    </w:p>
    <w:p w14:paraId="013BEEF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lang w:eastAsia="zh-CN"/>
        </w:rPr>
      </w:pPr>
      <w:r>
        <w:rPr>
          <w:rFonts w:hint="eastAsia" w:ascii="宋体" w:hAnsi="宋体" w:cs="宋体"/>
          <w:sz w:val="24"/>
        </w:rPr>
        <w:t>项目名称：</w:t>
      </w:r>
      <w:r>
        <w:rPr>
          <w:rFonts w:hint="eastAsia" w:ascii="宋体" w:hAnsi="宋体" w:cs="宋体"/>
          <w:sz w:val="24"/>
          <w:lang w:eastAsia="zh-CN"/>
        </w:rPr>
        <w:t>延安职业技术学院2026年度数字化教学资源建设与运行服务项目</w:t>
      </w:r>
    </w:p>
    <w:p w14:paraId="6E2A14D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rPr>
        <w:t>采购方式：竞争性磋商</w:t>
      </w:r>
    </w:p>
    <w:p w14:paraId="1B6CD6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rPr>
        <w:t>预算金额：</w:t>
      </w:r>
      <w:r>
        <w:rPr>
          <w:rFonts w:hint="eastAsia" w:ascii="宋体" w:hAnsi="宋体" w:cs="宋体"/>
          <w:sz w:val="24"/>
          <w:szCs w:val="24"/>
          <w:lang w:val="en-US" w:eastAsia="zh-CN"/>
        </w:rPr>
        <w:t>3344</w:t>
      </w:r>
      <w:r>
        <w:rPr>
          <w:rFonts w:hint="default" w:ascii="宋体" w:hAnsi="宋体" w:cs="宋体"/>
          <w:sz w:val="24"/>
          <w:szCs w:val="24"/>
          <w:lang w:val="en-US"/>
        </w:rPr>
        <w:t>00.00</w:t>
      </w:r>
      <w:r>
        <w:rPr>
          <w:rFonts w:hint="eastAsia" w:ascii="宋体" w:hAnsi="宋体" w:cs="宋体"/>
          <w:sz w:val="24"/>
        </w:rPr>
        <w:t>元</w:t>
      </w:r>
    </w:p>
    <w:p w14:paraId="621B034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bookmarkStart w:id="0" w:name="_Toc35393791"/>
      <w:bookmarkStart w:id="1" w:name="_Toc28359080"/>
      <w:bookmarkStart w:id="2" w:name="_Toc35393622"/>
      <w:bookmarkStart w:id="3" w:name="_Toc28359003"/>
      <w:r>
        <w:rPr>
          <w:rFonts w:hint="eastAsia" w:ascii="宋体" w:hAnsi="宋体" w:cs="宋体"/>
          <w:sz w:val="24"/>
        </w:rPr>
        <w:t>采购需求：</w:t>
      </w:r>
    </w:p>
    <w:p w14:paraId="1D569AE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rPr>
        <w:t>合同包1(</w:t>
      </w:r>
      <w:r>
        <w:rPr>
          <w:rFonts w:hint="eastAsia" w:ascii="宋体" w:hAnsi="宋体" w:cs="宋体"/>
          <w:sz w:val="24"/>
          <w:lang w:eastAsia="zh-CN"/>
        </w:rPr>
        <w:t>延安职业技术学院2026年度数字化教学资源建设与运行服务项目（</w:t>
      </w:r>
      <w:r>
        <w:rPr>
          <w:rFonts w:hint="eastAsia" w:ascii="宋体" w:hAnsi="宋体" w:cs="宋体"/>
          <w:sz w:val="24"/>
          <w:lang w:val="en-US" w:eastAsia="zh-CN"/>
        </w:rPr>
        <w:t>一标包</w:t>
      </w:r>
      <w:r>
        <w:rPr>
          <w:rFonts w:hint="eastAsia" w:ascii="宋体" w:hAnsi="宋体" w:cs="宋体"/>
          <w:sz w:val="24"/>
          <w:lang w:eastAsia="zh-CN"/>
        </w:rPr>
        <w:t>）</w:t>
      </w:r>
      <w:r>
        <w:rPr>
          <w:rFonts w:hint="eastAsia" w:ascii="宋体" w:hAnsi="宋体" w:cs="宋体"/>
          <w:sz w:val="24"/>
        </w:rPr>
        <w:t>):</w:t>
      </w:r>
    </w:p>
    <w:p w14:paraId="694B8D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rPr>
        <w:t>合同包预算金额：</w:t>
      </w:r>
      <w:r>
        <w:rPr>
          <w:rFonts w:hint="default" w:ascii="宋体" w:hAnsi="宋体" w:cs="宋体"/>
          <w:sz w:val="24"/>
          <w:szCs w:val="24"/>
          <w:lang w:val="en-US"/>
        </w:rPr>
        <w:t>157400.00</w:t>
      </w:r>
      <w:r>
        <w:rPr>
          <w:rFonts w:hint="eastAsia" w:ascii="宋体" w:hAnsi="宋体" w:cs="宋体"/>
          <w:sz w:val="24"/>
        </w:rPr>
        <w:t>元</w:t>
      </w:r>
    </w:p>
    <w:p w14:paraId="2D3E9FE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rPr>
        <w:t>合同包最高限价：</w:t>
      </w:r>
      <w:r>
        <w:rPr>
          <w:rFonts w:hint="default" w:ascii="宋体" w:hAnsi="宋体" w:cs="宋体"/>
          <w:sz w:val="24"/>
          <w:szCs w:val="24"/>
          <w:lang w:val="en-US"/>
        </w:rPr>
        <w:t>157400.00</w:t>
      </w:r>
      <w:r>
        <w:rPr>
          <w:rFonts w:hint="eastAsia" w:ascii="宋体" w:hAnsi="宋体" w:cs="宋体"/>
          <w:sz w:val="24"/>
        </w:rPr>
        <w:t>元</w:t>
      </w:r>
    </w:p>
    <w:tbl>
      <w:tblPr>
        <w:tblStyle w:val="23"/>
        <w:tblW w:w="9321" w:type="dxa"/>
        <w:tblInd w:w="-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25"/>
        <w:gridCol w:w="1700"/>
        <w:gridCol w:w="1775"/>
        <w:gridCol w:w="1222"/>
        <w:gridCol w:w="2048"/>
        <w:gridCol w:w="1851"/>
      </w:tblGrid>
      <w:tr w14:paraId="6F409B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4" w:hRule="atLeast"/>
        </w:trPr>
        <w:tc>
          <w:tcPr>
            <w:tcW w:w="7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BFEE7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品目号</w:t>
            </w:r>
          </w:p>
        </w:tc>
        <w:tc>
          <w:tcPr>
            <w:tcW w:w="170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89A7F7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品目名称</w:t>
            </w:r>
          </w:p>
        </w:tc>
        <w:tc>
          <w:tcPr>
            <w:tcW w:w="177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478387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采购标的</w:t>
            </w:r>
          </w:p>
        </w:tc>
        <w:tc>
          <w:tcPr>
            <w:tcW w:w="122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D8B754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数量</w:t>
            </w:r>
          </w:p>
          <w:p w14:paraId="06051EF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（单位）</w:t>
            </w:r>
          </w:p>
        </w:tc>
        <w:tc>
          <w:tcPr>
            <w:tcW w:w="204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05F4F5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技术规格、参数及要求</w:t>
            </w:r>
          </w:p>
        </w:tc>
        <w:tc>
          <w:tcPr>
            <w:tcW w:w="185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FEC7FA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品目预算(元)</w:t>
            </w:r>
          </w:p>
        </w:tc>
      </w:tr>
      <w:tr w14:paraId="7BDD2DC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31" w:hRule="atLeast"/>
        </w:trPr>
        <w:tc>
          <w:tcPr>
            <w:tcW w:w="7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D20BC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1-1</w:t>
            </w:r>
          </w:p>
        </w:tc>
        <w:tc>
          <w:tcPr>
            <w:tcW w:w="170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7D586A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教育课程研究与开发服务</w:t>
            </w:r>
          </w:p>
        </w:tc>
        <w:tc>
          <w:tcPr>
            <w:tcW w:w="177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2A632C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数字人课程教学资源</w:t>
            </w:r>
          </w:p>
        </w:tc>
        <w:tc>
          <w:tcPr>
            <w:tcW w:w="122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5D0B45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1(项)</w:t>
            </w:r>
          </w:p>
        </w:tc>
        <w:tc>
          <w:tcPr>
            <w:tcW w:w="204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78FF79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详见采购文件</w:t>
            </w:r>
          </w:p>
        </w:tc>
        <w:tc>
          <w:tcPr>
            <w:tcW w:w="185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A91DA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cs="宋体"/>
                <w:sz w:val="24"/>
                <w:szCs w:val="24"/>
                <w:lang w:val="en-US"/>
              </w:rPr>
            </w:pPr>
            <w:r>
              <w:rPr>
                <w:rFonts w:hint="default" w:ascii="宋体" w:hAnsi="宋体" w:cs="宋体"/>
                <w:sz w:val="24"/>
                <w:szCs w:val="24"/>
                <w:lang w:val="en-US"/>
              </w:rPr>
              <w:t>157400.00</w:t>
            </w:r>
          </w:p>
        </w:tc>
      </w:tr>
    </w:tbl>
    <w:p w14:paraId="420898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本合同包不接受联合体投标</w:t>
      </w:r>
    </w:p>
    <w:p w14:paraId="59EBC78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cs="宋体"/>
          <w:color w:val="auto"/>
          <w:sz w:val="24"/>
        </w:rPr>
        <w:t>合同履行期限：自签订合同之日起</w:t>
      </w:r>
      <w:r>
        <w:rPr>
          <w:rFonts w:hint="eastAsia" w:ascii="宋体" w:hAnsi="宋体" w:cs="宋体"/>
          <w:color w:val="auto"/>
          <w:sz w:val="24"/>
          <w:lang w:val="en-US" w:eastAsia="zh-CN"/>
        </w:rPr>
        <w:t>36</w:t>
      </w:r>
      <w:r>
        <w:rPr>
          <w:rFonts w:hint="eastAsia" w:ascii="宋体" w:hAnsi="宋体" w:cs="宋体"/>
          <w:color w:val="auto"/>
          <w:sz w:val="24"/>
        </w:rPr>
        <w:t>个月</w:t>
      </w:r>
      <w:r>
        <w:rPr>
          <w:rFonts w:hint="eastAsia" w:ascii="宋体" w:hAnsi="宋体" w:eastAsia="宋体" w:cs="宋体"/>
          <w:color w:val="auto"/>
          <w:sz w:val="24"/>
        </w:rPr>
        <w:t>。</w:t>
      </w:r>
    </w:p>
    <w:p w14:paraId="39B1F58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rPr>
        <w:t>合同包</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eastAsia="zh-CN"/>
        </w:rPr>
        <w:t>延安职业技术学院2026年度数字化教学资源建设与运行服务项目（</w:t>
      </w:r>
      <w:r>
        <w:rPr>
          <w:rFonts w:hint="eastAsia" w:ascii="宋体" w:hAnsi="宋体" w:cs="宋体"/>
          <w:sz w:val="24"/>
          <w:lang w:val="en-US" w:eastAsia="zh-CN"/>
        </w:rPr>
        <w:t>二标包</w:t>
      </w:r>
      <w:r>
        <w:rPr>
          <w:rFonts w:hint="eastAsia" w:ascii="宋体" w:hAnsi="宋体" w:cs="宋体"/>
          <w:sz w:val="24"/>
          <w:lang w:eastAsia="zh-CN"/>
        </w:rPr>
        <w:t>）</w:t>
      </w:r>
      <w:r>
        <w:rPr>
          <w:rFonts w:hint="eastAsia" w:ascii="宋体" w:hAnsi="宋体" w:cs="宋体"/>
          <w:sz w:val="24"/>
        </w:rPr>
        <w:t>):</w:t>
      </w:r>
    </w:p>
    <w:p w14:paraId="2177A95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rPr>
        <w:t>合同包预算金额：</w:t>
      </w:r>
      <w:r>
        <w:rPr>
          <w:rFonts w:hint="eastAsia" w:ascii="宋体" w:hAnsi="宋体" w:cs="宋体"/>
          <w:sz w:val="24"/>
          <w:szCs w:val="24"/>
          <w:lang w:val="en-US" w:eastAsia="zh-CN"/>
        </w:rPr>
        <w:t>177000.00</w:t>
      </w:r>
      <w:r>
        <w:rPr>
          <w:rFonts w:hint="eastAsia" w:ascii="宋体" w:hAnsi="宋体" w:cs="宋体"/>
          <w:sz w:val="24"/>
        </w:rPr>
        <w:t>元</w:t>
      </w:r>
    </w:p>
    <w:p w14:paraId="6C3CD5C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rPr>
        <w:t>合同包最高限价：</w:t>
      </w:r>
      <w:r>
        <w:rPr>
          <w:rFonts w:hint="eastAsia" w:ascii="宋体" w:hAnsi="宋体" w:cs="宋体"/>
          <w:sz w:val="24"/>
          <w:szCs w:val="24"/>
          <w:lang w:val="en-US" w:eastAsia="zh-CN"/>
        </w:rPr>
        <w:t>177000.00</w:t>
      </w:r>
      <w:r>
        <w:rPr>
          <w:rFonts w:hint="eastAsia" w:ascii="宋体" w:hAnsi="宋体" w:cs="宋体"/>
          <w:sz w:val="24"/>
        </w:rPr>
        <w:t>元</w:t>
      </w:r>
    </w:p>
    <w:tbl>
      <w:tblPr>
        <w:tblStyle w:val="23"/>
        <w:tblW w:w="9321" w:type="dxa"/>
        <w:tblInd w:w="-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25"/>
        <w:gridCol w:w="1700"/>
        <w:gridCol w:w="1775"/>
        <w:gridCol w:w="1222"/>
        <w:gridCol w:w="2048"/>
        <w:gridCol w:w="1851"/>
      </w:tblGrid>
      <w:tr w14:paraId="5D48ADE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984" w:hRule="atLeast"/>
        </w:trPr>
        <w:tc>
          <w:tcPr>
            <w:tcW w:w="7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F2713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品目号</w:t>
            </w:r>
          </w:p>
        </w:tc>
        <w:tc>
          <w:tcPr>
            <w:tcW w:w="170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6B6D35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品目名称</w:t>
            </w:r>
          </w:p>
        </w:tc>
        <w:tc>
          <w:tcPr>
            <w:tcW w:w="177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920163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采购标的</w:t>
            </w:r>
          </w:p>
        </w:tc>
        <w:tc>
          <w:tcPr>
            <w:tcW w:w="122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7DDB6F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数量</w:t>
            </w:r>
          </w:p>
          <w:p w14:paraId="7839838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（单位）</w:t>
            </w:r>
          </w:p>
        </w:tc>
        <w:tc>
          <w:tcPr>
            <w:tcW w:w="204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CE39A2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技术规格、参数及要求</w:t>
            </w:r>
          </w:p>
        </w:tc>
        <w:tc>
          <w:tcPr>
            <w:tcW w:w="185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718D191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品目预算(元)</w:t>
            </w:r>
          </w:p>
        </w:tc>
      </w:tr>
      <w:tr w14:paraId="20E4770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31" w:hRule="atLeast"/>
        </w:trPr>
        <w:tc>
          <w:tcPr>
            <w:tcW w:w="7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3E7D8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-1</w:t>
            </w:r>
          </w:p>
        </w:tc>
        <w:tc>
          <w:tcPr>
            <w:tcW w:w="170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F69720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教育课程研究与开发服务</w:t>
            </w:r>
          </w:p>
        </w:tc>
        <w:tc>
          <w:tcPr>
            <w:tcW w:w="177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AC1B51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智慧课程平台</w:t>
            </w:r>
          </w:p>
        </w:tc>
        <w:tc>
          <w:tcPr>
            <w:tcW w:w="1222"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0AA714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1(项)</w:t>
            </w:r>
          </w:p>
        </w:tc>
        <w:tc>
          <w:tcPr>
            <w:tcW w:w="204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8E8D6A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sz w:val="24"/>
                <w:szCs w:val="24"/>
              </w:rPr>
            </w:pPr>
            <w:r>
              <w:rPr>
                <w:rFonts w:hint="eastAsia" w:ascii="宋体" w:hAnsi="宋体" w:cs="宋体"/>
                <w:sz w:val="24"/>
                <w:szCs w:val="24"/>
              </w:rPr>
              <w:t>详见采购文件</w:t>
            </w:r>
          </w:p>
        </w:tc>
        <w:tc>
          <w:tcPr>
            <w:tcW w:w="185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4B8F95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cs="宋体"/>
                <w:sz w:val="24"/>
                <w:szCs w:val="24"/>
                <w:lang w:val="en-US"/>
              </w:rPr>
            </w:pPr>
            <w:r>
              <w:rPr>
                <w:rFonts w:hint="eastAsia" w:ascii="宋体" w:hAnsi="宋体" w:cs="宋体"/>
                <w:sz w:val="24"/>
                <w:szCs w:val="24"/>
                <w:lang w:val="en-US" w:eastAsia="zh-CN"/>
              </w:rPr>
              <w:t>177000.00</w:t>
            </w:r>
          </w:p>
        </w:tc>
      </w:tr>
    </w:tbl>
    <w:p w14:paraId="01D3CF7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本合同包不接受联合体投标</w:t>
      </w:r>
    </w:p>
    <w:p w14:paraId="10094A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cs="宋体"/>
          <w:color w:val="auto"/>
          <w:sz w:val="24"/>
        </w:rPr>
        <w:t>合同履行期限：自签订合同之日起</w:t>
      </w:r>
      <w:r>
        <w:rPr>
          <w:rFonts w:hint="eastAsia" w:ascii="宋体" w:hAnsi="宋体" w:cs="宋体"/>
          <w:color w:val="auto"/>
          <w:sz w:val="24"/>
          <w:lang w:val="en-US" w:eastAsia="zh-CN"/>
        </w:rPr>
        <w:t>36</w:t>
      </w:r>
      <w:r>
        <w:rPr>
          <w:rFonts w:hint="eastAsia" w:ascii="宋体" w:hAnsi="宋体" w:cs="宋体"/>
          <w:color w:val="auto"/>
          <w:sz w:val="24"/>
        </w:rPr>
        <w:t>个月</w:t>
      </w:r>
      <w:r>
        <w:rPr>
          <w:rFonts w:hint="eastAsia" w:ascii="宋体" w:hAnsi="宋体" w:eastAsia="宋体" w:cs="宋体"/>
          <w:color w:val="auto"/>
          <w:sz w:val="24"/>
        </w:rPr>
        <w:t>。</w:t>
      </w:r>
    </w:p>
    <w:p w14:paraId="4D6CC4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p>
    <w:p w14:paraId="3C242D6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二、申请人的资格要求：</w:t>
      </w:r>
      <w:bookmarkEnd w:id="0"/>
      <w:bookmarkEnd w:id="1"/>
      <w:bookmarkEnd w:id="2"/>
      <w:bookmarkEnd w:id="3"/>
    </w:p>
    <w:p w14:paraId="220E3A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rPr>
        <w:t>1.满足《中华人民共和国政府采购法》第二十二条规定；</w:t>
      </w:r>
    </w:p>
    <w:p w14:paraId="6EF2F46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bookmarkStart w:id="4" w:name="_Toc28359081"/>
      <w:bookmarkStart w:id="5" w:name="_Toc28359004"/>
      <w:r>
        <w:rPr>
          <w:rFonts w:hint="eastAsia" w:ascii="宋体" w:hAnsi="宋体" w:cs="宋体"/>
          <w:sz w:val="24"/>
        </w:rPr>
        <w:t>2.落实政府采购政策需满足的资格要求：</w:t>
      </w:r>
    </w:p>
    <w:p w14:paraId="0BF25D3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sz w:val="24"/>
        </w:rPr>
        <w:t>合同包1(</w:t>
      </w:r>
      <w:r>
        <w:rPr>
          <w:rFonts w:hint="eastAsia" w:ascii="宋体" w:hAnsi="宋体" w:cs="宋体"/>
          <w:sz w:val="24"/>
          <w:lang w:eastAsia="zh-CN"/>
        </w:rPr>
        <w:t>延安职业技术学院2026年度数字化教学资源建设与运行服务项目（</w:t>
      </w:r>
      <w:r>
        <w:rPr>
          <w:rFonts w:hint="eastAsia" w:ascii="宋体" w:hAnsi="宋体" w:cs="宋体"/>
          <w:sz w:val="24"/>
          <w:lang w:val="en-US" w:eastAsia="zh-CN"/>
        </w:rPr>
        <w:t>一标包</w:t>
      </w:r>
      <w:r>
        <w:rPr>
          <w:rFonts w:hint="eastAsia" w:ascii="宋体" w:hAnsi="宋体" w:cs="宋体"/>
          <w:sz w:val="24"/>
          <w:lang w:eastAsia="zh-CN"/>
        </w:rPr>
        <w:t>）</w:t>
      </w:r>
      <w:r>
        <w:rPr>
          <w:rFonts w:hint="eastAsia" w:ascii="宋体" w:hAnsi="宋体" w:cs="宋体"/>
          <w:sz w:val="24"/>
        </w:rPr>
        <w:t>)落实政府采购政策需满足的资格要求如下</w:t>
      </w:r>
      <w:r>
        <w:rPr>
          <w:rFonts w:hint="eastAsia" w:ascii="宋体" w:hAnsi="宋体" w:cs="宋体"/>
          <w:sz w:val="24"/>
          <w:lang w:eastAsia="zh-CN"/>
        </w:rPr>
        <w:t>：</w:t>
      </w:r>
      <w:r>
        <w:rPr>
          <w:rFonts w:hint="eastAsia" w:ascii="宋体" w:hAnsi="宋体" w:cs="宋体"/>
          <w:sz w:val="24"/>
          <w:lang w:val="en-US" w:eastAsia="zh-CN"/>
        </w:rPr>
        <w:t>2.</w:t>
      </w:r>
      <w:r>
        <w:rPr>
          <w:rFonts w:hint="eastAsia" w:ascii="宋体" w:hAnsi="宋体" w:cs="宋体"/>
          <w:sz w:val="24"/>
          <w:lang w:eastAsia="zh-CN"/>
        </w:rPr>
        <w:t>1.政府采购促进中小企业发展管理办法的通知--财库[2020]46号；</w:t>
      </w:r>
      <w:r>
        <w:rPr>
          <w:rFonts w:hint="eastAsia" w:ascii="宋体" w:hAnsi="宋体" w:cs="宋体"/>
          <w:sz w:val="24"/>
          <w:lang w:val="en-US" w:eastAsia="zh-CN"/>
        </w:rPr>
        <w:t>2.</w:t>
      </w:r>
      <w:r>
        <w:rPr>
          <w:rFonts w:hint="eastAsia" w:ascii="宋体" w:hAnsi="宋体" w:cs="宋体"/>
          <w:sz w:val="24"/>
          <w:lang w:eastAsia="zh-CN"/>
        </w:rPr>
        <w:t>2.财政部司法部关于政府采购支持监狱企业发展有关问题的通知--财库[2014]68号；</w:t>
      </w:r>
      <w:r>
        <w:rPr>
          <w:rFonts w:hint="eastAsia" w:ascii="宋体" w:hAnsi="宋体" w:cs="宋体"/>
          <w:sz w:val="24"/>
          <w:lang w:val="en-US" w:eastAsia="zh-CN"/>
        </w:rPr>
        <w:t>2.</w:t>
      </w:r>
      <w:r>
        <w:rPr>
          <w:rFonts w:hint="eastAsia" w:ascii="宋体" w:hAnsi="宋体" w:cs="宋体"/>
          <w:sz w:val="24"/>
          <w:lang w:eastAsia="zh-CN"/>
        </w:rPr>
        <w:t>3.国务院办公厅关于建立政府强制采购节能产品制度的通知--国办发[2007]51号；</w:t>
      </w:r>
      <w:r>
        <w:rPr>
          <w:rFonts w:hint="eastAsia" w:ascii="宋体" w:hAnsi="宋体" w:cs="宋体"/>
          <w:sz w:val="24"/>
          <w:lang w:val="en-US" w:eastAsia="zh-CN"/>
        </w:rPr>
        <w:t>2.</w:t>
      </w:r>
      <w:r>
        <w:rPr>
          <w:rFonts w:hint="eastAsia" w:ascii="宋体" w:hAnsi="宋体" w:cs="宋体"/>
          <w:sz w:val="24"/>
          <w:lang w:eastAsia="zh-CN"/>
        </w:rPr>
        <w:t>4.关于促进残疾人就业政府采购政策的通知--财库[2017]141号。</w:t>
      </w:r>
      <w:r>
        <w:rPr>
          <w:rFonts w:hint="eastAsia" w:ascii="宋体" w:hAnsi="宋体" w:cs="宋体"/>
          <w:sz w:val="24"/>
          <w:lang w:val="en-US" w:eastAsia="zh-CN"/>
        </w:rPr>
        <w:t>2.</w:t>
      </w:r>
      <w:r>
        <w:rPr>
          <w:rFonts w:hint="eastAsia" w:ascii="宋体" w:hAnsi="宋体" w:cs="宋体"/>
          <w:sz w:val="24"/>
          <w:lang w:eastAsia="zh-CN"/>
        </w:rPr>
        <w:t>5.财政部、国家发改委、生态环境部、市场监管总局联合印发《关于调整优化节能产品、环境标志产品政府采购执行机制的通知》（财库〔2019〕9号）。</w:t>
      </w:r>
      <w:r>
        <w:rPr>
          <w:rFonts w:hint="eastAsia" w:ascii="宋体" w:hAnsi="宋体" w:cs="宋体"/>
          <w:sz w:val="24"/>
          <w:lang w:val="en-US" w:eastAsia="zh-CN"/>
        </w:rPr>
        <w:t>2.</w:t>
      </w:r>
      <w:r>
        <w:rPr>
          <w:rFonts w:hint="eastAsia" w:ascii="宋体" w:hAnsi="宋体" w:cs="宋体"/>
          <w:sz w:val="24"/>
          <w:lang w:eastAsia="zh-CN"/>
        </w:rPr>
        <w:t>6.财政部 农业农村部 国家乡村振兴局关于运用政府采购政策支持乡村产业振兴的通知（财库〔2021〕19号）、财政部 农业农村部 国家乡村振兴局 中华全国供销合作总社关于印发&lt;关于深入开展政府采购脱贫地区农副产品工作推进乡村产业振兴的实施意见&gt;的通知（财库〔2021〕20号）。</w:t>
      </w:r>
      <w:r>
        <w:rPr>
          <w:rFonts w:hint="eastAsia" w:ascii="宋体" w:hAnsi="宋体" w:cs="宋体"/>
          <w:sz w:val="24"/>
          <w:lang w:val="en-US" w:eastAsia="zh-CN"/>
        </w:rPr>
        <w:t>2.</w:t>
      </w:r>
      <w:r>
        <w:rPr>
          <w:rFonts w:hint="eastAsia" w:ascii="宋体" w:hAnsi="宋体" w:cs="宋体"/>
          <w:sz w:val="24"/>
          <w:lang w:eastAsia="zh-CN"/>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color w:val="auto"/>
          <w:sz w:val="24"/>
          <w:szCs w:val="24"/>
          <w:lang w:val="en-US" w:eastAsia="zh-CN"/>
        </w:rPr>
        <w:t>2.8其他需要落实的政府采购政策。</w:t>
      </w:r>
    </w:p>
    <w:p w14:paraId="028914D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sz w:val="24"/>
        </w:rPr>
        <w:t>合同包</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eastAsia="zh-CN"/>
        </w:rPr>
        <w:t>延安职业技术学院2026年度数字化教学资源建设与运行服务项目（</w:t>
      </w:r>
      <w:r>
        <w:rPr>
          <w:rFonts w:hint="eastAsia" w:ascii="宋体" w:hAnsi="宋体" w:cs="宋体"/>
          <w:sz w:val="24"/>
          <w:lang w:val="en-US" w:eastAsia="zh-CN"/>
        </w:rPr>
        <w:t>二标包</w:t>
      </w:r>
      <w:r>
        <w:rPr>
          <w:rFonts w:hint="eastAsia" w:ascii="宋体" w:hAnsi="宋体" w:cs="宋体"/>
          <w:sz w:val="24"/>
          <w:lang w:eastAsia="zh-CN"/>
        </w:rPr>
        <w:t>）</w:t>
      </w:r>
      <w:r>
        <w:rPr>
          <w:rFonts w:hint="eastAsia" w:ascii="宋体" w:hAnsi="宋体" w:cs="宋体"/>
          <w:sz w:val="24"/>
        </w:rPr>
        <w:t>)落实政府采购政策需满足的资格要求如下</w:t>
      </w:r>
      <w:r>
        <w:rPr>
          <w:rFonts w:hint="eastAsia" w:ascii="宋体" w:hAnsi="宋体" w:cs="宋体"/>
          <w:sz w:val="24"/>
          <w:lang w:eastAsia="zh-CN"/>
        </w:rPr>
        <w:t>：</w:t>
      </w:r>
      <w:r>
        <w:rPr>
          <w:rFonts w:hint="eastAsia" w:ascii="宋体" w:hAnsi="宋体" w:cs="宋体"/>
          <w:sz w:val="24"/>
          <w:lang w:val="en-US" w:eastAsia="zh-CN"/>
        </w:rPr>
        <w:t>2.</w:t>
      </w:r>
      <w:r>
        <w:rPr>
          <w:rFonts w:hint="eastAsia" w:ascii="宋体" w:hAnsi="宋体" w:cs="宋体"/>
          <w:sz w:val="24"/>
          <w:lang w:eastAsia="zh-CN"/>
        </w:rPr>
        <w:t>1.政府采购促进中小企业发展管理办法的通知--财库[2020]46号；</w:t>
      </w:r>
      <w:r>
        <w:rPr>
          <w:rFonts w:hint="eastAsia" w:ascii="宋体" w:hAnsi="宋体" w:cs="宋体"/>
          <w:sz w:val="24"/>
          <w:lang w:val="en-US" w:eastAsia="zh-CN"/>
        </w:rPr>
        <w:t>2.</w:t>
      </w:r>
      <w:r>
        <w:rPr>
          <w:rFonts w:hint="eastAsia" w:ascii="宋体" w:hAnsi="宋体" w:cs="宋体"/>
          <w:sz w:val="24"/>
          <w:lang w:eastAsia="zh-CN"/>
        </w:rPr>
        <w:t>2.财政部司法部关于政府采购支持监狱企业发展有关问题的通知--财库[2014]68号；</w:t>
      </w:r>
      <w:r>
        <w:rPr>
          <w:rFonts w:hint="eastAsia" w:ascii="宋体" w:hAnsi="宋体" w:cs="宋体"/>
          <w:sz w:val="24"/>
          <w:lang w:val="en-US" w:eastAsia="zh-CN"/>
        </w:rPr>
        <w:t>2.</w:t>
      </w:r>
      <w:r>
        <w:rPr>
          <w:rFonts w:hint="eastAsia" w:ascii="宋体" w:hAnsi="宋体" w:cs="宋体"/>
          <w:sz w:val="24"/>
          <w:lang w:eastAsia="zh-CN"/>
        </w:rPr>
        <w:t>3.国务院办公厅关于建立政府强制采购节能产品制度的通知--国办发[2007]51号；</w:t>
      </w:r>
      <w:r>
        <w:rPr>
          <w:rFonts w:hint="eastAsia" w:ascii="宋体" w:hAnsi="宋体" w:cs="宋体"/>
          <w:sz w:val="24"/>
          <w:lang w:val="en-US" w:eastAsia="zh-CN"/>
        </w:rPr>
        <w:t>2.</w:t>
      </w:r>
      <w:r>
        <w:rPr>
          <w:rFonts w:hint="eastAsia" w:ascii="宋体" w:hAnsi="宋体" w:cs="宋体"/>
          <w:sz w:val="24"/>
          <w:lang w:eastAsia="zh-CN"/>
        </w:rPr>
        <w:t>4.关于促进残疾人就业政府采购政策的通知--财库[2017]141号。</w:t>
      </w:r>
      <w:r>
        <w:rPr>
          <w:rFonts w:hint="eastAsia" w:ascii="宋体" w:hAnsi="宋体" w:cs="宋体"/>
          <w:sz w:val="24"/>
          <w:lang w:val="en-US" w:eastAsia="zh-CN"/>
        </w:rPr>
        <w:t>2.</w:t>
      </w:r>
      <w:r>
        <w:rPr>
          <w:rFonts w:hint="eastAsia" w:ascii="宋体" w:hAnsi="宋体" w:cs="宋体"/>
          <w:sz w:val="24"/>
          <w:lang w:eastAsia="zh-CN"/>
        </w:rPr>
        <w:t>5.财政部、国家发改委、生态环境部、市场监管总局联合印发《关于调整优化节能产品、环境标志产品政府采购执行机制的通知》（财库〔2019〕9号）。</w:t>
      </w:r>
      <w:r>
        <w:rPr>
          <w:rFonts w:hint="eastAsia" w:ascii="宋体" w:hAnsi="宋体" w:cs="宋体"/>
          <w:sz w:val="24"/>
          <w:lang w:val="en-US" w:eastAsia="zh-CN"/>
        </w:rPr>
        <w:t>2.</w:t>
      </w:r>
      <w:r>
        <w:rPr>
          <w:rFonts w:hint="eastAsia" w:ascii="宋体" w:hAnsi="宋体" w:cs="宋体"/>
          <w:sz w:val="24"/>
          <w:lang w:eastAsia="zh-CN"/>
        </w:rPr>
        <w:t>6.财政部 农业农村部 国家乡村振兴局关于运用政府采购政策支持乡村产业振兴的通知（财库〔2021〕19号）、财政部 农业农村部 国家乡村振兴局 中华全国供销合作总社关于印发&lt;关于深入开展政府采购脱贫地区农副产品工作推进乡村产业振兴的实施意见&gt;的通知（财库〔2021〕20号）。</w:t>
      </w:r>
      <w:r>
        <w:rPr>
          <w:rFonts w:hint="eastAsia" w:ascii="宋体" w:hAnsi="宋体" w:cs="宋体"/>
          <w:sz w:val="24"/>
          <w:lang w:val="en-US" w:eastAsia="zh-CN"/>
        </w:rPr>
        <w:t>2.</w:t>
      </w:r>
      <w:r>
        <w:rPr>
          <w:rFonts w:hint="eastAsia" w:ascii="宋体" w:hAnsi="宋体" w:cs="宋体"/>
          <w:sz w:val="24"/>
          <w:lang w:eastAsia="zh-CN"/>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color w:val="auto"/>
          <w:sz w:val="24"/>
          <w:szCs w:val="24"/>
          <w:lang w:val="en-US" w:eastAsia="zh-CN"/>
        </w:rPr>
        <w:t>2.8其他需要落实的政府采购政策。</w:t>
      </w:r>
    </w:p>
    <w:p w14:paraId="60D659F4">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bookmarkStart w:id="6" w:name="_Toc35393623"/>
      <w:bookmarkStart w:id="7" w:name="_Toc35393792"/>
      <w:r>
        <w:rPr>
          <w:rFonts w:hint="eastAsia" w:ascii="宋体" w:hAnsi="宋体" w:cs="宋体"/>
          <w:sz w:val="24"/>
        </w:rPr>
        <w:t>本项目的特定资格要求：</w:t>
      </w:r>
    </w:p>
    <w:p w14:paraId="69CC002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rPr>
        <w:t>合同包1(</w:t>
      </w:r>
      <w:r>
        <w:rPr>
          <w:rFonts w:hint="eastAsia" w:ascii="宋体" w:hAnsi="宋体" w:cs="宋体"/>
          <w:sz w:val="24"/>
          <w:lang w:eastAsia="zh-CN"/>
        </w:rPr>
        <w:t>延安职业技术学院2026年度数字化教学资源建设与运行服务项目（</w:t>
      </w:r>
      <w:r>
        <w:rPr>
          <w:rFonts w:hint="eastAsia" w:ascii="宋体" w:hAnsi="宋体" w:cs="宋体"/>
          <w:sz w:val="24"/>
          <w:lang w:val="en-US" w:eastAsia="zh-CN"/>
        </w:rPr>
        <w:t>一标包</w:t>
      </w:r>
      <w:r>
        <w:rPr>
          <w:rFonts w:hint="eastAsia" w:ascii="宋体" w:hAnsi="宋体" w:cs="宋体"/>
          <w:sz w:val="24"/>
          <w:lang w:eastAsia="zh-CN"/>
        </w:rPr>
        <w:t>）</w:t>
      </w:r>
      <w:r>
        <w:rPr>
          <w:rFonts w:hint="eastAsia" w:ascii="宋体" w:hAnsi="宋体" w:cs="宋体"/>
          <w:sz w:val="24"/>
        </w:rPr>
        <w:t>)特定资格要求如下:</w:t>
      </w:r>
    </w:p>
    <w:p w14:paraId="6BA853A5">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lang w:val="en-US" w:eastAsia="zh-CN"/>
        </w:rPr>
        <w:t>3.1</w:t>
      </w:r>
      <w:r>
        <w:rPr>
          <w:rFonts w:hint="eastAsia" w:ascii="宋体" w:hAnsi="宋体" w:cs="宋体"/>
          <w:sz w:val="24"/>
        </w:rPr>
        <w:t>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cs="宋体"/>
          <w:sz w:val="24"/>
          <w:lang w:val="en-US" w:eastAsia="zh-CN"/>
        </w:rPr>
        <w:t>3.2法定代表人授权书（委托代理人参加须提供法定代表人授权书、法定代表人身份证复印件及被授权人身份证）或法定代表人身份证明（法定代表人直接参加只须提供本人身份证）</w:t>
      </w:r>
      <w:r>
        <w:rPr>
          <w:rFonts w:hint="eastAsia" w:ascii="宋体" w:hAnsi="宋体" w:cs="宋体"/>
          <w:sz w:val="24"/>
        </w:rPr>
        <w:t>；</w:t>
      </w:r>
      <w:r>
        <w:rPr>
          <w:rFonts w:hint="eastAsia" w:ascii="宋体" w:hAnsi="宋体" w:cs="宋体"/>
          <w:sz w:val="24"/>
          <w:lang w:val="en-US" w:eastAsia="zh-CN"/>
        </w:rPr>
        <w:t>3.3供应商</w:t>
      </w:r>
      <w:r>
        <w:rPr>
          <w:rFonts w:hint="eastAsia" w:ascii="宋体" w:hAnsi="宋体" w:cs="宋体"/>
          <w:sz w:val="24"/>
          <w:lang w:eastAsia="zh-CN"/>
        </w:rPr>
        <w:t>需提供财务状况、缴纳税收和社保缴纳三项符合要求的承诺函（无需另行提供证明文件）；</w:t>
      </w:r>
      <w:r>
        <w:rPr>
          <w:rFonts w:hint="eastAsia" w:ascii="宋体" w:hAnsi="宋体" w:cs="宋体"/>
          <w:sz w:val="24"/>
          <w:lang w:val="en-US" w:eastAsia="zh-CN"/>
        </w:rPr>
        <w:t>3.4供应商应出具参加政府采购活动前3年内在经营活动中没有重大违法记录的书面声明；3.5</w:t>
      </w:r>
      <w:r>
        <w:rPr>
          <w:rFonts w:hint="eastAsia" w:ascii="宋体" w:hAnsi="宋体" w:cs="宋体"/>
          <w:sz w:val="24"/>
        </w:rPr>
        <w:t>信用记录：提供《</w:t>
      </w:r>
      <w:r>
        <w:rPr>
          <w:rFonts w:hint="eastAsia" w:ascii="宋体" w:hAnsi="宋体" w:cs="宋体"/>
          <w:sz w:val="24"/>
          <w:lang w:val="en-US" w:eastAsia="zh-CN"/>
        </w:rPr>
        <w:t>供应商</w:t>
      </w:r>
      <w:r>
        <w:rPr>
          <w:rFonts w:hint="eastAsia" w:ascii="宋体" w:hAnsi="宋体" w:cs="宋体"/>
          <w:sz w:val="24"/>
        </w:rPr>
        <w:t>信用记录书面声明函》（按格式填写）经查，投标人未被列入“信用中国”网站记录的“严重失信主体”或“重大税收违法失信主体”名单；不处于“中国政府采购网”记录的“政府采购严重违法失信行为信息记录名单”中的禁止参加政府采购活动期间；</w:t>
      </w:r>
      <w:r>
        <w:rPr>
          <w:rFonts w:hint="eastAsia" w:ascii="宋体" w:hAnsi="宋体" w:cs="宋体"/>
          <w:sz w:val="24"/>
          <w:lang w:val="en-US" w:eastAsia="zh-CN"/>
        </w:rPr>
        <w:t>3.6本项目专门面向中小企业采购，供应商需提供《中小企业声明函》</w:t>
      </w:r>
      <w:r>
        <w:rPr>
          <w:rFonts w:hint="eastAsia" w:ascii="宋体" w:hAnsi="宋体" w:cs="宋体"/>
          <w:sz w:val="24"/>
        </w:rPr>
        <w:t>；</w:t>
      </w:r>
      <w:r>
        <w:rPr>
          <w:rFonts w:hint="eastAsia" w:ascii="宋体" w:hAnsi="宋体" w:cs="宋体"/>
          <w:sz w:val="24"/>
          <w:lang w:val="en-US" w:eastAsia="zh-CN"/>
        </w:rPr>
        <w:t>3.7</w:t>
      </w:r>
      <w:r>
        <w:rPr>
          <w:rFonts w:hint="eastAsia" w:ascii="宋体" w:hAnsi="宋体" w:cs="宋体"/>
          <w:sz w:val="24"/>
        </w:rPr>
        <w:t>单位负责人为同一人或者存在直接控股、管理关系的不同</w:t>
      </w:r>
      <w:r>
        <w:rPr>
          <w:rFonts w:hint="eastAsia" w:ascii="宋体" w:hAnsi="宋体" w:cs="宋体"/>
          <w:sz w:val="24"/>
          <w:lang w:val="en-US" w:eastAsia="zh-CN"/>
        </w:rPr>
        <w:t>投标人</w:t>
      </w:r>
      <w:r>
        <w:rPr>
          <w:rFonts w:hint="eastAsia" w:ascii="宋体" w:hAnsi="宋体" w:cs="宋体"/>
          <w:sz w:val="24"/>
        </w:rPr>
        <w:t>，不得参加同一合同项下的政府采购活动</w:t>
      </w:r>
      <w:r>
        <w:rPr>
          <w:rFonts w:hint="eastAsia" w:ascii="宋体" w:hAnsi="宋体" w:cs="宋体"/>
          <w:sz w:val="24"/>
          <w:lang w:eastAsia="zh-CN"/>
        </w:rPr>
        <w:t>；</w:t>
      </w:r>
      <w:r>
        <w:rPr>
          <w:rFonts w:hint="eastAsia" w:ascii="宋体" w:hAnsi="宋体" w:cs="宋体"/>
          <w:sz w:val="24"/>
          <w:lang w:val="en-US" w:eastAsia="zh-CN"/>
        </w:rPr>
        <w:t>3.8</w:t>
      </w:r>
      <w:r>
        <w:rPr>
          <w:rFonts w:hint="eastAsia" w:ascii="宋体" w:hAnsi="宋体" w:cs="宋体"/>
          <w:sz w:val="24"/>
        </w:rPr>
        <w:t>本项目不接受联合体</w:t>
      </w:r>
      <w:r>
        <w:rPr>
          <w:rFonts w:hint="eastAsia" w:ascii="宋体" w:hAnsi="宋体" w:cs="宋体"/>
          <w:sz w:val="24"/>
          <w:lang w:val="en-US" w:eastAsia="zh-CN"/>
        </w:rPr>
        <w:t>磋商</w:t>
      </w:r>
      <w:r>
        <w:rPr>
          <w:rFonts w:hint="eastAsia" w:ascii="宋体" w:hAnsi="宋体" w:cs="宋体"/>
          <w:sz w:val="24"/>
        </w:rPr>
        <w:t>。</w:t>
      </w:r>
    </w:p>
    <w:p w14:paraId="029B25C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rPr>
      </w:pPr>
      <w:r>
        <w:rPr>
          <w:rFonts w:hint="eastAsia" w:ascii="宋体" w:hAnsi="宋体" w:cs="宋体"/>
          <w:sz w:val="24"/>
        </w:rPr>
        <w:t>合同包</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eastAsia="zh-CN"/>
        </w:rPr>
        <w:t>延安职业技术学院2026年度数字化教学资源建设与运行服务项目（</w:t>
      </w:r>
      <w:r>
        <w:rPr>
          <w:rFonts w:hint="eastAsia" w:ascii="宋体" w:hAnsi="宋体" w:cs="宋体"/>
          <w:sz w:val="24"/>
          <w:lang w:val="en-US" w:eastAsia="zh-CN"/>
        </w:rPr>
        <w:t>二标包</w:t>
      </w:r>
      <w:r>
        <w:rPr>
          <w:rFonts w:hint="eastAsia" w:ascii="宋体" w:hAnsi="宋体" w:cs="宋体"/>
          <w:sz w:val="24"/>
          <w:lang w:eastAsia="zh-CN"/>
        </w:rPr>
        <w:t>）</w:t>
      </w:r>
      <w:r>
        <w:rPr>
          <w:rFonts w:hint="eastAsia" w:ascii="宋体" w:hAnsi="宋体" w:cs="宋体"/>
          <w:sz w:val="24"/>
        </w:rPr>
        <w:t>)特定资格要求如下:</w:t>
      </w:r>
    </w:p>
    <w:p w14:paraId="732BB727">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lang w:val="en-US" w:eastAsia="zh-CN"/>
        </w:rPr>
        <w:t>3.1</w:t>
      </w:r>
      <w:r>
        <w:rPr>
          <w:rFonts w:hint="eastAsia" w:ascii="宋体" w:hAnsi="宋体" w:cs="宋体"/>
          <w:sz w:val="24"/>
        </w:rPr>
        <w:t>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cs="宋体"/>
          <w:sz w:val="24"/>
          <w:lang w:val="en-US" w:eastAsia="zh-CN"/>
        </w:rPr>
        <w:t>3.2法定代表人授权书（委托代理人参加须提供法定代表人授权书、法定代表人身份证复印件及被授权人身份证）或法定代表人身份证明（法定代表人直接参加只须提供本人身份证）</w:t>
      </w:r>
      <w:r>
        <w:rPr>
          <w:rFonts w:hint="eastAsia" w:ascii="宋体" w:hAnsi="宋体" w:cs="宋体"/>
          <w:sz w:val="24"/>
        </w:rPr>
        <w:t>；</w:t>
      </w:r>
      <w:r>
        <w:rPr>
          <w:rFonts w:hint="eastAsia" w:ascii="宋体" w:hAnsi="宋体" w:cs="宋体"/>
          <w:sz w:val="24"/>
          <w:lang w:val="en-US" w:eastAsia="zh-CN"/>
        </w:rPr>
        <w:t>3.3供应商</w:t>
      </w:r>
      <w:r>
        <w:rPr>
          <w:rFonts w:hint="eastAsia" w:ascii="宋体" w:hAnsi="宋体" w:cs="宋体"/>
          <w:sz w:val="24"/>
          <w:lang w:eastAsia="zh-CN"/>
        </w:rPr>
        <w:t>需提供财务状况、缴纳税收和社保缴纳三项符合要求的承诺函（无需另行提供证明文件）；</w:t>
      </w:r>
      <w:r>
        <w:rPr>
          <w:rFonts w:hint="eastAsia" w:ascii="宋体" w:hAnsi="宋体" w:cs="宋体"/>
          <w:sz w:val="24"/>
          <w:lang w:val="en-US" w:eastAsia="zh-CN"/>
        </w:rPr>
        <w:t>3.4供应商应出具参加政府采购活动前3年内在经营活动中没有重大违法记录的书面声明；3.5</w:t>
      </w:r>
      <w:r>
        <w:rPr>
          <w:rFonts w:hint="eastAsia" w:ascii="宋体" w:hAnsi="宋体" w:cs="宋体"/>
          <w:sz w:val="24"/>
        </w:rPr>
        <w:t>信用记录：提供《</w:t>
      </w:r>
      <w:r>
        <w:rPr>
          <w:rFonts w:hint="eastAsia" w:ascii="宋体" w:hAnsi="宋体" w:cs="宋体"/>
          <w:sz w:val="24"/>
          <w:lang w:val="en-US" w:eastAsia="zh-CN"/>
        </w:rPr>
        <w:t>供应商</w:t>
      </w:r>
      <w:r>
        <w:rPr>
          <w:rFonts w:hint="eastAsia" w:ascii="宋体" w:hAnsi="宋体" w:cs="宋体"/>
          <w:sz w:val="24"/>
        </w:rPr>
        <w:t>信用记录书面声明函》（按格式填写）经查，投标人未被列入“信用中国”网站记录的“严重失信主体”或“重大税收违法失信主体”名单；不处于“中国政府采购网”记录的“政府采购严重违法失信行为信息记录名单”中的禁止参加政府采购活动期间；</w:t>
      </w:r>
      <w:r>
        <w:rPr>
          <w:rFonts w:hint="eastAsia" w:ascii="宋体" w:hAnsi="宋体" w:cs="宋体"/>
          <w:sz w:val="24"/>
          <w:lang w:val="en-US" w:eastAsia="zh-CN"/>
        </w:rPr>
        <w:t>3.6本项目专门面向中小企业采购，供应商需提供《中小企业声明函》</w:t>
      </w:r>
      <w:r>
        <w:rPr>
          <w:rFonts w:hint="eastAsia" w:ascii="宋体" w:hAnsi="宋体" w:cs="宋体"/>
          <w:sz w:val="24"/>
        </w:rPr>
        <w:t>；</w:t>
      </w:r>
      <w:r>
        <w:rPr>
          <w:rFonts w:hint="eastAsia" w:ascii="宋体" w:hAnsi="宋体" w:cs="宋体"/>
          <w:sz w:val="24"/>
          <w:lang w:val="en-US" w:eastAsia="zh-CN"/>
        </w:rPr>
        <w:t>3.7</w:t>
      </w:r>
      <w:r>
        <w:rPr>
          <w:rFonts w:hint="eastAsia" w:ascii="宋体" w:hAnsi="宋体" w:cs="宋体"/>
          <w:sz w:val="24"/>
        </w:rPr>
        <w:t>单位负责人为同一人或者存在直接控股、管理关系的不同</w:t>
      </w:r>
      <w:r>
        <w:rPr>
          <w:rFonts w:hint="eastAsia" w:ascii="宋体" w:hAnsi="宋体" w:cs="宋体"/>
          <w:sz w:val="24"/>
          <w:lang w:val="en-US" w:eastAsia="zh-CN"/>
        </w:rPr>
        <w:t>投标人</w:t>
      </w:r>
      <w:r>
        <w:rPr>
          <w:rFonts w:hint="eastAsia" w:ascii="宋体" w:hAnsi="宋体" w:cs="宋体"/>
          <w:sz w:val="24"/>
        </w:rPr>
        <w:t>，不得参加同一合同项下的政府采购活动</w:t>
      </w:r>
      <w:r>
        <w:rPr>
          <w:rFonts w:hint="eastAsia" w:ascii="宋体" w:hAnsi="宋体" w:cs="宋体"/>
          <w:sz w:val="24"/>
          <w:lang w:eastAsia="zh-CN"/>
        </w:rPr>
        <w:t>；</w:t>
      </w:r>
      <w:r>
        <w:rPr>
          <w:rFonts w:hint="eastAsia" w:ascii="宋体" w:hAnsi="宋体" w:cs="宋体"/>
          <w:sz w:val="24"/>
          <w:lang w:val="en-US" w:eastAsia="zh-CN"/>
        </w:rPr>
        <w:t>3.8</w:t>
      </w:r>
      <w:r>
        <w:rPr>
          <w:rFonts w:hint="eastAsia" w:ascii="宋体" w:hAnsi="宋体" w:cs="宋体"/>
          <w:sz w:val="24"/>
        </w:rPr>
        <w:t>本项目不接受联合体</w:t>
      </w:r>
      <w:r>
        <w:rPr>
          <w:rFonts w:hint="eastAsia" w:ascii="宋体" w:hAnsi="宋体" w:cs="宋体"/>
          <w:sz w:val="24"/>
          <w:lang w:val="en-US" w:eastAsia="zh-CN"/>
        </w:rPr>
        <w:t>磋商</w:t>
      </w:r>
      <w:r>
        <w:rPr>
          <w:rFonts w:hint="eastAsia" w:ascii="宋体" w:hAnsi="宋体" w:cs="宋体"/>
          <w:sz w:val="24"/>
        </w:rPr>
        <w:t>。</w:t>
      </w:r>
    </w:p>
    <w:p w14:paraId="78D6A92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三、</w:t>
      </w:r>
      <w:bookmarkEnd w:id="4"/>
      <w:bookmarkEnd w:id="5"/>
      <w:bookmarkEnd w:id="6"/>
      <w:bookmarkEnd w:id="7"/>
      <w:r>
        <w:rPr>
          <w:rFonts w:hint="eastAsia" w:ascii="宋体" w:hAnsi="宋体" w:cs="宋体"/>
          <w:sz w:val="24"/>
        </w:rPr>
        <w:t>获取竞争性磋商文件</w:t>
      </w:r>
    </w:p>
    <w:p w14:paraId="70DF699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bookmarkStart w:id="8" w:name="_Toc28359082"/>
      <w:bookmarkStart w:id="9" w:name="_Toc35393793"/>
      <w:bookmarkStart w:id="10" w:name="_Toc35393624"/>
      <w:bookmarkStart w:id="11" w:name="_Toc28359005"/>
      <w:r>
        <w:rPr>
          <w:rFonts w:hint="eastAsia" w:ascii="宋体" w:hAnsi="宋体" w:cs="宋体"/>
          <w:sz w:val="24"/>
        </w:rPr>
        <w:t>1、时间：202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13</w:t>
      </w:r>
      <w:r>
        <w:rPr>
          <w:rFonts w:hint="eastAsia" w:ascii="宋体" w:hAnsi="宋体" w:cs="宋体"/>
          <w:sz w:val="24"/>
        </w:rPr>
        <w:t>日至202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19</w:t>
      </w:r>
      <w:r>
        <w:rPr>
          <w:rFonts w:hint="eastAsia" w:ascii="宋体" w:hAnsi="宋体" w:cs="宋体"/>
          <w:sz w:val="24"/>
        </w:rPr>
        <w:t>日，每日</w:t>
      </w:r>
      <w:r>
        <w:rPr>
          <w:rFonts w:hint="eastAsia" w:ascii="宋体" w:hAnsi="宋体" w:cs="宋体"/>
          <w:sz w:val="24"/>
          <w:lang w:val="en-US" w:eastAsia="zh-CN"/>
        </w:rPr>
        <w:t>8</w:t>
      </w:r>
      <w:r>
        <w:rPr>
          <w:rFonts w:hint="eastAsia" w:ascii="宋体" w:hAnsi="宋体" w:cs="宋体"/>
          <w:sz w:val="24"/>
        </w:rPr>
        <w:t xml:space="preserve">:00至17:00（北京时间，法定节假日除外 ） </w:t>
      </w:r>
    </w:p>
    <w:p w14:paraId="3798490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 xml:space="preserve">2、地点：全国公共资源交易中心平台（陕西省·延安市）平台 </w:t>
      </w:r>
    </w:p>
    <w:p w14:paraId="62A7561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 xml:space="preserve">3、方式：在线获取 </w:t>
      </w:r>
    </w:p>
    <w:p w14:paraId="2AE4A5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4、售价：免费获取</w:t>
      </w:r>
    </w:p>
    <w:p w14:paraId="5A35853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 xml:space="preserve">四、响应文件提交 </w:t>
      </w:r>
    </w:p>
    <w:p w14:paraId="3E35439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截止时间：202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23</w:t>
      </w:r>
      <w:r>
        <w:rPr>
          <w:rFonts w:hint="eastAsia" w:ascii="宋体" w:hAnsi="宋体" w:cs="宋体"/>
          <w:sz w:val="24"/>
        </w:rPr>
        <w:t>日</w:t>
      </w:r>
      <w:r>
        <w:rPr>
          <w:rFonts w:hint="eastAsia" w:ascii="宋体" w:hAnsi="宋体" w:cs="宋体"/>
          <w:sz w:val="24"/>
          <w:lang w:val="en-US" w:eastAsia="zh-CN"/>
        </w:rPr>
        <w:t>10</w:t>
      </w:r>
      <w:r>
        <w:rPr>
          <w:rFonts w:hint="eastAsia" w:ascii="宋体" w:hAnsi="宋体" w:cs="宋体"/>
          <w:sz w:val="24"/>
        </w:rPr>
        <w:t>时</w:t>
      </w:r>
      <w:r>
        <w:rPr>
          <w:rFonts w:hint="eastAsia" w:ascii="宋体" w:hAnsi="宋体" w:cs="宋体"/>
          <w:sz w:val="24"/>
          <w:lang w:val="en-US" w:eastAsia="zh-CN"/>
        </w:rPr>
        <w:t>00</w:t>
      </w:r>
      <w:r>
        <w:rPr>
          <w:rFonts w:hint="eastAsia" w:ascii="宋体" w:hAnsi="宋体" w:cs="宋体"/>
          <w:sz w:val="24"/>
        </w:rPr>
        <w:t xml:space="preserve">分（北京时间） </w:t>
      </w:r>
    </w:p>
    <w:p w14:paraId="504F73BF">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sz w:val="24"/>
          <w:lang w:val="en-US" w:eastAsia="zh-CN"/>
        </w:rPr>
      </w:pPr>
      <w:r>
        <w:rPr>
          <w:rFonts w:hint="eastAsia" w:ascii="宋体" w:hAnsi="宋体" w:cs="宋体"/>
          <w:sz w:val="24"/>
        </w:rPr>
        <w:t>地点：延安市公共资源交易中心</w:t>
      </w:r>
      <w:r>
        <w:rPr>
          <w:rFonts w:hint="eastAsia" w:ascii="宋体" w:hAnsi="宋体" w:cs="宋体"/>
          <w:sz w:val="24"/>
          <w:lang w:val="en-US" w:eastAsia="zh-CN"/>
        </w:rPr>
        <w:t>开标5室</w:t>
      </w:r>
    </w:p>
    <w:p w14:paraId="6630DC7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 xml:space="preserve">五、开启 </w:t>
      </w:r>
    </w:p>
    <w:p w14:paraId="0238D95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开启时间：202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23</w:t>
      </w:r>
      <w:r>
        <w:rPr>
          <w:rFonts w:hint="eastAsia" w:ascii="宋体" w:hAnsi="宋体" w:cs="宋体"/>
          <w:sz w:val="24"/>
        </w:rPr>
        <w:t>日</w:t>
      </w:r>
      <w:r>
        <w:rPr>
          <w:rFonts w:hint="eastAsia" w:ascii="宋体" w:hAnsi="宋体" w:cs="宋体"/>
          <w:sz w:val="24"/>
          <w:lang w:val="en-US" w:eastAsia="zh-CN"/>
        </w:rPr>
        <w:t>10</w:t>
      </w:r>
      <w:r>
        <w:rPr>
          <w:rFonts w:hint="eastAsia" w:ascii="宋体" w:hAnsi="宋体" w:cs="宋体"/>
          <w:sz w:val="24"/>
        </w:rPr>
        <w:t>时</w:t>
      </w:r>
      <w:r>
        <w:rPr>
          <w:rFonts w:hint="eastAsia" w:ascii="宋体" w:hAnsi="宋体" w:cs="宋体"/>
          <w:sz w:val="24"/>
          <w:lang w:val="en-US" w:eastAsia="zh-CN"/>
        </w:rPr>
        <w:t>00</w:t>
      </w:r>
      <w:r>
        <w:rPr>
          <w:rFonts w:hint="eastAsia" w:ascii="宋体" w:hAnsi="宋体" w:cs="宋体"/>
          <w:sz w:val="24"/>
        </w:rPr>
        <w:t xml:space="preserve">分（北京时间） </w:t>
      </w:r>
    </w:p>
    <w:p w14:paraId="75C2CF3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地点：延安市公共资源交易中心</w:t>
      </w:r>
      <w:r>
        <w:rPr>
          <w:rFonts w:hint="eastAsia" w:ascii="宋体" w:hAnsi="宋体" w:cs="宋体"/>
          <w:sz w:val="24"/>
          <w:lang w:val="en-US" w:eastAsia="zh-CN"/>
        </w:rPr>
        <w:t>开标5室</w:t>
      </w:r>
    </w:p>
    <w:bookmarkEnd w:id="8"/>
    <w:bookmarkEnd w:id="9"/>
    <w:bookmarkEnd w:id="10"/>
    <w:bookmarkEnd w:id="11"/>
    <w:p w14:paraId="1949F68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bookmarkStart w:id="12" w:name="_Toc28359084"/>
      <w:bookmarkStart w:id="13" w:name="_Toc35393794"/>
      <w:bookmarkStart w:id="14" w:name="_Toc28359007"/>
      <w:bookmarkStart w:id="15" w:name="_Toc35393625"/>
      <w:r>
        <w:rPr>
          <w:rFonts w:hint="eastAsia" w:ascii="宋体" w:hAnsi="宋体" w:cs="宋体"/>
          <w:sz w:val="24"/>
        </w:rPr>
        <w:t>六、公告期限</w:t>
      </w:r>
      <w:bookmarkEnd w:id="12"/>
      <w:bookmarkEnd w:id="13"/>
      <w:bookmarkEnd w:id="14"/>
      <w:bookmarkEnd w:id="15"/>
    </w:p>
    <w:p w14:paraId="3286A98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kern w:val="0"/>
          <w:sz w:val="24"/>
        </w:rPr>
      </w:pPr>
      <w:r>
        <w:rPr>
          <w:rFonts w:hint="eastAsia" w:ascii="宋体" w:hAnsi="宋体" w:cs="宋体"/>
          <w:kern w:val="0"/>
          <w:sz w:val="24"/>
        </w:rPr>
        <w:t>自本公告发布之日起</w:t>
      </w:r>
      <w:r>
        <w:rPr>
          <w:rFonts w:hint="eastAsia" w:ascii="宋体" w:hAnsi="宋体" w:cs="宋体"/>
          <w:kern w:val="0"/>
          <w:sz w:val="24"/>
          <w:lang w:val="en-US" w:eastAsia="zh-CN"/>
        </w:rPr>
        <w:t>5</w:t>
      </w:r>
      <w:r>
        <w:rPr>
          <w:rFonts w:hint="eastAsia" w:ascii="宋体" w:hAnsi="宋体" w:cs="宋体"/>
          <w:kern w:val="0"/>
          <w:sz w:val="24"/>
        </w:rPr>
        <w:t>个工作日。</w:t>
      </w:r>
    </w:p>
    <w:p w14:paraId="265D4EE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bookmarkStart w:id="16" w:name="_Toc35393795"/>
      <w:bookmarkStart w:id="17" w:name="_Toc35393626"/>
      <w:r>
        <w:rPr>
          <w:rFonts w:hint="eastAsia" w:ascii="宋体" w:hAnsi="宋体" w:cs="宋体"/>
          <w:sz w:val="24"/>
        </w:rPr>
        <w:t>七、其他补充事宜</w:t>
      </w:r>
      <w:bookmarkEnd w:id="16"/>
      <w:bookmarkEnd w:id="17"/>
    </w:p>
    <w:p w14:paraId="23C6CEE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bookmarkStart w:id="18" w:name="_Toc28359008"/>
      <w:bookmarkStart w:id="19" w:name="_Toc35393627"/>
      <w:bookmarkStart w:id="20" w:name="_Toc28359085"/>
      <w:bookmarkStart w:id="21" w:name="_Toc35393796"/>
      <w:r>
        <w:rPr>
          <w:rFonts w:hint="eastAsia" w:ascii="宋体" w:hAnsi="宋体" w:cs="宋体"/>
          <w:sz w:val="24"/>
        </w:rPr>
        <w:t>1、凡有意参与的供应商于202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13</w:t>
      </w:r>
      <w:r>
        <w:rPr>
          <w:rFonts w:hint="eastAsia" w:ascii="宋体" w:hAnsi="宋体" w:cs="宋体"/>
          <w:sz w:val="24"/>
        </w:rPr>
        <w:t>日</w:t>
      </w:r>
      <w:r>
        <w:rPr>
          <w:rFonts w:hint="eastAsia" w:ascii="宋体" w:hAnsi="宋体" w:cs="宋体"/>
          <w:sz w:val="24"/>
          <w:lang w:val="en-US" w:eastAsia="zh-CN"/>
        </w:rPr>
        <w:t>8</w:t>
      </w:r>
      <w:r>
        <w:rPr>
          <w:rFonts w:hint="eastAsia" w:ascii="宋体" w:hAnsi="宋体" w:cs="宋体"/>
          <w:sz w:val="24"/>
        </w:rPr>
        <w:t>时</w:t>
      </w:r>
      <w:r>
        <w:rPr>
          <w:rFonts w:hint="eastAsia" w:ascii="宋体" w:hAnsi="宋体" w:cs="宋体"/>
          <w:sz w:val="24"/>
          <w:lang w:val="en-US" w:eastAsia="zh-CN"/>
        </w:rPr>
        <w:t>00</w:t>
      </w:r>
      <w:r>
        <w:rPr>
          <w:rFonts w:hint="eastAsia" w:ascii="宋体" w:hAnsi="宋体" w:cs="宋体"/>
          <w:sz w:val="24"/>
        </w:rPr>
        <w:t>分至202</w:t>
      </w:r>
      <w:r>
        <w:rPr>
          <w:rFonts w:hint="eastAsia" w:ascii="宋体" w:hAnsi="宋体" w:cs="宋体"/>
          <w:sz w:val="24"/>
          <w:lang w:val="en-US" w:eastAsia="zh-CN"/>
        </w:rPr>
        <w:t>6</w:t>
      </w:r>
      <w:r>
        <w:rPr>
          <w:rFonts w:hint="eastAsia" w:ascii="宋体" w:hAnsi="宋体" w:cs="宋体"/>
          <w:sz w:val="24"/>
        </w:rPr>
        <w:t>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19</w:t>
      </w:r>
      <w:r>
        <w:rPr>
          <w:rFonts w:hint="eastAsia" w:ascii="宋体" w:hAnsi="宋体" w:cs="宋体"/>
          <w:sz w:val="24"/>
        </w:rPr>
        <w:t>日</w:t>
      </w:r>
      <w:r>
        <w:rPr>
          <w:rFonts w:hint="eastAsia" w:ascii="宋体" w:hAnsi="宋体" w:cs="宋体"/>
          <w:sz w:val="24"/>
          <w:lang w:val="en-US" w:eastAsia="zh-CN"/>
        </w:rPr>
        <w:t>17</w:t>
      </w:r>
      <w:r>
        <w:rPr>
          <w:rFonts w:hint="eastAsia" w:ascii="宋体" w:hAnsi="宋体" w:cs="宋体"/>
          <w:sz w:val="24"/>
        </w:rPr>
        <w:t>时</w:t>
      </w:r>
      <w:r>
        <w:rPr>
          <w:rFonts w:hint="eastAsia" w:ascii="宋体" w:hAnsi="宋体" w:cs="宋体"/>
          <w:sz w:val="24"/>
          <w:lang w:val="en-US" w:eastAsia="zh-CN"/>
        </w:rPr>
        <w:t>00</w:t>
      </w:r>
      <w:r>
        <w:rPr>
          <w:rFonts w:hint="eastAsia" w:ascii="宋体" w:hAnsi="宋体" w:cs="宋体"/>
          <w:sz w:val="24"/>
        </w:rPr>
        <w:t>分使用CA锁在全国公共资源交易平台（陕西省·延安市）选择电子交易平台中的陕西政府采购交易系统进行登录，登录后选择“交易乙方”身份进入投标人界面进行网上报名,报名成功后在</w:t>
      </w:r>
      <w:r>
        <w:rPr>
          <w:rFonts w:hint="eastAsia" w:ascii="宋体" w:hAnsi="宋体" w:eastAsia="宋体" w:cs="宋体"/>
          <w:sz w:val="24"/>
        </w:rPr>
        <w:t xml:space="preserve">《全国公共资源交易平台（陕西省·延安市）》免费下载磋商文件。  </w:t>
      </w:r>
    </w:p>
    <w:p w14:paraId="300C4EC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2、本次磋商公告在《陕西省政府采购网》、《全国公共资源交易平台（陕西省.延安市）》媒介上发布。 </w:t>
      </w:r>
    </w:p>
    <w:p w14:paraId="3F1AF62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3、本项目采用线上不见面形式。</w:t>
      </w:r>
    </w:p>
    <w:p w14:paraId="38108E2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lang w:val="en-US" w:eastAsia="zh-CN"/>
        </w:rPr>
      </w:pPr>
      <w:r>
        <w:rPr>
          <w:rFonts w:hint="eastAsia" w:ascii="宋体" w:hAnsi="宋体" w:cs="宋体"/>
          <w:sz w:val="24"/>
          <w:lang w:val="en-US" w:eastAsia="zh-CN"/>
        </w:rPr>
        <w:t>4、本项目专门面向中小企业采购。</w:t>
      </w:r>
    </w:p>
    <w:p w14:paraId="75714B6B">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cs="宋体"/>
          <w:sz w:val="24"/>
          <w:lang w:val="en-US" w:eastAsia="zh-CN"/>
        </w:rPr>
      </w:pPr>
      <w:r>
        <w:rPr>
          <w:rFonts w:hint="eastAsia" w:ascii="宋体" w:hAnsi="宋体" w:cs="宋体"/>
          <w:sz w:val="24"/>
          <w:lang w:val="en-US" w:eastAsia="zh-CN"/>
        </w:rPr>
        <w:t>5、项目名称：延安职业技术学院2026年度数字化教学资源建设与运行服务项目</w:t>
      </w:r>
    </w:p>
    <w:p w14:paraId="0042A54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注：请供应商按照陕西省财政厅关于政府采购供应商注册登记有关事项的通知中的要求，通过陕西省政府采购网注册登记加入陕西省政府采购供应商库。</w:t>
      </w:r>
    </w:p>
    <w:p w14:paraId="4F4C07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八、对本次磋商提出询问，请按以下方式联系。</w:t>
      </w:r>
      <w:bookmarkEnd w:id="18"/>
      <w:bookmarkEnd w:id="19"/>
      <w:bookmarkEnd w:id="20"/>
      <w:bookmarkEnd w:id="21"/>
    </w:p>
    <w:p w14:paraId="6D27693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lang w:eastAsia="zh-CN"/>
        </w:rPr>
      </w:pPr>
      <w:r>
        <w:rPr>
          <w:rFonts w:hint="eastAsia" w:ascii="宋体" w:hAnsi="宋体" w:eastAsia="宋体" w:cs="宋体"/>
          <w:sz w:val="24"/>
        </w:rPr>
        <w:t>1、采购人信息：</w:t>
      </w:r>
      <w:r>
        <w:rPr>
          <w:rFonts w:hint="eastAsia" w:ascii="宋体" w:hAnsi="宋体" w:cs="宋体"/>
          <w:sz w:val="24"/>
          <w:lang w:eastAsia="zh-CN"/>
        </w:rPr>
        <w:t>延安职业技术学院</w:t>
      </w:r>
    </w:p>
    <w:p w14:paraId="31F16F8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lang w:eastAsia="zh-CN"/>
        </w:rPr>
      </w:pPr>
      <w:r>
        <w:rPr>
          <w:rFonts w:hint="eastAsia" w:ascii="宋体" w:hAnsi="宋体" w:eastAsia="宋体" w:cs="宋体"/>
          <w:sz w:val="24"/>
        </w:rPr>
        <w:t>地址：</w:t>
      </w:r>
      <w:r>
        <w:rPr>
          <w:rFonts w:hint="eastAsia" w:ascii="宋体" w:hAnsi="宋体" w:cs="宋体"/>
          <w:sz w:val="24"/>
          <w:lang w:eastAsia="zh-CN"/>
        </w:rPr>
        <w:t>陕西省延安市宝塔区枣园</w:t>
      </w:r>
    </w:p>
    <w:p w14:paraId="302A073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联系电话：</w:t>
      </w:r>
      <w:r>
        <w:rPr>
          <w:rFonts w:hint="eastAsia" w:ascii="宋体" w:hAnsi="宋体" w:eastAsia="宋体" w:cs="宋体"/>
          <w:sz w:val="24"/>
          <w:lang w:val="en-US" w:eastAsia="zh-CN"/>
        </w:rPr>
        <w:t>0911-8235602</w:t>
      </w:r>
    </w:p>
    <w:p w14:paraId="09DDDB4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2.采购代理机构信息</w:t>
      </w:r>
    </w:p>
    <w:p w14:paraId="7222AEB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lang w:eastAsia="zh-CN"/>
        </w:rPr>
      </w:pPr>
      <w:r>
        <w:rPr>
          <w:rFonts w:hint="eastAsia" w:ascii="宋体" w:hAnsi="宋体" w:cs="宋体"/>
          <w:sz w:val="24"/>
        </w:rPr>
        <w:t>名称：</w:t>
      </w:r>
      <w:r>
        <w:rPr>
          <w:rFonts w:hint="eastAsia" w:ascii="宋体" w:hAnsi="宋体" w:cs="宋体"/>
          <w:sz w:val="24"/>
          <w:lang w:eastAsia="zh-CN"/>
        </w:rPr>
        <w:t>延安市宝塔区盛潮项目管理有限公司</w:t>
      </w:r>
    </w:p>
    <w:p w14:paraId="25E287D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lang w:eastAsia="zh-CN"/>
        </w:rPr>
      </w:pPr>
      <w:r>
        <w:rPr>
          <w:rFonts w:hint="eastAsia" w:ascii="宋体" w:hAnsi="宋体" w:cs="宋体"/>
          <w:sz w:val="24"/>
        </w:rPr>
        <w:t>地址：</w:t>
      </w:r>
      <w:r>
        <w:rPr>
          <w:rFonts w:hint="eastAsia" w:ascii="宋体" w:hAnsi="宋体" w:cs="宋体"/>
          <w:sz w:val="24"/>
          <w:lang w:eastAsia="zh-CN"/>
        </w:rPr>
        <w:t>陕西省延安市宝塔区新区大学生创新创业小镇G区G-2F-18</w:t>
      </w:r>
    </w:p>
    <w:p w14:paraId="3EBD66BF">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sz w:val="24"/>
          <w:lang w:val="en-US" w:eastAsia="zh-CN"/>
        </w:rPr>
      </w:pPr>
      <w:r>
        <w:rPr>
          <w:rFonts w:hint="eastAsia" w:ascii="宋体" w:hAnsi="宋体" w:cs="宋体"/>
          <w:sz w:val="24"/>
        </w:rPr>
        <w:t>联系方式：</w:t>
      </w:r>
      <w:r>
        <w:rPr>
          <w:rFonts w:hint="eastAsia" w:ascii="宋体" w:hAnsi="宋体" w:cs="宋体"/>
          <w:sz w:val="24"/>
          <w:lang w:val="en-US" w:eastAsia="zh-CN"/>
        </w:rPr>
        <w:t>18392054415</w:t>
      </w:r>
    </w:p>
    <w:p w14:paraId="00F35AF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cs="宋体"/>
          <w:sz w:val="24"/>
        </w:rPr>
        <w:t>3.项目联系方式</w:t>
      </w:r>
    </w:p>
    <w:p w14:paraId="72B18CD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lang w:val="en-US" w:eastAsia="zh-CN"/>
        </w:rPr>
      </w:pPr>
      <w:r>
        <w:rPr>
          <w:rFonts w:hint="eastAsia" w:ascii="宋体" w:hAnsi="宋体" w:cs="宋体"/>
          <w:sz w:val="24"/>
        </w:rPr>
        <w:t>项目联系人：</w:t>
      </w:r>
      <w:r>
        <w:rPr>
          <w:rFonts w:hint="eastAsia" w:ascii="宋体" w:hAnsi="宋体" w:cs="宋体"/>
          <w:sz w:val="24"/>
          <w:lang w:val="en-US" w:eastAsia="zh-CN"/>
        </w:rPr>
        <w:t>张萌</w:t>
      </w:r>
    </w:p>
    <w:p w14:paraId="54BC2AB8">
      <w:pPr>
        <w:keepNext w:val="0"/>
        <w:keepLines w:val="0"/>
        <w:pageBreakBefore w:val="0"/>
        <w:widowControl w:val="0"/>
        <w:kinsoku/>
        <w:wordWrap/>
        <w:overflowPunct/>
        <w:topLinePunct w:val="0"/>
        <w:autoSpaceDE/>
        <w:autoSpaceDN/>
        <w:bidi w:val="0"/>
        <w:adjustRightInd/>
        <w:snapToGrid/>
        <w:spacing w:line="360" w:lineRule="auto"/>
        <w:textAlignment w:val="auto"/>
      </w:pPr>
      <w:r>
        <w:rPr>
          <w:rFonts w:hint="eastAsia" w:ascii="宋体" w:hAnsi="宋体" w:cs="宋体"/>
          <w:sz w:val="24"/>
        </w:rPr>
        <w:t>电话：</w:t>
      </w:r>
      <w:r>
        <w:rPr>
          <w:rFonts w:hint="eastAsia" w:ascii="宋体" w:hAnsi="宋体" w:cs="宋体"/>
          <w:sz w:val="24"/>
          <w:lang w:val="en-US" w:eastAsia="zh-CN"/>
        </w:rPr>
        <w:t>18392054415</w:t>
      </w:r>
    </w:p>
    <w:p w14:paraId="60EA28FA">
      <w:pPr>
        <w:pStyle w:val="15"/>
        <w:spacing w:line="360" w:lineRule="auto"/>
        <w:rPr>
          <w:rFonts w:hint="eastAsia" w:ascii="宋体" w:hAnsi="宋体" w:cs="宋体"/>
          <w:sz w:val="24"/>
          <w:szCs w:val="24"/>
        </w:rPr>
        <w:sectPr>
          <w:footerReference r:id="rId7" w:type="default"/>
          <w:pgSz w:w="11906" w:h="16838"/>
          <w:pgMar w:top="1235" w:right="1134" w:bottom="1021" w:left="1321" w:header="851" w:footer="824" w:gutter="0"/>
          <w:pgNumType w:fmt="numberInDash" w:start="1"/>
          <w:cols w:space="720" w:num="1"/>
          <w:docGrid w:type="lines" w:linePitch="312" w:charSpace="0"/>
        </w:sectPr>
      </w:pPr>
    </w:p>
    <w:p w14:paraId="0C9A9842">
      <w:pPr>
        <w:pStyle w:val="2"/>
        <w:spacing w:line="40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第二部分 </w:t>
      </w:r>
      <w:r>
        <w:rPr>
          <w:rFonts w:hint="eastAsia" w:ascii="宋体" w:hAnsi="宋体" w:eastAsia="宋体" w:cs="宋体"/>
          <w:sz w:val="32"/>
          <w:szCs w:val="32"/>
          <w:highlight w:val="none"/>
          <w:lang w:eastAsia="zh-CN"/>
        </w:rPr>
        <w:t>供应商</w:t>
      </w:r>
      <w:r>
        <w:rPr>
          <w:rFonts w:hint="eastAsia" w:ascii="宋体" w:hAnsi="宋体" w:eastAsia="宋体" w:cs="宋体"/>
          <w:sz w:val="32"/>
          <w:szCs w:val="32"/>
          <w:highlight w:val="none"/>
        </w:rPr>
        <w:t>须知</w:t>
      </w:r>
    </w:p>
    <w:p w14:paraId="16467989">
      <w:pPr>
        <w:pStyle w:val="3"/>
        <w:ind w:firstLine="643" w:firstLineChars="200"/>
        <w:jc w:val="cente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一．名词解释</w:t>
      </w:r>
    </w:p>
    <w:p w14:paraId="6C4CA154">
      <w:pPr>
        <w:numPr>
          <w:ilvl w:val="0"/>
          <w:numId w:val="2"/>
        </w:numP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采购人：</w:t>
      </w:r>
      <w:r>
        <w:rPr>
          <w:rFonts w:hint="eastAsia" w:ascii="宋体" w:hAnsi="宋体" w:cs="宋体"/>
          <w:bCs/>
          <w:sz w:val="24"/>
          <w:szCs w:val="24"/>
          <w:highlight w:val="none"/>
          <w:lang w:eastAsia="zh-CN"/>
        </w:rPr>
        <w:t>延安职业技术学院</w:t>
      </w:r>
    </w:p>
    <w:p w14:paraId="0B099FC0">
      <w:pPr>
        <w:numPr>
          <w:ilvl w:val="0"/>
          <w:numId w:val="2"/>
        </w:numP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采购代理机构</w:t>
      </w:r>
      <w:r>
        <w:rPr>
          <w:rFonts w:hint="eastAsia" w:ascii="宋体" w:hAnsi="宋体" w:eastAsia="宋体" w:cs="宋体"/>
          <w:bCs/>
          <w:sz w:val="24"/>
          <w:szCs w:val="24"/>
          <w:highlight w:val="none"/>
        </w:rPr>
        <w:t>：</w:t>
      </w:r>
      <w:r>
        <w:rPr>
          <w:rFonts w:hint="eastAsia" w:ascii="宋体" w:hAnsi="宋体" w:cs="宋体"/>
          <w:bCs/>
          <w:sz w:val="24"/>
          <w:szCs w:val="24"/>
          <w:highlight w:val="none"/>
          <w:lang w:eastAsia="zh-CN"/>
        </w:rPr>
        <w:t>延安市宝塔区盛潮项目管理有限公司</w:t>
      </w:r>
    </w:p>
    <w:p w14:paraId="14189532">
      <w:pPr>
        <w:numPr>
          <w:ilvl w:val="0"/>
          <w:numId w:val="2"/>
        </w:numP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eastAsia="zh-CN"/>
        </w:rPr>
        <w:t>供应商</w:t>
      </w:r>
      <w:r>
        <w:rPr>
          <w:rFonts w:hint="eastAsia" w:ascii="宋体" w:hAnsi="宋体" w:eastAsia="宋体" w:cs="宋体"/>
          <w:bCs/>
          <w:sz w:val="24"/>
          <w:szCs w:val="24"/>
          <w:highlight w:val="none"/>
        </w:rPr>
        <w:t>：满足本次磋商要求、具有相应资质和完成项目能力的供应商</w:t>
      </w:r>
    </w:p>
    <w:p w14:paraId="534423C6">
      <w:pPr>
        <w:numPr>
          <w:ilvl w:val="0"/>
          <w:numId w:val="2"/>
        </w:numPr>
        <w:tabs>
          <w:tab w:val="left" w:pos="600"/>
        </w:tabs>
        <w:spacing w:line="360" w:lineRule="auto"/>
        <w:ind w:left="239" w:leftChars="114" w:firstLine="0"/>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标书</w:t>
      </w:r>
      <w:r>
        <w:rPr>
          <w:rFonts w:hint="eastAsia" w:ascii="宋体" w:hAnsi="宋体" w:eastAsia="宋体" w:cs="宋体"/>
          <w:bCs/>
          <w:sz w:val="24"/>
          <w:szCs w:val="24"/>
          <w:highlight w:val="none"/>
        </w:rPr>
        <w:t>：磋商文件与响应文件的统称</w:t>
      </w:r>
    </w:p>
    <w:p w14:paraId="26BC07F9">
      <w:pPr>
        <w:numPr>
          <w:ilvl w:val="0"/>
          <w:numId w:val="2"/>
        </w:numPr>
        <w:tabs>
          <w:tab w:val="left" w:pos="600"/>
        </w:tabs>
        <w:spacing w:line="360" w:lineRule="auto"/>
        <w:ind w:left="239" w:leftChars="114" w:firstLine="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成交</w:t>
      </w:r>
      <w:r>
        <w:rPr>
          <w:rFonts w:hint="eastAsia" w:ascii="宋体" w:hAnsi="宋体" w:eastAsia="宋体" w:cs="宋体"/>
          <w:b/>
          <w:bCs/>
          <w:sz w:val="24"/>
          <w:szCs w:val="24"/>
          <w:highlight w:val="none"/>
        </w:rPr>
        <w:t>供应商</w:t>
      </w:r>
      <w:r>
        <w:rPr>
          <w:rFonts w:hint="eastAsia" w:ascii="宋体" w:hAnsi="宋体" w:eastAsia="宋体" w:cs="宋体"/>
          <w:bCs/>
          <w:sz w:val="24"/>
          <w:szCs w:val="24"/>
          <w:highlight w:val="none"/>
        </w:rPr>
        <w:t>：磋商小组推荐的</w:t>
      </w:r>
      <w:r>
        <w:rPr>
          <w:rFonts w:hint="eastAsia" w:ascii="宋体" w:hAnsi="宋体" w:eastAsia="宋体" w:cs="宋体"/>
          <w:bCs/>
          <w:sz w:val="24"/>
          <w:szCs w:val="24"/>
          <w:highlight w:val="none"/>
          <w:lang w:eastAsia="zh-CN"/>
        </w:rPr>
        <w:t>供应商</w:t>
      </w:r>
    </w:p>
    <w:p w14:paraId="33EB39A4">
      <w:pPr>
        <w:pStyle w:val="3"/>
        <w:ind w:firstLine="643" w:firstLineChars="200"/>
        <w:jc w:val="center"/>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t>二．供应商</w:t>
      </w:r>
    </w:p>
    <w:p w14:paraId="31E2A447">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1、合格</w:t>
      </w:r>
      <w:r>
        <w:rPr>
          <w:rFonts w:hint="eastAsia" w:ascii="宋体" w:hAnsi="宋体" w:eastAsia="宋体" w:cs="宋体"/>
          <w:sz w:val="24"/>
          <w:szCs w:val="24"/>
          <w:highlight w:val="none"/>
          <w:lang w:eastAsia="zh-CN"/>
        </w:rPr>
        <w:t>供应商</w:t>
      </w:r>
    </w:p>
    <w:p w14:paraId="0E7514FD">
      <w:pP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（1）凡具有法人资格，在国内注册的经营采购人所需服务的商家且具较大的经营规模，具备承担磋商项目的能力；</w:t>
      </w:r>
    </w:p>
    <w:p w14:paraId="1B04F874">
      <w:pP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（2）具有独立承担民事责任能力和履行合同所必需的专业技术能力；具有可靠的质量保障和售后服务；</w:t>
      </w:r>
    </w:p>
    <w:p w14:paraId="031E3CF8">
      <w:pP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（3）具有良好的商业信誉和健全的财务会计制度；</w:t>
      </w:r>
    </w:p>
    <w:p w14:paraId="2C3C88B5">
      <w:pP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41A68A91">
      <w:pP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14:paraId="40C2CB1B">
      <w:pP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（6）没有重大经济纠纷；</w:t>
      </w:r>
    </w:p>
    <w:p w14:paraId="074152BB">
      <w:pP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（7）法律、行政法规规定的其他条件；</w:t>
      </w:r>
    </w:p>
    <w:p w14:paraId="0407AB55">
      <w:pP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（8）完全同意并愿意自觉遵守本磋商文件中的所有规定和要求；</w:t>
      </w:r>
    </w:p>
    <w:p w14:paraId="1449C531">
      <w:pP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（9）单位负责人为同一人或者存在直接控股、管理关系的不同供应商，不得参加同一合同项下的政府采购活动。</w:t>
      </w:r>
    </w:p>
    <w:p w14:paraId="7ED9A909">
      <w:pPr>
        <w:spacing w:line="312"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除单一来源采购项目外，为磋商项目提供整体设计、规范编制或者项目管理、监理、检测等服务的供应商，不得再参加该采购项目的其他活动。</w:t>
      </w:r>
    </w:p>
    <w:p w14:paraId="1F029E44">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2、磋商委托</w:t>
      </w:r>
    </w:p>
    <w:p w14:paraId="3260A31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如</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代表不是法定代表人，须有《法定代表人授权书》。</w:t>
      </w:r>
    </w:p>
    <w:p w14:paraId="0FC9B9C4">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3、投标费用</w:t>
      </w:r>
    </w:p>
    <w:p w14:paraId="7079F7A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自行承担参加磋商相关的全部费用，无论磋商的结果如何。</w:t>
      </w:r>
    </w:p>
    <w:p w14:paraId="082079F8">
      <w:pPr>
        <w:pStyle w:val="3"/>
        <w:ind w:firstLine="643" w:firstLineChars="20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三．</w:t>
      </w:r>
      <w:r>
        <w:rPr>
          <w:rFonts w:hint="eastAsia" w:ascii="宋体" w:hAnsi="宋体" w:eastAsia="宋体" w:cs="宋体"/>
          <w:sz w:val="32"/>
          <w:szCs w:val="32"/>
          <w:highlight w:val="none"/>
          <w:lang w:eastAsia="zh-CN"/>
        </w:rPr>
        <w:t>磋商</w:t>
      </w:r>
      <w:r>
        <w:rPr>
          <w:rFonts w:hint="eastAsia" w:ascii="宋体" w:hAnsi="宋体" w:eastAsia="宋体" w:cs="宋体"/>
          <w:sz w:val="32"/>
          <w:szCs w:val="32"/>
          <w:highlight w:val="none"/>
        </w:rPr>
        <w:t>文件</w:t>
      </w:r>
    </w:p>
    <w:p w14:paraId="369DB5B1">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1、磋商文件</w:t>
      </w:r>
    </w:p>
    <w:p w14:paraId="1544C5C1">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磋商文件由磋商文件总目录所列内容组成；供应商应详细阅读磋商文件中所有的事项、格式、条款和规范要求,在响应文件中对磋商文件的各方面都应做出实质性的响应，按照磋商文件的要求提交全部资料。</w:t>
      </w:r>
    </w:p>
    <w:p w14:paraId="3EE3FEDA">
      <w:pPr>
        <w:pStyle w:val="4"/>
        <w:ind w:firstLine="482"/>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2、磋商文件的澄清</w:t>
      </w:r>
      <w:r>
        <w:rPr>
          <w:rFonts w:hint="eastAsia" w:ascii="宋体" w:hAnsi="宋体" w:eastAsia="宋体" w:cs="宋体"/>
          <w:sz w:val="24"/>
          <w:szCs w:val="24"/>
          <w:highlight w:val="none"/>
          <w:lang w:val="en-US" w:eastAsia="zh-CN"/>
        </w:rPr>
        <w:t>与修改</w:t>
      </w:r>
    </w:p>
    <w:p w14:paraId="7C3923F9">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（1）采购代理机构对已发出的磋商文件进行必要澄清或者修改的，在磋商文件要求提交响应文件截止时间五日前，</w:t>
      </w:r>
      <w:r>
        <w:rPr>
          <w:rFonts w:hint="eastAsia" w:ascii="宋体" w:hAnsi="宋体" w:eastAsia="宋体" w:cs="宋体"/>
          <w:sz w:val="24"/>
          <w:szCs w:val="24"/>
          <w:highlight w:val="none"/>
          <w:lang w:val="en-US" w:eastAsia="zh-CN"/>
        </w:rPr>
        <w:t>在</w:t>
      </w:r>
      <w:r>
        <w:rPr>
          <w:rFonts w:hint="eastAsia" w:ascii="宋体" w:hAnsi="宋体" w:eastAsia="宋体" w:cs="宋体"/>
          <w:sz w:val="24"/>
          <w:szCs w:val="24"/>
          <w:highlight w:val="none"/>
        </w:rPr>
        <w:t>全国公共资源交易平台（陕西省·延安市）</w:t>
      </w:r>
      <w:r>
        <w:rPr>
          <w:rFonts w:hint="eastAsia" w:ascii="宋体" w:hAnsi="宋体" w:eastAsia="宋体" w:cs="宋体"/>
          <w:sz w:val="24"/>
          <w:szCs w:val="24"/>
          <w:highlight w:val="none"/>
          <w:lang w:val="en-US" w:eastAsia="zh-CN"/>
        </w:rPr>
        <w:t>上传澄清文件，</w:t>
      </w:r>
      <w:r>
        <w:rPr>
          <w:rFonts w:hint="eastAsia" w:ascii="宋体" w:hAnsi="宋体" w:eastAsia="宋体" w:cs="宋体"/>
          <w:sz w:val="24"/>
          <w:szCs w:val="24"/>
          <w:highlight w:val="none"/>
        </w:rPr>
        <w:t>该澄清或者修改的内容作为磋商文件的组成部分，与其具有同等法律效力；</w:t>
      </w:r>
    </w:p>
    <w:p w14:paraId="4D9F8AAB">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（2）为方便供应商对磋商文件修改或澄清内容有充分的时间进行补充修改，采购代理机构可延长磋商截止时间和</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时间，采购代理机构应在磋商文件要求提交响应文件的截止时间五日前，</w:t>
      </w:r>
      <w:r>
        <w:rPr>
          <w:rFonts w:hint="eastAsia" w:ascii="宋体" w:hAnsi="宋体" w:eastAsia="宋体" w:cs="宋体"/>
          <w:sz w:val="24"/>
          <w:szCs w:val="24"/>
          <w:highlight w:val="none"/>
          <w:lang w:val="en-US" w:eastAsia="zh-CN"/>
        </w:rPr>
        <w:t>及时</w:t>
      </w:r>
      <w:r>
        <w:rPr>
          <w:rFonts w:hint="eastAsia" w:ascii="宋体" w:hAnsi="宋体" w:eastAsia="宋体" w:cs="宋体"/>
          <w:sz w:val="24"/>
          <w:szCs w:val="24"/>
          <w:highlight w:val="none"/>
        </w:rPr>
        <w:t>变更</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val="en-US" w:eastAsia="zh-CN"/>
        </w:rPr>
        <w:t>应及时登录</w:t>
      </w:r>
      <w:r>
        <w:rPr>
          <w:rFonts w:hint="eastAsia" w:ascii="宋体" w:hAnsi="宋体" w:eastAsia="宋体" w:cs="宋体"/>
          <w:sz w:val="24"/>
          <w:szCs w:val="24"/>
          <w:highlight w:val="none"/>
        </w:rPr>
        <w:t>全国公共资源交易平台（陕西省·延安市）</w:t>
      </w:r>
      <w:r>
        <w:rPr>
          <w:rFonts w:hint="eastAsia" w:ascii="宋体" w:hAnsi="宋体" w:eastAsia="宋体" w:cs="宋体"/>
          <w:sz w:val="24"/>
          <w:szCs w:val="24"/>
          <w:highlight w:val="none"/>
          <w:lang w:val="en-US" w:eastAsia="zh-CN"/>
        </w:rPr>
        <w:t>查看项目详细信息</w:t>
      </w:r>
      <w:r>
        <w:rPr>
          <w:rFonts w:hint="eastAsia" w:ascii="宋体" w:hAnsi="宋体" w:eastAsia="宋体" w:cs="宋体"/>
          <w:sz w:val="24"/>
          <w:szCs w:val="24"/>
          <w:highlight w:val="none"/>
        </w:rPr>
        <w:t>。各供应商对文件中有关表述不准确或难以理解或有疑义的内容，及时与有关部门人员联系</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否则，因此带来的一切不利后果由各供应商自负。</w:t>
      </w:r>
    </w:p>
    <w:p w14:paraId="48F121CB">
      <w:pPr>
        <w:pStyle w:val="19"/>
        <w:spacing w:before="0" w:beforeAutospacing="0" w:after="0" w:afterAutospacing="0" w:line="360" w:lineRule="auto"/>
        <w:ind w:firstLine="241" w:firstLineChars="100"/>
        <w:rPr>
          <w:rFonts w:hint="eastAsia" w:ascii="宋体" w:hAnsi="宋体" w:eastAsia="宋体" w:cs="宋体"/>
          <w:color w:val="auto"/>
          <w:sz w:val="24"/>
          <w:szCs w:val="24"/>
          <w:highlight w:val="none"/>
        </w:rPr>
      </w:pPr>
      <w:r>
        <w:rPr>
          <w:rFonts w:hint="eastAsia" w:ascii="宋体" w:hAnsi="宋体" w:eastAsia="宋体" w:cs="宋体"/>
          <w:b/>
          <w:color w:val="auto"/>
          <w:kern w:val="2"/>
          <w:sz w:val="24"/>
          <w:szCs w:val="24"/>
          <w:highlight w:val="none"/>
        </w:rPr>
        <w:t>3、质疑提出与答复</w:t>
      </w:r>
    </w:p>
    <w:p w14:paraId="420A5D35">
      <w:pPr>
        <w:pStyle w:val="19"/>
        <w:spacing w:before="0" w:beforeAutospacing="0" w:after="0" w:afterAutospacing="0" w:line="360" w:lineRule="auto"/>
        <w:ind w:firstLine="360" w:firstLineChars="15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认为采购文件、采购过程、中标结果使自己的权益受到损害的，可以在知道或者应知其权益受到损害之日起七个工作日内，</w:t>
      </w:r>
      <w:r>
        <w:rPr>
          <w:rFonts w:hint="eastAsia" w:ascii="宋体" w:hAnsi="宋体" w:eastAsia="宋体" w:cs="宋体"/>
          <w:color w:val="auto"/>
          <w:kern w:val="2"/>
          <w:sz w:val="24"/>
          <w:szCs w:val="24"/>
          <w:highlight w:val="none"/>
        </w:rPr>
        <w:t>以书面形式向采购代理机构提出（质疑函接收联系人、联系电话和通讯地址等详见</w:t>
      </w:r>
      <w:r>
        <w:rPr>
          <w:rFonts w:hint="eastAsia" w:ascii="宋体" w:hAnsi="宋体" w:eastAsia="宋体" w:cs="宋体"/>
          <w:color w:val="auto"/>
          <w:kern w:val="2"/>
          <w:sz w:val="24"/>
          <w:szCs w:val="24"/>
          <w:highlight w:val="none"/>
          <w:lang w:val="en-US" w:eastAsia="zh-CN"/>
        </w:rPr>
        <w:t>竞争性磋商</w:t>
      </w:r>
      <w:r>
        <w:rPr>
          <w:rFonts w:hint="eastAsia" w:ascii="宋体" w:hAnsi="宋体" w:eastAsia="宋体" w:cs="宋体"/>
          <w:color w:val="auto"/>
          <w:kern w:val="2"/>
          <w:sz w:val="24"/>
          <w:szCs w:val="24"/>
          <w:highlight w:val="none"/>
        </w:rPr>
        <w:t xml:space="preserve">公告）。 </w:t>
      </w:r>
    </w:p>
    <w:p w14:paraId="169D73CB">
      <w:pPr>
        <w:pStyle w:val="19"/>
        <w:spacing w:before="0" w:beforeAutospacing="0" w:after="0" w:afterAutospacing="0" w:line="360" w:lineRule="auto"/>
        <w:ind w:firstLine="360" w:firstLineChars="15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0FCC580A">
      <w:pPr>
        <w:snapToGrid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质疑函应当包括下列内容：</w:t>
      </w:r>
    </w:p>
    <w:p w14:paraId="02E5DC70">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的姓名或者名称、地址、邮编、联系人及联系电话；</w:t>
      </w:r>
    </w:p>
    <w:p w14:paraId="1AD76F7E">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7B3882E9">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1FF0ED32">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3B9E46EA">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0FD4AE9C">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 </w:t>
      </w:r>
    </w:p>
    <w:p w14:paraId="0C84AA2F">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须在法定质疑期内一次性提出针对同一采购程序环节的质疑。</w:t>
      </w:r>
    </w:p>
    <w:p w14:paraId="3F91D6AD">
      <w:pPr>
        <w:snapToGrid w:val="0"/>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（3）质疑有以下情形之一的，采购代理机构不予受理：</w:t>
      </w:r>
    </w:p>
    <w:p w14:paraId="59128694">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1、未按规定程序和渠道提出质疑的；</w:t>
      </w:r>
    </w:p>
    <w:p w14:paraId="5CCB8193">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2、超过法定质疑期限的； </w:t>
      </w:r>
    </w:p>
    <w:p w14:paraId="19BDD6BA">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3、书面质疑的形式和内容不符合上述要求的；</w:t>
      </w:r>
    </w:p>
    <w:p w14:paraId="7CB4E5F5">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4、提出的质疑事项已经明确答复的； </w:t>
      </w:r>
    </w:p>
    <w:p w14:paraId="2A85F45E">
      <w:pPr>
        <w:pStyle w:val="4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5、法律法规规定的其他不予受理的条件。</w:t>
      </w:r>
    </w:p>
    <w:p w14:paraId="2422D7D8">
      <w:pPr>
        <w:pStyle w:val="19"/>
        <w:spacing w:before="0" w:beforeAutospacing="0" w:after="0" w:afterAutospacing="0"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kern w:val="2"/>
          <w:sz w:val="24"/>
          <w:szCs w:val="24"/>
          <w:highlight w:val="none"/>
        </w:rPr>
        <w:t>采购代理机构应当在收到质疑函后</w:t>
      </w:r>
      <w:r>
        <w:rPr>
          <w:rFonts w:hint="eastAsia" w:ascii="宋体" w:hAnsi="宋体" w:eastAsia="宋体" w:cs="宋体"/>
          <w:color w:val="auto"/>
          <w:sz w:val="24"/>
          <w:szCs w:val="24"/>
          <w:highlight w:val="none"/>
        </w:rPr>
        <w:t>七个工作日内做出书面答复。答复内容同时通知与处理结果有关的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，但答复内容不得涉及</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的商业秘密。</w:t>
      </w:r>
    </w:p>
    <w:p w14:paraId="40BE572E">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、磋商文件的领取</w:t>
      </w:r>
    </w:p>
    <w:p w14:paraId="2E82E00F">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供应商必须从全国公共资源交易平台（陕西省·延安市）下载磋商文件，供应商自行转让或复制的磋商文件视为无效文件</w:t>
      </w:r>
      <w:r>
        <w:rPr>
          <w:rFonts w:hint="eastAsia" w:ascii="宋体" w:hAnsi="宋体" w:eastAsia="宋体" w:cs="宋体"/>
          <w:sz w:val="24"/>
          <w:szCs w:val="24"/>
          <w:highlight w:val="none"/>
          <w:lang w:eastAsia="zh-CN"/>
        </w:rPr>
        <w:t>。</w:t>
      </w:r>
    </w:p>
    <w:p w14:paraId="193E0E24">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、磋商的处理依据</w:t>
      </w:r>
    </w:p>
    <w:p w14:paraId="22D2ADE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有权对在磋商过程中出现的一切问题，根据《中华人民共和国政府采购法》、《政府采购竞争性磋商采购方式管理暂行办法》、《中华人民共和国政府采购法实施条例》和陕财办采资[2014]143号《关于进一步规范政府采购活动的通知》有关规定，本着公开、公平、公正的原则进行处理。</w:t>
      </w:r>
    </w:p>
    <w:p w14:paraId="10935778">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、解释权归属</w:t>
      </w:r>
    </w:p>
    <w:p w14:paraId="7A05116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本磋商文件的解释权归采购代理机构。</w:t>
      </w:r>
    </w:p>
    <w:p w14:paraId="68818641">
      <w:pPr>
        <w:pStyle w:val="3"/>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rPr>
        <w:t>四．</w:t>
      </w:r>
      <w:r>
        <w:rPr>
          <w:rFonts w:hint="eastAsia" w:ascii="宋体" w:hAnsi="宋体" w:eastAsia="宋体" w:cs="宋体"/>
          <w:sz w:val="32"/>
          <w:szCs w:val="32"/>
          <w:highlight w:val="none"/>
          <w:lang w:eastAsia="zh-CN"/>
        </w:rPr>
        <w:t>磋商</w:t>
      </w:r>
      <w:r>
        <w:rPr>
          <w:rFonts w:hint="eastAsia" w:ascii="宋体" w:hAnsi="宋体" w:eastAsia="宋体" w:cs="宋体"/>
          <w:sz w:val="32"/>
          <w:szCs w:val="32"/>
          <w:highlight w:val="none"/>
        </w:rPr>
        <w:t>要求</w:t>
      </w:r>
    </w:p>
    <w:p w14:paraId="14797900">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1、磋商文件内容</w:t>
      </w:r>
    </w:p>
    <w:p w14:paraId="2EBA1EAE">
      <w:pPr>
        <w:kinsoku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本次竞争性磋商项目共</w:t>
      </w:r>
      <w:r>
        <w:rPr>
          <w:rFonts w:hint="eastAsia" w:ascii="宋体" w:hAnsi="宋体" w:cs="宋体"/>
          <w:color w:val="auto"/>
          <w:sz w:val="24"/>
          <w:szCs w:val="24"/>
          <w:highlight w:val="none"/>
          <w:lang w:val="en-US" w:eastAsia="zh-CN"/>
        </w:rPr>
        <w:t>分为两</w:t>
      </w:r>
      <w:r>
        <w:rPr>
          <w:rFonts w:hint="eastAsia" w:ascii="宋体" w:hAnsi="宋体" w:eastAsia="宋体" w:cs="宋体"/>
          <w:color w:val="auto"/>
          <w:sz w:val="24"/>
          <w:szCs w:val="24"/>
          <w:highlight w:val="none"/>
        </w:rPr>
        <w:t>个标</w:t>
      </w:r>
      <w:r>
        <w:rPr>
          <w:rFonts w:hint="eastAsia" w:ascii="宋体" w:hAnsi="宋体" w:cs="宋体"/>
          <w:color w:val="auto"/>
          <w:sz w:val="24"/>
          <w:szCs w:val="24"/>
          <w:highlight w:val="none"/>
          <w:lang w:val="en-US" w:eastAsia="zh-CN"/>
        </w:rPr>
        <w:t>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磋商、定标、签订合同均以标</w:t>
      </w:r>
      <w:r>
        <w:rPr>
          <w:rFonts w:hint="eastAsia" w:ascii="宋体" w:hAnsi="宋体" w:cs="宋体"/>
          <w:color w:val="auto"/>
          <w:sz w:val="24"/>
          <w:szCs w:val="24"/>
          <w:highlight w:val="none"/>
          <w:lang w:val="en-US" w:eastAsia="zh-CN"/>
        </w:rPr>
        <w:t>包</w:t>
      </w:r>
      <w:r>
        <w:rPr>
          <w:rFonts w:hint="eastAsia" w:ascii="宋体" w:hAnsi="宋体" w:eastAsia="宋体" w:cs="宋体"/>
          <w:color w:val="auto"/>
          <w:sz w:val="24"/>
          <w:szCs w:val="24"/>
          <w:highlight w:val="none"/>
        </w:rPr>
        <w:t>为单位进行。</w:t>
      </w:r>
    </w:p>
    <w:p w14:paraId="7B986A8A">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2、供应商须提交以下资质文件：</w:t>
      </w:r>
    </w:p>
    <w:p w14:paraId="2376A927">
      <w:pPr>
        <w:numPr>
          <w:ilvl w:val="0"/>
          <w:numId w:val="0"/>
        </w:numPr>
        <w:kinsoku w:val="0"/>
        <w:spacing w:line="360" w:lineRule="auto"/>
        <w:ind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符合《中华人民共和国政府采购法》第二十二条规定；</w:t>
      </w:r>
    </w:p>
    <w:p w14:paraId="3DBFF329">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eastAsia="宋体" w:cs="宋体"/>
          <w:bCs/>
          <w:sz w:val="24"/>
          <w:szCs w:val="24"/>
          <w:highlight w:val="none"/>
          <w:lang w:val="en-US" w:eastAsia="zh-CN"/>
        </w:rPr>
        <w:t xml:space="preserve">   </w:t>
      </w:r>
      <w:r>
        <w:rPr>
          <w:rFonts w:hint="eastAsia" w:ascii="宋体" w:hAnsi="宋体" w:cs="宋体"/>
          <w:bCs/>
          <w:sz w:val="24"/>
          <w:szCs w:val="24"/>
          <w:highlight w:val="none"/>
          <w:lang w:val="en-US" w:eastAsia="zh-CN"/>
        </w:rPr>
        <w:t>（1）</w:t>
      </w:r>
      <w:r>
        <w:rPr>
          <w:rFonts w:hint="eastAsia" w:ascii="宋体" w:hAnsi="宋体" w:cs="宋体"/>
          <w:sz w:val="24"/>
        </w:rPr>
        <w:t>具有独立承担民事责任能力的法人或其他组织，提供合法有效的统一社会信用代码的营业执照（附年度报告书）或事业单位法人证书等国家规定的相关证明，自然人参与的提供其身份证明；</w:t>
      </w:r>
    </w:p>
    <w:p w14:paraId="0BD00DD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rPr>
      </w:pPr>
      <w:r>
        <w:rPr>
          <w:rFonts w:hint="eastAsia" w:ascii="宋体" w:hAnsi="宋体" w:cs="宋体"/>
          <w:sz w:val="24"/>
          <w:lang w:val="en-US" w:eastAsia="zh-CN"/>
        </w:rPr>
        <w:t>（2）法定代表人授权书（委托代理人参加须提供法定代表人授权书、法定代表人身份证复印件及被授权人身份证）或法定代表人身份证明（法定代表人直接参加只须提供本人身份证）</w:t>
      </w:r>
      <w:r>
        <w:rPr>
          <w:rFonts w:hint="eastAsia" w:ascii="宋体" w:hAnsi="宋体" w:cs="宋体"/>
          <w:sz w:val="24"/>
        </w:rPr>
        <w:t>；</w:t>
      </w:r>
    </w:p>
    <w:p w14:paraId="3CECBB3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lang w:eastAsia="zh-CN"/>
        </w:rPr>
      </w:pPr>
      <w:r>
        <w:rPr>
          <w:rFonts w:hint="eastAsia" w:ascii="宋体" w:hAnsi="宋体" w:cs="宋体"/>
          <w:sz w:val="24"/>
          <w:lang w:val="en-US" w:eastAsia="zh-CN"/>
        </w:rPr>
        <w:t>（3）供应商</w:t>
      </w:r>
      <w:r>
        <w:rPr>
          <w:rFonts w:hint="eastAsia" w:ascii="宋体" w:hAnsi="宋体" w:cs="宋体"/>
          <w:sz w:val="24"/>
          <w:lang w:eastAsia="zh-CN"/>
        </w:rPr>
        <w:t>需提供财务状况、缴纳税收和社保缴纳三项符合要求的承诺函（无需另行提供证明文件）；</w:t>
      </w:r>
    </w:p>
    <w:p w14:paraId="5747E1D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lang w:val="en-US" w:eastAsia="zh-CN"/>
        </w:rPr>
      </w:pPr>
      <w:r>
        <w:rPr>
          <w:rFonts w:hint="eastAsia" w:ascii="宋体" w:hAnsi="宋体" w:cs="宋体"/>
          <w:sz w:val="24"/>
          <w:lang w:val="en-US" w:eastAsia="zh-CN"/>
        </w:rPr>
        <w:t>（4）供应商应出具参加政府采购活动前3年内在经营活动中没有重大违法记录的书面声明；</w:t>
      </w:r>
    </w:p>
    <w:p w14:paraId="06B7E685">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5</w:t>
      </w:r>
      <w:r>
        <w:rPr>
          <w:rFonts w:hint="eastAsia" w:ascii="宋体" w:hAnsi="宋体" w:cs="宋体"/>
          <w:sz w:val="24"/>
          <w:lang w:eastAsia="zh-CN"/>
        </w:rPr>
        <w:t>）</w:t>
      </w:r>
      <w:r>
        <w:rPr>
          <w:rFonts w:hint="eastAsia" w:ascii="宋体" w:hAnsi="宋体" w:cs="宋体"/>
          <w:sz w:val="24"/>
        </w:rPr>
        <w:t>信用记录：提供《</w:t>
      </w:r>
      <w:r>
        <w:rPr>
          <w:rFonts w:hint="eastAsia" w:ascii="宋体" w:hAnsi="宋体" w:cs="宋体"/>
          <w:sz w:val="24"/>
          <w:lang w:val="en-US" w:eastAsia="zh-CN"/>
        </w:rPr>
        <w:t>供应商</w:t>
      </w:r>
      <w:r>
        <w:rPr>
          <w:rFonts w:hint="eastAsia" w:ascii="宋体" w:hAnsi="宋体" w:cs="宋体"/>
          <w:sz w:val="24"/>
        </w:rPr>
        <w:t>信用记录书面声明函》（按格式填写）经查，投标人未被列入“信用中国”网站记录的“严重失信主体”或“重大税收违法失信主体”名单；不处于“中国政府采购网”记录的“政府采购严重违法失信行为信息记录名单”中的禁止参加政府采购活动期间；</w:t>
      </w:r>
    </w:p>
    <w:p w14:paraId="48591F8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rPr>
      </w:pPr>
      <w:r>
        <w:rPr>
          <w:rFonts w:hint="eastAsia" w:ascii="宋体" w:hAnsi="宋体" w:cs="宋体"/>
          <w:sz w:val="24"/>
          <w:lang w:val="en-US" w:eastAsia="zh-CN"/>
        </w:rPr>
        <w:t>（6）本项目专门面向中小企业采购，供应商需提供《中小企业声明函》</w:t>
      </w:r>
      <w:r>
        <w:rPr>
          <w:rFonts w:hint="eastAsia" w:ascii="宋体" w:hAnsi="宋体" w:cs="宋体"/>
          <w:sz w:val="24"/>
        </w:rPr>
        <w:t>；</w:t>
      </w:r>
    </w:p>
    <w:p w14:paraId="7BB4471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7</w:t>
      </w:r>
      <w:r>
        <w:rPr>
          <w:rFonts w:hint="eastAsia" w:ascii="宋体" w:hAnsi="宋体" w:cs="宋体"/>
          <w:sz w:val="24"/>
          <w:lang w:eastAsia="zh-CN"/>
        </w:rPr>
        <w:t>）</w:t>
      </w:r>
      <w:r>
        <w:rPr>
          <w:rFonts w:hint="eastAsia" w:ascii="宋体" w:hAnsi="宋体" w:cs="宋体"/>
          <w:sz w:val="24"/>
        </w:rPr>
        <w:t>单位负责人为同一人或者存在直接控股、管理关系的不同</w:t>
      </w:r>
      <w:r>
        <w:rPr>
          <w:rFonts w:hint="eastAsia" w:ascii="宋体" w:hAnsi="宋体" w:cs="宋体"/>
          <w:sz w:val="24"/>
          <w:lang w:val="en-US" w:eastAsia="zh-CN"/>
        </w:rPr>
        <w:t>投标人</w:t>
      </w:r>
      <w:r>
        <w:rPr>
          <w:rFonts w:hint="eastAsia" w:ascii="宋体" w:hAnsi="宋体" w:cs="宋体"/>
          <w:sz w:val="24"/>
        </w:rPr>
        <w:t>，不得参加同一合同项下的政府采购活动</w:t>
      </w:r>
      <w:r>
        <w:rPr>
          <w:rFonts w:hint="eastAsia" w:ascii="宋体" w:hAnsi="宋体" w:cs="宋体"/>
          <w:sz w:val="24"/>
          <w:lang w:eastAsia="zh-CN"/>
        </w:rPr>
        <w:t>；</w:t>
      </w:r>
    </w:p>
    <w:p w14:paraId="0294558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rPr>
      </w:pPr>
      <w:r>
        <w:rPr>
          <w:rFonts w:hint="eastAsia" w:ascii="宋体" w:hAnsi="宋体" w:cs="宋体"/>
          <w:sz w:val="24"/>
          <w:lang w:val="en-US" w:eastAsia="zh-CN"/>
        </w:rPr>
        <w:t>（8）</w:t>
      </w:r>
      <w:r>
        <w:rPr>
          <w:rFonts w:hint="eastAsia" w:ascii="宋体" w:hAnsi="宋体" w:cs="宋体"/>
          <w:sz w:val="24"/>
        </w:rPr>
        <w:t>本项目不接受联合体</w:t>
      </w:r>
      <w:r>
        <w:rPr>
          <w:rFonts w:hint="eastAsia" w:ascii="宋体" w:hAnsi="宋体" w:cs="宋体"/>
          <w:sz w:val="24"/>
          <w:lang w:val="en-US" w:eastAsia="zh-CN"/>
        </w:rPr>
        <w:t>磋商</w:t>
      </w:r>
      <w:r>
        <w:rPr>
          <w:rFonts w:hint="eastAsia" w:ascii="宋体" w:hAnsi="宋体" w:cs="宋体"/>
          <w:sz w:val="24"/>
        </w:rPr>
        <w:t>。</w:t>
      </w:r>
    </w:p>
    <w:p w14:paraId="4F4A722C">
      <w:pPr>
        <w:pStyle w:val="41"/>
        <w:numPr>
          <w:ilvl w:val="0"/>
          <w:numId w:val="0"/>
        </w:numPr>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以上资格证明文件中（</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w:t>
      </w:r>
      <w:r>
        <w:rPr>
          <w:rFonts w:hint="eastAsia" w:ascii="宋体" w:hAnsi="宋体" w:cs="宋体"/>
          <w:bCs/>
          <w:sz w:val="24"/>
          <w:szCs w:val="24"/>
          <w:highlight w:val="none"/>
          <w:lang w:val="en-US" w:eastAsia="zh-CN"/>
        </w:rPr>
        <w:t>8</w:t>
      </w:r>
      <w:r>
        <w:rPr>
          <w:rFonts w:hint="eastAsia" w:ascii="宋体" w:hAnsi="宋体" w:eastAsia="宋体" w:cs="宋体"/>
          <w:bCs/>
          <w:sz w:val="24"/>
          <w:szCs w:val="24"/>
          <w:highlight w:val="none"/>
        </w:rPr>
        <w:t>）项为必备资质，缺少一项或某项达不到要求（包括证件的有效性、是否进行年检、是否在有效期内等），其磋商均无效。若证件的有效期已过，且发证机关未统一换证，须提供发证主管机关的证明文件，否则按无效证明对待。</w:t>
      </w:r>
    </w:p>
    <w:p w14:paraId="412B5FAC">
      <w:pPr>
        <w:widowControl/>
        <w:spacing w:line="360" w:lineRule="auto"/>
        <w:ind w:firstLine="482" w:firstLineChars="200"/>
        <w:rPr>
          <w:rFonts w:hint="eastAsia" w:ascii="宋体" w:hAnsi="宋体" w:eastAsia="宋体" w:cs="宋体"/>
          <w:b/>
          <w:bCs/>
          <w:kern w:val="0"/>
          <w:sz w:val="24"/>
          <w:szCs w:val="24"/>
          <w:highlight w:val="none"/>
        </w:rPr>
      </w:pPr>
      <w:r>
        <w:rPr>
          <w:rFonts w:hint="eastAsia" w:ascii="宋体" w:hAnsi="宋体" w:eastAsia="宋体" w:cs="宋体"/>
          <w:b/>
          <w:bCs/>
          <w:sz w:val="24"/>
          <w:szCs w:val="24"/>
          <w:highlight w:val="none"/>
        </w:rPr>
        <w:t>3、响应文件的编制</w:t>
      </w:r>
    </w:p>
    <w:p w14:paraId="020E6901">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响应文件必须根据磋商文件提供的内容及格式编制，并对磋商文件做出实质性响应；具体内容包括：</w:t>
      </w:r>
    </w:p>
    <w:p w14:paraId="556FFC15">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_Toc19944_WPSOffice_Level1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第1部分  磋商响应函</w:t>
      </w:r>
      <w:r>
        <w:rPr>
          <w:rFonts w:hint="eastAsia" w:ascii="宋体" w:hAnsi="宋体" w:eastAsia="宋体" w:cs="宋体"/>
          <w:b w:val="0"/>
          <w:bCs/>
          <w:color w:val="auto"/>
          <w:sz w:val="24"/>
          <w:szCs w:val="24"/>
        </w:rPr>
        <w:fldChar w:fldCharType="end"/>
      </w:r>
    </w:p>
    <w:p w14:paraId="6EE77843">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_Toc5207_WPSOffice_Level1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第2部分  法定代表人证明书与授权书</w:t>
      </w:r>
      <w:r>
        <w:rPr>
          <w:rFonts w:hint="eastAsia" w:ascii="宋体" w:hAnsi="宋体" w:eastAsia="宋体" w:cs="宋体"/>
          <w:b w:val="0"/>
          <w:bCs/>
          <w:color w:val="auto"/>
          <w:sz w:val="24"/>
          <w:szCs w:val="24"/>
        </w:rPr>
        <w:fldChar w:fldCharType="end"/>
      </w:r>
    </w:p>
    <w:p w14:paraId="4D0349B4">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_Toc17330_WPSOffice_Level1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第3部分  响应报价表</w:t>
      </w:r>
      <w:r>
        <w:rPr>
          <w:rFonts w:hint="eastAsia" w:ascii="宋体" w:hAnsi="宋体" w:eastAsia="宋体" w:cs="宋体"/>
          <w:b w:val="0"/>
          <w:bCs/>
          <w:color w:val="auto"/>
          <w:sz w:val="24"/>
          <w:szCs w:val="24"/>
        </w:rPr>
        <w:fldChar w:fldCharType="end"/>
      </w:r>
    </w:p>
    <w:p w14:paraId="6CD1E794">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_Toc5207_WPSOffice_Level1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w:t>
      </w:r>
      <w:r>
        <w:rPr>
          <w:rFonts w:hint="eastAsia" w:ascii="宋体" w:hAnsi="宋体" w:eastAsia="宋体" w:cs="宋体"/>
          <w:b w:val="0"/>
          <w:bCs/>
          <w:color w:val="auto"/>
          <w:sz w:val="24"/>
          <w:szCs w:val="24"/>
          <w:lang w:val="en-US" w:eastAsia="zh-CN"/>
        </w:rPr>
        <w:t>4</w:t>
      </w:r>
      <w:r>
        <w:rPr>
          <w:rFonts w:hint="eastAsia" w:ascii="宋体" w:hAnsi="宋体" w:eastAsia="宋体" w:cs="宋体"/>
          <w:b w:val="0"/>
          <w:bCs/>
          <w:color w:val="auto"/>
          <w:sz w:val="24"/>
          <w:szCs w:val="24"/>
        </w:rPr>
        <w:t xml:space="preserve">部分  </w:t>
      </w:r>
      <w:r>
        <w:rPr>
          <w:rFonts w:hint="eastAsia" w:ascii="宋体" w:hAnsi="宋体" w:eastAsia="宋体" w:cs="宋体"/>
          <w:b w:val="0"/>
          <w:bCs/>
          <w:color w:val="auto"/>
          <w:sz w:val="24"/>
          <w:szCs w:val="24"/>
          <w:lang w:val="en-US" w:eastAsia="zh-CN"/>
        </w:rPr>
        <w:t>技术偏离表</w:t>
      </w:r>
      <w:r>
        <w:rPr>
          <w:rFonts w:hint="eastAsia" w:ascii="宋体" w:hAnsi="宋体" w:eastAsia="宋体" w:cs="宋体"/>
          <w:b w:val="0"/>
          <w:bCs/>
          <w:color w:val="auto"/>
          <w:sz w:val="24"/>
          <w:szCs w:val="24"/>
        </w:rPr>
        <w:fldChar w:fldCharType="end"/>
      </w:r>
    </w:p>
    <w:p w14:paraId="09089667">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_Toc17330_WPSOffice_Level1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w:t>
      </w:r>
      <w:r>
        <w:rPr>
          <w:rFonts w:hint="eastAsia" w:ascii="宋体" w:hAnsi="宋体" w:eastAsia="宋体" w:cs="宋体"/>
          <w:b w:val="0"/>
          <w:bCs/>
          <w:color w:val="auto"/>
          <w:sz w:val="24"/>
          <w:szCs w:val="24"/>
          <w:lang w:val="en-US" w:eastAsia="zh-CN"/>
        </w:rPr>
        <w:t>5</w:t>
      </w:r>
      <w:r>
        <w:rPr>
          <w:rFonts w:hint="eastAsia" w:ascii="宋体" w:hAnsi="宋体" w:eastAsia="宋体" w:cs="宋体"/>
          <w:b w:val="0"/>
          <w:bCs/>
          <w:color w:val="auto"/>
          <w:sz w:val="24"/>
          <w:szCs w:val="24"/>
        </w:rPr>
        <w:t xml:space="preserve">部分  </w:t>
      </w:r>
      <w:r>
        <w:rPr>
          <w:rFonts w:hint="eastAsia" w:ascii="宋体" w:hAnsi="宋体" w:eastAsia="宋体" w:cs="宋体"/>
          <w:b w:val="0"/>
          <w:bCs/>
          <w:color w:val="auto"/>
          <w:sz w:val="24"/>
          <w:szCs w:val="24"/>
          <w:lang w:val="en-US" w:eastAsia="zh-CN"/>
        </w:rPr>
        <w:t>商务及合同主要条款响应说明</w:t>
      </w:r>
      <w:r>
        <w:rPr>
          <w:rFonts w:hint="eastAsia" w:ascii="宋体" w:hAnsi="宋体" w:eastAsia="宋体" w:cs="宋体"/>
          <w:b w:val="0"/>
          <w:bCs/>
          <w:color w:val="auto"/>
          <w:sz w:val="24"/>
          <w:szCs w:val="24"/>
        </w:rPr>
        <w:fldChar w:fldCharType="end"/>
      </w:r>
    </w:p>
    <w:p w14:paraId="2D6248A1">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第</w:t>
      </w:r>
      <w:r>
        <w:rPr>
          <w:rFonts w:hint="eastAsia" w:ascii="宋体" w:hAnsi="宋体" w:eastAsia="宋体" w:cs="宋体"/>
          <w:b w:val="0"/>
          <w:bCs/>
          <w:color w:val="auto"/>
          <w:sz w:val="24"/>
          <w:szCs w:val="24"/>
          <w:lang w:val="en-US" w:eastAsia="zh-CN"/>
        </w:rPr>
        <w:t>6</w:t>
      </w:r>
      <w:r>
        <w:rPr>
          <w:rFonts w:hint="eastAsia" w:ascii="宋体" w:hAnsi="宋体" w:eastAsia="宋体" w:cs="宋体"/>
          <w:b w:val="0"/>
          <w:bCs/>
          <w:color w:val="auto"/>
          <w:sz w:val="24"/>
          <w:szCs w:val="24"/>
        </w:rPr>
        <w:t>部分  供应商资质证明文件</w:t>
      </w:r>
    </w:p>
    <w:p w14:paraId="1BF16C43">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_Toc21049_WPSOffice_Level1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w:t>
      </w:r>
      <w:r>
        <w:rPr>
          <w:rFonts w:hint="eastAsia" w:ascii="宋体" w:hAnsi="宋体" w:eastAsia="宋体" w:cs="宋体"/>
          <w:b w:val="0"/>
          <w:bCs/>
          <w:color w:val="auto"/>
          <w:sz w:val="24"/>
          <w:szCs w:val="24"/>
          <w:lang w:val="en-US" w:eastAsia="zh-CN"/>
        </w:rPr>
        <w:t>7</w:t>
      </w:r>
      <w:r>
        <w:rPr>
          <w:rFonts w:hint="eastAsia" w:ascii="宋体" w:hAnsi="宋体" w:eastAsia="宋体" w:cs="宋体"/>
          <w:b w:val="0"/>
          <w:bCs/>
          <w:color w:val="auto"/>
          <w:sz w:val="24"/>
          <w:szCs w:val="24"/>
        </w:rPr>
        <w:t>部分  磋商响应方案</w:t>
      </w:r>
      <w:r>
        <w:rPr>
          <w:rFonts w:hint="eastAsia" w:ascii="宋体" w:hAnsi="宋体" w:eastAsia="宋体" w:cs="宋体"/>
          <w:b w:val="0"/>
          <w:bCs/>
          <w:color w:val="auto"/>
          <w:sz w:val="24"/>
          <w:szCs w:val="24"/>
        </w:rPr>
        <w:fldChar w:fldCharType="end"/>
      </w:r>
    </w:p>
    <w:p w14:paraId="39F486DE">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第</w:t>
      </w:r>
      <w:r>
        <w:rPr>
          <w:rFonts w:hint="eastAsia" w:ascii="宋体" w:hAnsi="宋体" w:eastAsia="宋体" w:cs="宋体"/>
          <w:b w:val="0"/>
          <w:bCs/>
          <w:color w:val="auto"/>
          <w:sz w:val="24"/>
          <w:szCs w:val="24"/>
          <w:lang w:val="en-US" w:eastAsia="zh-CN"/>
        </w:rPr>
        <w:t>8</w:t>
      </w:r>
      <w:r>
        <w:rPr>
          <w:rFonts w:hint="eastAsia" w:ascii="宋体" w:hAnsi="宋体" w:eastAsia="宋体" w:cs="宋体"/>
          <w:b w:val="0"/>
          <w:bCs/>
          <w:color w:val="auto"/>
          <w:sz w:val="24"/>
          <w:szCs w:val="24"/>
        </w:rPr>
        <w:t>部分  供应商承诺</w:t>
      </w:r>
    </w:p>
    <w:p w14:paraId="7F059F9F">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第9部分  其他资料</w:t>
      </w:r>
    </w:p>
    <w:p w14:paraId="379DE481">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w:t>
      </w:r>
    </w:p>
    <w:p w14:paraId="662F46FC">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（1）响应报价是指全面完成本次磋商的服务项目的价格，以磋商文件的内容和要求作为响应依据；</w:t>
      </w:r>
    </w:p>
    <w:p w14:paraId="0078A1B4">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应在响应文件中的响应一览表（响应报告）上，</w:t>
      </w:r>
      <w:r>
        <w:rPr>
          <w:rFonts w:hint="eastAsia" w:ascii="宋体" w:hAnsi="宋体" w:eastAsia="宋体" w:cs="宋体"/>
          <w:color w:val="000000"/>
          <w:sz w:val="24"/>
          <w:szCs w:val="24"/>
          <w:highlight w:val="none"/>
        </w:rPr>
        <w:t>标明所投服务的报价、其它费用</w:t>
      </w:r>
      <w:r>
        <w:rPr>
          <w:rFonts w:hint="eastAsia" w:ascii="宋体" w:hAnsi="宋体" w:eastAsia="宋体" w:cs="宋体"/>
          <w:sz w:val="24"/>
          <w:szCs w:val="24"/>
          <w:highlight w:val="none"/>
        </w:rPr>
        <w:t>；任何有选择的报价不予接受；</w:t>
      </w:r>
    </w:p>
    <w:p w14:paraId="513F692B">
      <w:pPr>
        <w:spacing w:line="360" w:lineRule="auto"/>
        <w:ind w:firstLine="360" w:firstLineChars="15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磋商报价采取多轮报价的办法，最后报价作为计算价格分值的依据。供应商应在磋商当天，磋商小组规定的报价时间内，使用制作电子响应文件的数字认证证书（CA 锁）登录全国公共资源交易平台（陕西省·延安市）网站〖首页·〉电子交易平台·〉政府采购交易系统·〉企业端〗后，在〖我的项目〗下找到本次磋商的项目 ，填写最后报价表， 签章并提交。</w:t>
      </w:r>
    </w:p>
    <w:p w14:paraId="4D90A00B">
      <w:pPr>
        <w:spacing w:line="360" w:lineRule="auto"/>
        <w:ind w:firstLine="360" w:firstLineChars="15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如采购内容无实质性变更，各供应商的报价应逐次降低，本次报价超过采购预算或电子磋商文件规定的最高限价的，按无效响应处理；本次报价超过上次报价但未超过采购预算或电子磋商文件规定的最高限价的，或在规定时间内最后报价未提交 、提交不成功的均为无效报价 ，按无效响应处理。</w:t>
      </w:r>
    </w:p>
    <w:p w14:paraId="3D460319">
      <w:pPr>
        <w:spacing w:line="360" w:lineRule="auto"/>
        <w:ind w:firstLine="361" w:firstLineChars="15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w:t>
      </w:r>
      <w:r>
        <w:rPr>
          <w:rFonts w:hint="eastAsia" w:ascii="宋体" w:hAnsi="宋体" w:cs="宋体"/>
          <w:b/>
          <w:bCs/>
          <w:sz w:val="24"/>
          <w:szCs w:val="24"/>
          <w:highlight w:val="none"/>
          <w:lang w:val="en-US" w:eastAsia="zh-CN"/>
        </w:rPr>
        <w:t>5</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磋商</w:t>
      </w:r>
      <w:r>
        <w:rPr>
          <w:rFonts w:hint="eastAsia" w:ascii="宋体" w:hAnsi="宋体" w:cs="宋体"/>
          <w:b/>
          <w:bCs/>
          <w:sz w:val="24"/>
          <w:szCs w:val="24"/>
          <w:highlight w:val="none"/>
          <w:lang w:val="en-US" w:eastAsia="zh-CN"/>
        </w:rPr>
        <w:t>报价</w:t>
      </w:r>
      <w:r>
        <w:rPr>
          <w:rFonts w:hint="eastAsia" w:ascii="宋体" w:hAnsi="宋体" w:eastAsia="宋体" w:cs="宋体"/>
          <w:b/>
          <w:bCs/>
          <w:sz w:val="24"/>
          <w:szCs w:val="24"/>
          <w:highlight w:val="none"/>
        </w:rPr>
        <w:t>：单位：</w:t>
      </w:r>
      <w:r>
        <w:rPr>
          <w:rFonts w:hint="eastAsia" w:ascii="宋体" w:hAnsi="宋体" w:cs="宋体"/>
          <w:b/>
          <w:bCs/>
          <w:sz w:val="24"/>
          <w:szCs w:val="24"/>
          <w:highlight w:val="none"/>
          <w:lang w:val="en-US" w:eastAsia="zh-CN"/>
        </w:rPr>
        <w:t>元</w:t>
      </w:r>
      <w:r>
        <w:rPr>
          <w:rFonts w:hint="eastAsia" w:ascii="宋体" w:hAnsi="宋体" w:eastAsia="宋体" w:cs="宋体"/>
          <w:b/>
          <w:bCs/>
          <w:sz w:val="24"/>
          <w:szCs w:val="24"/>
          <w:highlight w:val="none"/>
        </w:rPr>
        <w:t>；</w:t>
      </w:r>
    </w:p>
    <w:p w14:paraId="4ECF0FAB">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）响应一览表应有</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公章及法定代表人或被授权人的签字；</w:t>
      </w:r>
    </w:p>
    <w:p w14:paraId="5DFEB1AC">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）响应报价表中标明的价格，在合同执行过程中，不得以任何理由变更；</w:t>
      </w:r>
    </w:p>
    <w:p w14:paraId="0A29885E">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）凡因</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对磋商文件阅读不深、理解不透、误解、疏漏、或因市场行情了解不清造成的后果和风险均由</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自负；</w:t>
      </w:r>
    </w:p>
    <w:p w14:paraId="591C90B7">
      <w:pPr>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w:t>
      </w:r>
      <w:r>
        <w:rPr>
          <w:rFonts w:hint="eastAsia" w:ascii="宋体" w:hAnsi="宋体" w:cs="宋体"/>
          <w:kern w:val="2"/>
          <w:sz w:val="24"/>
          <w:szCs w:val="24"/>
          <w:highlight w:val="none"/>
          <w:lang w:val="en-US" w:eastAsia="zh-CN" w:bidi="ar-SA"/>
        </w:rPr>
        <w:t>9</w:t>
      </w:r>
      <w:r>
        <w:rPr>
          <w:rFonts w:hint="eastAsia" w:ascii="宋体" w:hAnsi="宋体" w:eastAsia="宋体" w:cs="宋体"/>
          <w:kern w:val="2"/>
          <w:sz w:val="24"/>
          <w:szCs w:val="24"/>
          <w:highlight w:val="none"/>
          <w:lang w:val="en-US" w:eastAsia="zh-CN" w:bidi="ar-SA"/>
        </w:rPr>
        <w:t>）最低报价不是中标的唯一依据。</w:t>
      </w:r>
    </w:p>
    <w:p w14:paraId="10C1C43E">
      <w:pPr>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5、磋商保证金</w:t>
      </w:r>
      <w:r>
        <w:rPr>
          <w:rFonts w:hint="eastAsia" w:ascii="宋体" w:hAnsi="宋体" w:cs="宋体"/>
          <w:b/>
          <w:bCs/>
          <w:kern w:val="2"/>
          <w:sz w:val="24"/>
          <w:szCs w:val="24"/>
          <w:highlight w:val="none"/>
          <w:lang w:val="en-US" w:eastAsia="zh-CN" w:bidi="ar-SA"/>
        </w:rPr>
        <w:t>：</w:t>
      </w:r>
      <w:r>
        <w:rPr>
          <w:rFonts w:hint="eastAsia" w:ascii="宋体" w:hAnsi="宋体" w:eastAsia="宋体" w:cs="宋体"/>
          <w:b/>
          <w:bCs/>
          <w:kern w:val="2"/>
          <w:sz w:val="24"/>
          <w:szCs w:val="24"/>
          <w:highlight w:val="none"/>
          <w:lang w:val="en-US" w:eastAsia="zh-CN" w:bidi="ar-SA"/>
        </w:rPr>
        <w:t>本项目不收取保证金。</w:t>
      </w:r>
    </w:p>
    <w:p w14:paraId="30653E29">
      <w:pPr>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6、响应</w:t>
      </w:r>
      <w:r>
        <w:rPr>
          <w:rFonts w:hint="eastAsia" w:ascii="宋体" w:hAnsi="宋体" w:eastAsia="宋体" w:cs="宋体"/>
          <w:b/>
          <w:bCs/>
          <w:sz w:val="24"/>
          <w:szCs w:val="24"/>
          <w:highlight w:val="none"/>
        </w:rPr>
        <w:t>文件的有效期</w:t>
      </w:r>
    </w:p>
    <w:p w14:paraId="64BC01C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响应文件有效期为自开标之日起算九十（90）个日历日；响应文件有效期短于规定的响应有效期，按无效文件处理。成交供应商的响应文件有效期延长至合同执行完毕。</w:t>
      </w:r>
    </w:p>
    <w:p w14:paraId="567C2BF6">
      <w:pPr>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7、响应文件的签署及规定</w:t>
      </w:r>
    </w:p>
    <w:p w14:paraId="6A48A45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w:t>
      </w:r>
      <w:r>
        <w:rPr>
          <w:rFonts w:hint="eastAsia" w:ascii="宋体" w:hAnsi="宋体" w:eastAsia="宋体" w:cs="宋体"/>
          <w:color w:val="auto"/>
          <w:sz w:val="24"/>
        </w:rPr>
        <w:t>供应商须依据磋商文件内容和响应文件格式的要求编制响应文件；</w:t>
      </w:r>
    </w:p>
    <w:p w14:paraId="0089E414">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（2）</w:t>
      </w:r>
      <w:r>
        <w:rPr>
          <w:rFonts w:hint="eastAsia" w:ascii="宋体" w:hAnsi="宋体" w:eastAsia="宋体" w:cs="宋体"/>
          <w:color w:val="auto"/>
          <w:sz w:val="24"/>
          <w:lang w:val="en-US" w:eastAsia="zh-CN"/>
        </w:rPr>
        <w:t>纸质版</w:t>
      </w:r>
      <w:r>
        <w:rPr>
          <w:rFonts w:hint="eastAsia" w:ascii="宋体" w:hAnsi="宋体" w:eastAsia="宋体" w:cs="宋体"/>
          <w:color w:val="auto"/>
          <w:sz w:val="24"/>
        </w:rPr>
        <w:t>响应文件的正本和所有的副本均需打印或用不褪色的蓝（黑）墨水填写，注明“正本”、“副本”字样。统一装订、有序编制页码；</w:t>
      </w:r>
    </w:p>
    <w:p w14:paraId="29736ACC">
      <w:pPr>
        <w:pStyle w:val="42"/>
        <w:spacing w:line="360" w:lineRule="auto"/>
        <w:ind w:firstLine="0" w:firstLineChars="0"/>
        <w:rPr>
          <w:rFonts w:hint="default" w:ascii="宋体" w:hAnsi="宋体" w:eastAsia="宋体" w:cs="宋体"/>
          <w:color w:val="auto"/>
          <w:kern w:val="2"/>
          <w:sz w:val="24"/>
          <w:szCs w:val="24"/>
          <w:highlight w:val="yellow"/>
          <w:lang w:val="en-US" w:eastAsia="zh-CN"/>
        </w:rPr>
      </w:pPr>
      <w:r>
        <w:rPr>
          <w:rFonts w:hint="eastAsia" w:ascii="宋体" w:hAnsi="宋体" w:eastAsia="宋体" w:cs="宋体"/>
          <w:color w:val="auto"/>
          <w:kern w:val="2"/>
          <w:sz w:val="24"/>
          <w:szCs w:val="24"/>
        </w:rPr>
        <w:t xml:space="preserve">   （3）响应文件份数，本次磋商需</w:t>
      </w:r>
      <w:r>
        <w:rPr>
          <w:rFonts w:hint="eastAsia" w:ascii="宋体" w:hAnsi="宋体" w:eastAsia="宋体" w:cs="宋体"/>
          <w:color w:val="auto"/>
          <w:kern w:val="2"/>
          <w:sz w:val="24"/>
          <w:szCs w:val="24"/>
          <w:lang w:val="en-US" w:eastAsia="zh-CN"/>
        </w:rPr>
        <w:t>另</w:t>
      </w:r>
      <w:r>
        <w:rPr>
          <w:rFonts w:hint="eastAsia" w:ascii="宋体" w:hAnsi="宋体" w:eastAsia="宋体" w:cs="宋体"/>
          <w:color w:val="auto"/>
          <w:kern w:val="2"/>
          <w:sz w:val="24"/>
          <w:szCs w:val="24"/>
        </w:rPr>
        <w:t>提交</w:t>
      </w:r>
      <w:r>
        <w:rPr>
          <w:rFonts w:hint="eastAsia" w:ascii="宋体" w:hAnsi="宋体" w:eastAsia="宋体" w:cs="宋体"/>
          <w:color w:val="auto"/>
          <w:kern w:val="2"/>
          <w:sz w:val="24"/>
          <w:szCs w:val="24"/>
          <w:lang w:val="en-US" w:eastAsia="zh-CN"/>
        </w:rPr>
        <w:t>纸质版</w:t>
      </w:r>
      <w:r>
        <w:rPr>
          <w:rFonts w:hint="eastAsia" w:ascii="宋体" w:hAnsi="宋体" w:eastAsia="宋体" w:cs="宋体"/>
          <w:color w:val="auto"/>
          <w:kern w:val="2"/>
          <w:sz w:val="24"/>
          <w:szCs w:val="24"/>
        </w:rPr>
        <w:t>响应文件三份（其中正本一份，副本二份，电子版</w:t>
      </w:r>
      <w:r>
        <w:rPr>
          <w:rFonts w:hint="eastAsia" w:ascii="宋体" w:hAnsi="宋体" w:cs="宋体"/>
          <w:color w:val="auto"/>
          <w:kern w:val="2"/>
          <w:sz w:val="24"/>
          <w:szCs w:val="24"/>
          <w:lang w:val="en-US" w:eastAsia="zh-CN"/>
        </w:rPr>
        <w:t>三</w:t>
      </w:r>
      <w:r>
        <w:rPr>
          <w:rFonts w:hint="eastAsia" w:ascii="宋体" w:hAnsi="宋体" w:eastAsia="宋体" w:cs="宋体"/>
          <w:color w:val="auto"/>
          <w:kern w:val="2"/>
          <w:sz w:val="24"/>
          <w:szCs w:val="24"/>
        </w:rPr>
        <w:t>份（U盘</w:t>
      </w:r>
      <w:r>
        <w:rPr>
          <w:rFonts w:hint="eastAsia" w:ascii="宋体" w:hAnsi="宋体" w:cs="宋体"/>
          <w:color w:val="auto"/>
          <w:kern w:val="2"/>
          <w:sz w:val="24"/>
          <w:szCs w:val="24"/>
          <w:lang w:val="en-US" w:eastAsia="zh-CN"/>
        </w:rPr>
        <w:t>包含PDF扫描件及WORD版</w:t>
      </w:r>
      <w:r>
        <w:rPr>
          <w:rFonts w:hint="eastAsia" w:ascii="宋体" w:hAnsi="宋体" w:eastAsia="宋体" w:cs="宋体"/>
          <w:color w:val="auto"/>
          <w:kern w:val="2"/>
          <w:sz w:val="24"/>
          <w:szCs w:val="24"/>
        </w:rPr>
        <w:t>））、注明“正本”、“副本”</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电子版</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字样；</w:t>
      </w:r>
      <w:r>
        <w:rPr>
          <w:rFonts w:hint="eastAsia" w:ascii="宋体" w:hAnsi="宋体" w:cs="宋体"/>
          <w:b/>
          <w:bCs/>
          <w:color w:val="auto"/>
          <w:kern w:val="2"/>
          <w:sz w:val="24"/>
          <w:szCs w:val="24"/>
          <w:lang w:val="en-US" w:eastAsia="zh-CN"/>
        </w:rPr>
        <w:t>注：</w:t>
      </w:r>
      <w:r>
        <w:rPr>
          <w:rFonts w:hint="eastAsia" w:ascii="宋体" w:hAnsi="宋体" w:eastAsia="宋体" w:cs="宋体"/>
          <w:b/>
          <w:bCs/>
          <w:color w:val="auto"/>
          <w:kern w:val="2"/>
          <w:sz w:val="24"/>
          <w:szCs w:val="24"/>
        </w:rPr>
        <w:t>U盘</w:t>
      </w:r>
      <w:r>
        <w:rPr>
          <w:rFonts w:hint="eastAsia" w:ascii="宋体" w:hAnsi="宋体" w:eastAsia="宋体" w:cs="宋体"/>
          <w:b/>
          <w:bCs/>
          <w:color w:val="auto"/>
          <w:kern w:val="2"/>
          <w:sz w:val="24"/>
          <w:szCs w:val="24"/>
          <w:lang w:val="en-US" w:eastAsia="zh-CN"/>
        </w:rPr>
        <w:t>必须标注清楚公司名称，可简写。</w:t>
      </w:r>
    </w:p>
    <w:p w14:paraId="0FCACFC9">
      <w:pPr>
        <w:spacing w:line="360" w:lineRule="auto"/>
        <w:ind w:left="476" w:leftChars="172" w:hanging="115" w:hangingChars="48"/>
        <w:rPr>
          <w:rFonts w:hint="eastAsia" w:ascii="宋体" w:hAnsi="宋体" w:eastAsia="宋体" w:cs="宋体"/>
          <w:color w:val="auto"/>
          <w:sz w:val="24"/>
        </w:rPr>
      </w:pPr>
      <w:r>
        <w:rPr>
          <w:rFonts w:hint="eastAsia" w:ascii="宋体" w:hAnsi="宋体" w:eastAsia="宋体" w:cs="宋体"/>
          <w:color w:val="auto"/>
          <w:sz w:val="24"/>
        </w:rPr>
        <w:t>（4）供应商在</w:t>
      </w:r>
      <w:r>
        <w:rPr>
          <w:rFonts w:hint="eastAsia" w:ascii="宋体" w:hAnsi="宋体" w:eastAsia="宋体" w:cs="宋体"/>
          <w:color w:val="auto"/>
          <w:kern w:val="2"/>
          <w:sz w:val="24"/>
          <w:szCs w:val="24"/>
          <w:lang w:val="en-US" w:eastAsia="zh-CN"/>
        </w:rPr>
        <w:t>纸质版</w:t>
      </w:r>
      <w:r>
        <w:rPr>
          <w:rFonts w:hint="eastAsia" w:ascii="宋体" w:hAnsi="宋体" w:eastAsia="宋体" w:cs="宋体"/>
          <w:color w:val="auto"/>
          <w:sz w:val="24"/>
        </w:rPr>
        <w:t>响应文件需逐页加盖公章（鲜章）并在指定页面的落款处，按磋商文件要求加盖公章或签字；</w:t>
      </w:r>
    </w:p>
    <w:p w14:paraId="103EA2EA">
      <w:pPr>
        <w:spacing w:line="360" w:lineRule="auto"/>
        <w:ind w:left="476" w:leftChars="172" w:hanging="115" w:hangingChars="48"/>
        <w:rPr>
          <w:rFonts w:hint="eastAsia" w:ascii="宋体" w:hAnsi="宋体" w:eastAsia="宋体" w:cs="宋体"/>
          <w:color w:val="auto"/>
          <w:sz w:val="24"/>
        </w:rPr>
      </w:pPr>
      <w:r>
        <w:rPr>
          <w:rFonts w:hint="eastAsia" w:ascii="宋体" w:hAnsi="宋体" w:eastAsia="宋体" w:cs="宋体"/>
          <w:color w:val="auto"/>
          <w:sz w:val="24"/>
        </w:rPr>
        <w:t>（5）供应商名称应填写全称，同时加盖公章；</w:t>
      </w:r>
    </w:p>
    <w:p w14:paraId="35EF758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（6）响应文件的任何行间插字、涂改和增删，必须由法定代表人或被授权人在改动处旁签字方为有效；</w:t>
      </w:r>
    </w:p>
    <w:p w14:paraId="4AF1FB74">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color w:val="auto"/>
          <w:sz w:val="24"/>
        </w:rPr>
        <w:t>（7）响应文件因字迹潦草或表达不清所引起的后果由供应商负责。</w:t>
      </w:r>
    </w:p>
    <w:p w14:paraId="0A7A3C62">
      <w:pPr>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8</w:t>
      </w:r>
      <w:r>
        <w:rPr>
          <w:rFonts w:hint="eastAsia" w:ascii="宋体" w:hAnsi="宋体" w:eastAsia="宋体" w:cs="宋体"/>
          <w:b/>
          <w:sz w:val="24"/>
          <w:szCs w:val="24"/>
          <w:highlight w:val="none"/>
        </w:rPr>
        <w:t>、文字要求</w:t>
      </w:r>
    </w:p>
    <w:p w14:paraId="3B816CC8">
      <w:pPr>
        <w:spacing w:line="360" w:lineRule="auto"/>
        <w:ind w:firstLine="480" w:firstLineChars="200"/>
        <w:rPr>
          <w:rFonts w:hint="eastAsia" w:ascii="宋体" w:hAnsi="宋体" w:eastAsia="宋体" w:cs="宋体"/>
          <w:sz w:val="32"/>
          <w:szCs w:val="32"/>
          <w:highlight w:val="none"/>
        </w:rPr>
      </w:pPr>
      <w:r>
        <w:rPr>
          <w:rFonts w:hint="eastAsia" w:ascii="宋体" w:hAnsi="宋体" w:eastAsia="宋体" w:cs="宋体"/>
          <w:sz w:val="24"/>
          <w:szCs w:val="24"/>
          <w:highlight w:val="none"/>
        </w:rPr>
        <w:t>本次磋商只接受简体中文文字的响应文件。</w:t>
      </w:r>
    </w:p>
    <w:p w14:paraId="3EFBEB97">
      <w:pPr>
        <w:pStyle w:val="3"/>
        <w:rPr>
          <w:rFonts w:hint="eastAsia" w:ascii="宋体" w:hAnsi="宋体" w:eastAsia="宋体" w:cs="宋体"/>
          <w:sz w:val="32"/>
          <w:szCs w:val="32"/>
          <w:highlight w:val="none"/>
        </w:rPr>
      </w:pPr>
      <w:r>
        <w:rPr>
          <w:rFonts w:hint="eastAsia" w:ascii="宋体" w:hAnsi="宋体" w:eastAsia="宋体" w:cs="宋体"/>
          <w:sz w:val="32"/>
          <w:szCs w:val="32"/>
          <w:highlight w:val="none"/>
        </w:rPr>
        <w:t>五．响应文件递交</w:t>
      </w:r>
    </w:p>
    <w:p w14:paraId="607BE7C9">
      <w:pPr>
        <w:pStyle w:val="4"/>
        <w:ind w:left="0" w:leftChars="0" w:firstLine="482" w:firstLineChars="200"/>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1、响应文件的密封及标记</w:t>
      </w:r>
    </w:p>
    <w:p w14:paraId="666E59CF">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pacing w:val="6"/>
          <w:sz w:val="24"/>
        </w:rPr>
        <w:t>响应文件</w:t>
      </w:r>
      <w:r>
        <w:rPr>
          <w:rFonts w:hint="eastAsia" w:ascii="宋体" w:hAnsi="宋体" w:eastAsia="宋体" w:cs="宋体"/>
          <w:color w:val="auto"/>
          <w:sz w:val="24"/>
        </w:rPr>
        <w:t>的封装：</w:t>
      </w:r>
    </w:p>
    <w:p w14:paraId="26C817A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A．响应供应商应</w:t>
      </w:r>
      <w:r>
        <w:rPr>
          <w:rFonts w:hint="eastAsia" w:ascii="宋体" w:hAnsi="宋体" w:eastAsia="宋体" w:cs="宋体"/>
          <w:color w:val="auto"/>
          <w:sz w:val="24"/>
          <w:lang w:val="en-US" w:eastAsia="zh-CN"/>
        </w:rPr>
        <w:t>另单独</w:t>
      </w:r>
      <w:r>
        <w:rPr>
          <w:rFonts w:hint="eastAsia" w:ascii="宋体" w:hAnsi="宋体" w:eastAsia="宋体" w:cs="宋体"/>
          <w:color w:val="auto"/>
          <w:sz w:val="24"/>
        </w:rPr>
        <w:t>将</w:t>
      </w:r>
      <w:r>
        <w:rPr>
          <w:rFonts w:hint="eastAsia" w:ascii="宋体" w:hAnsi="宋体" w:eastAsia="宋体" w:cs="宋体"/>
          <w:color w:val="auto"/>
          <w:kern w:val="2"/>
          <w:sz w:val="24"/>
          <w:szCs w:val="24"/>
          <w:lang w:val="en-US" w:eastAsia="zh-CN"/>
        </w:rPr>
        <w:t>纸质版</w:t>
      </w:r>
      <w:r>
        <w:rPr>
          <w:rFonts w:hint="eastAsia" w:ascii="宋体" w:hAnsi="宋体" w:eastAsia="宋体" w:cs="宋体"/>
          <w:color w:val="auto"/>
          <w:sz w:val="24"/>
        </w:rPr>
        <w:t>响应文件的正本、副本、电子版文件分别用单独的封袋密封（封袋不得有破损），在封袋上标明“正本”、“副本”或“电子版”字样，封袋应加贴封条，并在封线处加盖供应商公章及法人章，封袋正面要粘贴标识；</w:t>
      </w:r>
    </w:p>
    <w:p w14:paraId="349D2E30">
      <w:pPr>
        <w:spacing w:line="360" w:lineRule="auto"/>
        <w:ind w:firstLine="360" w:firstLineChars="150"/>
        <w:rPr>
          <w:rFonts w:hint="eastAsia" w:ascii="宋体" w:hAnsi="宋体" w:eastAsia="宋体" w:cs="宋体"/>
          <w:b w:val="0"/>
          <w:bCs w:val="0"/>
          <w:color w:val="auto"/>
          <w:sz w:val="24"/>
        </w:rPr>
      </w:pPr>
      <w:r>
        <w:rPr>
          <w:rFonts w:hint="eastAsia" w:ascii="宋体" w:hAnsi="宋体" w:eastAsia="宋体" w:cs="宋体"/>
          <w:b w:val="0"/>
          <w:bCs w:val="0"/>
          <w:color w:val="auto"/>
          <w:sz w:val="24"/>
        </w:rPr>
        <w:t>B.封袋正面标识包含：</w:t>
      </w:r>
    </w:p>
    <w:p w14:paraId="5D51818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1.采购人名称、项目名称、项目编号；</w:t>
      </w:r>
    </w:p>
    <w:p w14:paraId="5AB6026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2.供应商名称；</w:t>
      </w:r>
    </w:p>
    <w:p w14:paraId="24A58DF8">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3.正本或副本或电子版；</w:t>
      </w:r>
    </w:p>
    <w:p w14:paraId="2BB3D45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4.响应文件在202</w:t>
      </w:r>
      <w:r>
        <w:rPr>
          <w:rFonts w:hint="eastAsia" w:ascii="宋体" w:hAnsi="宋体" w:cs="宋体"/>
          <w:color w:val="auto"/>
          <w:sz w:val="24"/>
          <w:lang w:val="en-US" w:eastAsia="zh-CN"/>
        </w:rPr>
        <w:t>6</w:t>
      </w:r>
      <w:r>
        <w:rPr>
          <w:rFonts w:hint="eastAsia" w:ascii="宋体" w:hAnsi="宋体" w:eastAsia="宋体" w:cs="宋体"/>
          <w:color w:val="auto"/>
          <w:sz w:val="24"/>
        </w:rPr>
        <w:t>年</w:t>
      </w:r>
      <w:r>
        <w:rPr>
          <w:rFonts w:hint="eastAsia" w:ascii="宋体" w:hAnsi="宋体" w:cs="宋体"/>
          <w:color w:val="auto"/>
          <w:sz w:val="24"/>
          <w:lang w:val="en-US" w:eastAsia="zh-CN"/>
        </w:rPr>
        <w:t>10</w:t>
      </w:r>
      <w:r>
        <w:rPr>
          <w:rFonts w:hint="eastAsia" w:ascii="宋体" w:hAnsi="宋体" w:eastAsia="宋体" w:cs="宋体"/>
          <w:color w:val="auto"/>
          <w:sz w:val="24"/>
        </w:rPr>
        <w:t>月</w:t>
      </w:r>
      <w:r>
        <w:rPr>
          <w:rFonts w:hint="eastAsia" w:ascii="宋体" w:hAnsi="宋体" w:cs="宋体"/>
          <w:color w:val="auto"/>
          <w:sz w:val="24"/>
          <w:lang w:val="en-US" w:eastAsia="zh-CN"/>
        </w:rPr>
        <w:t>23</w:t>
      </w:r>
      <w:r>
        <w:rPr>
          <w:rFonts w:hint="eastAsia" w:ascii="宋体" w:hAnsi="宋体" w:eastAsia="宋体" w:cs="宋体"/>
          <w:color w:val="auto"/>
          <w:sz w:val="24"/>
        </w:rPr>
        <w:t>日</w:t>
      </w:r>
      <w:r>
        <w:rPr>
          <w:rFonts w:hint="eastAsia" w:ascii="宋体" w:hAnsi="宋体" w:cs="宋体"/>
          <w:color w:val="auto"/>
          <w:sz w:val="24"/>
          <w:lang w:val="en-US" w:eastAsia="zh-CN"/>
        </w:rPr>
        <w:t>10</w:t>
      </w:r>
      <w:r>
        <w:rPr>
          <w:rFonts w:hint="eastAsia" w:ascii="宋体" w:hAnsi="宋体" w:eastAsia="宋体" w:cs="宋体"/>
          <w:color w:val="auto"/>
          <w:sz w:val="24"/>
        </w:rPr>
        <w:t>时</w:t>
      </w:r>
      <w:r>
        <w:rPr>
          <w:rFonts w:hint="eastAsia" w:ascii="宋体" w:hAnsi="宋体" w:cs="宋体"/>
          <w:color w:val="auto"/>
          <w:sz w:val="24"/>
          <w:lang w:val="en-US" w:eastAsia="zh-CN"/>
        </w:rPr>
        <w:t>00</w:t>
      </w:r>
      <w:r>
        <w:rPr>
          <w:rFonts w:hint="eastAsia" w:ascii="宋体" w:hAnsi="宋体" w:eastAsia="宋体" w:cs="宋体"/>
          <w:color w:val="auto"/>
          <w:sz w:val="24"/>
        </w:rPr>
        <w:t>分前不得开启。</w:t>
      </w:r>
    </w:p>
    <w:p w14:paraId="3FB9656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（2）如果供应商未按上述要求密封及加写标记，误投或过早启封的</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文件，出现此类情况的响应文件，采购代理机构将拒绝接收，并退回供应商。采购代理机构对响应文件的误投和提前启封概不负责。</w:t>
      </w:r>
    </w:p>
    <w:p w14:paraId="13ACCBDE">
      <w:pPr>
        <w:spacing w:line="360" w:lineRule="auto"/>
        <w:ind w:firstLine="361" w:firstLineChars="150"/>
        <w:rPr>
          <w:rFonts w:hint="eastAsia" w:ascii="宋体" w:hAnsi="宋体" w:eastAsia="宋体" w:cs="宋体"/>
          <w:b/>
          <w:bCs w:val="0"/>
          <w:color w:val="auto"/>
          <w:spacing w:val="6"/>
          <w:sz w:val="24"/>
          <w:szCs w:val="24"/>
        </w:rPr>
      </w:pPr>
      <w:r>
        <w:rPr>
          <w:rFonts w:hint="eastAsia" w:ascii="宋体" w:hAnsi="宋体" w:eastAsia="宋体" w:cs="宋体"/>
          <w:b/>
          <w:bCs w:val="0"/>
          <w:color w:val="auto"/>
          <w:sz w:val="24"/>
          <w:szCs w:val="24"/>
        </w:rPr>
        <w:t>2．</w:t>
      </w:r>
      <w:r>
        <w:rPr>
          <w:rFonts w:hint="eastAsia" w:ascii="宋体" w:hAnsi="宋体" w:eastAsia="宋体" w:cs="宋体"/>
          <w:b/>
          <w:bCs w:val="0"/>
          <w:color w:val="auto"/>
          <w:spacing w:val="6"/>
          <w:sz w:val="24"/>
          <w:szCs w:val="24"/>
        </w:rPr>
        <w:t>响应文件递交</w:t>
      </w:r>
    </w:p>
    <w:p w14:paraId="55C35DAB">
      <w:pPr>
        <w:spacing w:line="360" w:lineRule="auto"/>
        <w:ind w:firstLine="42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本项目采用电子化</w:t>
      </w:r>
      <w:r>
        <w:rPr>
          <w:rFonts w:hint="eastAsia" w:ascii="宋体" w:hAnsi="宋体" w:eastAsia="宋体" w:cs="宋体"/>
          <w:b/>
          <w:bCs/>
          <w:color w:val="auto"/>
          <w:sz w:val="24"/>
          <w:highlight w:val="none"/>
          <w:lang w:val="en-US" w:eastAsia="zh-CN"/>
        </w:rPr>
        <w:t>远程不见面磋商</w:t>
      </w:r>
      <w:r>
        <w:rPr>
          <w:rFonts w:hint="eastAsia" w:ascii="宋体" w:hAnsi="宋体" w:eastAsia="宋体" w:cs="宋体"/>
          <w:b/>
          <w:bCs/>
          <w:color w:val="auto"/>
          <w:sz w:val="24"/>
          <w:highlight w:val="none"/>
        </w:rPr>
        <w:t>的方式</w:t>
      </w:r>
      <w:r>
        <w:rPr>
          <w:rFonts w:hint="eastAsia" w:ascii="宋体" w:hAnsi="宋体" w:eastAsia="宋体" w:cs="宋体"/>
          <w:color w:val="auto"/>
          <w:sz w:val="24"/>
          <w:highlight w:val="none"/>
        </w:rPr>
        <w:t>，相关操作流程详见全国公共资源交易平台（陕西省）网站[服务指南-下载专区]中的《陕西省公共资源交易中心政府采购项目投标指南》；</w:t>
      </w:r>
      <w:r>
        <w:rPr>
          <w:rFonts w:hint="eastAsia" w:ascii="宋体" w:hAnsi="宋体" w:eastAsia="宋体" w:cs="宋体"/>
          <w:color w:val="auto"/>
          <w:sz w:val="24"/>
          <w:highlight w:val="none"/>
          <w:lang w:val="en-US" w:eastAsia="zh-CN"/>
        </w:rPr>
        <w:t xml:space="preserve">        </w:t>
      </w:r>
    </w:p>
    <w:p w14:paraId="6777452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文件可于提交</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文件截止时间前任意时段</w:t>
      </w:r>
      <w:r>
        <w:rPr>
          <w:rFonts w:hint="eastAsia" w:ascii="宋体" w:hAnsi="宋体" w:eastAsia="宋体" w:cs="宋体"/>
          <w:color w:val="auto"/>
          <w:sz w:val="24"/>
          <w:highlight w:val="none"/>
          <w:lang w:val="en-US" w:eastAsia="zh-CN"/>
        </w:rPr>
        <w:t>在</w:t>
      </w:r>
      <w:r>
        <w:rPr>
          <w:rFonts w:hint="eastAsia" w:ascii="宋体" w:hAnsi="宋体" w:eastAsia="宋体" w:cs="宋体"/>
          <w:color w:val="auto"/>
          <w:sz w:val="24"/>
        </w:rPr>
        <w:t>全国公共资源交易平台（陕西省·延安市）</w:t>
      </w:r>
      <w:r>
        <w:rPr>
          <w:rFonts w:hint="eastAsia" w:ascii="宋体" w:hAnsi="宋体" w:eastAsia="宋体" w:cs="宋体"/>
          <w:color w:val="auto"/>
          <w:sz w:val="24"/>
          <w:lang w:val="en-US" w:eastAsia="zh-CN"/>
        </w:rPr>
        <w:t>交易系统中</w:t>
      </w:r>
      <w:r>
        <w:rPr>
          <w:rFonts w:hint="eastAsia" w:ascii="宋体" w:hAnsi="宋体" w:eastAsia="宋体" w:cs="宋体"/>
          <w:color w:val="auto"/>
          <w:sz w:val="24"/>
          <w:highlight w:val="none"/>
        </w:rPr>
        <w:t>进行提交，逾期系统将拒绝接收。</w:t>
      </w:r>
    </w:p>
    <w:p w14:paraId="5C668115">
      <w:pPr>
        <w:spacing w:line="360" w:lineRule="auto"/>
        <w:ind w:firstLine="480" w:firstLineChars="200"/>
        <w:rPr>
          <w:rFonts w:hint="eastAsia" w:ascii="宋体" w:hAnsi="宋体" w:eastAsia="宋体" w:cs="宋体"/>
          <w:color w:val="auto"/>
          <w:sz w:val="24"/>
          <w:highlight w:val="none"/>
          <w:shd w:val="clear"/>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）纸质版</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文件递交地点：延安市为民服务中心7号楼二楼（延安市公共资源交</w:t>
      </w:r>
      <w:r>
        <w:rPr>
          <w:rFonts w:hint="eastAsia" w:ascii="宋体" w:hAnsi="宋体" w:eastAsia="宋体" w:cs="宋体"/>
          <w:color w:val="auto"/>
          <w:sz w:val="24"/>
          <w:highlight w:val="none"/>
          <w:shd w:val="clear"/>
        </w:rPr>
        <w:t>易</w:t>
      </w:r>
      <w:r>
        <w:rPr>
          <w:rFonts w:hint="eastAsia" w:ascii="宋体" w:hAnsi="宋体" w:cs="宋体"/>
          <w:color w:val="auto"/>
          <w:sz w:val="24"/>
          <w:highlight w:val="none"/>
          <w:shd w:val="clear"/>
          <w:lang w:val="en-US" w:eastAsia="zh-CN"/>
        </w:rPr>
        <w:t>中心开标7室</w:t>
      </w:r>
      <w:r>
        <w:rPr>
          <w:rFonts w:hint="eastAsia" w:ascii="宋体" w:hAnsi="宋体" w:eastAsia="宋体" w:cs="宋体"/>
          <w:color w:val="auto"/>
          <w:sz w:val="24"/>
          <w:highlight w:val="none"/>
          <w:shd w:val="clear"/>
        </w:rPr>
        <w:t>））。</w:t>
      </w:r>
    </w:p>
    <w:p w14:paraId="73D2636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必须在</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文件规定的开标时间和地点，将全部</w:t>
      </w:r>
      <w:r>
        <w:rPr>
          <w:rFonts w:hint="eastAsia" w:ascii="宋体" w:hAnsi="宋体" w:eastAsia="宋体" w:cs="宋体"/>
          <w:color w:val="auto"/>
          <w:sz w:val="24"/>
          <w:highlight w:val="none"/>
          <w:lang w:val="en-US" w:eastAsia="zh-CN"/>
        </w:rPr>
        <w:t>纸质版响应</w:t>
      </w:r>
      <w:r>
        <w:rPr>
          <w:rFonts w:hint="eastAsia" w:ascii="宋体" w:hAnsi="宋体" w:eastAsia="宋体" w:cs="宋体"/>
          <w:color w:val="auto"/>
          <w:sz w:val="24"/>
          <w:highlight w:val="none"/>
        </w:rPr>
        <w:t>文件递交至开标现场</w:t>
      </w:r>
      <w:r>
        <w:rPr>
          <w:rFonts w:hint="eastAsia" w:ascii="宋体" w:hAnsi="宋体" w:eastAsia="宋体" w:cs="宋体"/>
          <w:color w:val="auto"/>
          <w:sz w:val="24"/>
          <w:highlight w:val="none"/>
          <w:lang w:val="en-US" w:eastAsia="zh-CN"/>
        </w:rPr>
        <w:t>后即可离开</w:t>
      </w:r>
      <w:r>
        <w:rPr>
          <w:rFonts w:hint="eastAsia" w:ascii="宋体" w:hAnsi="宋体" w:eastAsia="宋体" w:cs="宋体"/>
          <w:color w:val="auto"/>
          <w:sz w:val="24"/>
          <w:highlight w:val="none"/>
        </w:rPr>
        <w:t>；</w:t>
      </w:r>
    </w:p>
    <w:p w14:paraId="2D0B405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）采购代理机构项目负责人在</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文件规定的</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文件递交截止时间前，只负责</w:t>
      </w:r>
      <w:r>
        <w:rPr>
          <w:rFonts w:hint="eastAsia" w:ascii="宋体" w:hAnsi="宋体" w:eastAsia="宋体" w:cs="宋体"/>
          <w:color w:val="auto"/>
          <w:sz w:val="24"/>
          <w:highlight w:val="none"/>
          <w:lang w:val="en-US" w:eastAsia="zh-CN"/>
        </w:rPr>
        <w:t>纸质版响应</w:t>
      </w:r>
      <w:r>
        <w:rPr>
          <w:rFonts w:hint="eastAsia" w:ascii="宋体" w:hAnsi="宋体" w:eastAsia="宋体" w:cs="宋体"/>
          <w:color w:val="auto"/>
          <w:sz w:val="24"/>
          <w:highlight w:val="none"/>
        </w:rPr>
        <w:t>文件的接收、清点、造册登记工作</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对其有效性不负任何责任；</w:t>
      </w:r>
    </w:p>
    <w:p w14:paraId="197EFCA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）采购代理机构在宣布递交</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文件截止时间之后，拒绝接收任何人送达、递交的</w:t>
      </w:r>
      <w:r>
        <w:rPr>
          <w:rFonts w:hint="eastAsia" w:ascii="宋体" w:hAnsi="宋体" w:eastAsia="宋体" w:cs="宋体"/>
          <w:color w:val="auto"/>
          <w:sz w:val="24"/>
          <w:highlight w:val="none"/>
          <w:lang w:val="en-US" w:eastAsia="zh-CN"/>
        </w:rPr>
        <w:t>纸质版响应</w:t>
      </w:r>
      <w:r>
        <w:rPr>
          <w:rFonts w:hint="eastAsia" w:ascii="宋体" w:hAnsi="宋体" w:eastAsia="宋体" w:cs="宋体"/>
          <w:color w:val="auto"/>
          <w:sz w:val="24"/>
          <w:highlight w:val="none"/>
        </w:rPr>
        <w:t>文件；</w:t>
      </w:r>
    </w:p>
    <w:p w14:paraId="7FBD7F8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）无论</w:t>
      </w:r>
      <w:r>
        <w:rPr>
          <w:rFonts w:hint="eastAsia" w:ascii="宋体" w:hAnsi="宋体" w:eastAsia="宋体" w:cs="宋体"/>
          <w:color w:val="auto"/>
          <w:sz w:val="24"/>
          <w:highlight w:val="none"/>
          <w:lang w:val="en-US" w:eastAsia="zh-CN"/>
        </w:rPr>
        <w:t>供应商成交</w:t>
      </w:r>
      <w:r>
        <w:rPr>
          <w:rFonts w:hint="eastAsia" w:ascii="宋体" w:hAnsi="宋体" w:eastAsia="宋体" w:cs="宋体"/>
          <w:color w:val="auto"/>
          <w:sz w:val="24"/>
          <w:highlight w:val="none"/>
        </w:rPr>
        <w:t>与否或者废标，其</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文件恕不退还。</w:t>
      </w:r>
    </w:p>
    <w:p w14:paraId="2E9092D7">
      <w:pPr>
        <w:pStyle w:val="21"/>
        <w:keepLines w:val="0"/>
        <w:pageBreakBefore w:val="0"/>
        <w:widowControl/>
        <w:kinsoku/>
        <w:wordWrap w:val="0"/>
        <w:overflowPunct/>
        <w:topLinePunct w:val="0"/>
        <w:bidi w:val="0"/>
        <w:adjustRightInd/>
        <w:spacing w:line="360" w:lineRule="auto"/>
        <w:ind w:firstLine="482" w:firstLineChars="200"/>
        <w:textAlignment w:val="auto"/>
        <w:rPr>
          <w:rFonts w:hint="eastAsia" w:ascii="宋体" w:hAnsi="宋体" w:eastAsia="宋体" w:cs="宋体"/>
          <w:color w:val="auto"/>
          <w:kern w:val="2"/>
          <w:sz w:val="24"/>
          <w:szCs w:val="24"/>
        </w:rPr>
      </w:pPr>
      <w:r>
        <w:rPr>
          <w:rFonts w:hint="eastAsia" w:ascii="宋体" w:hAnsi="宋体" w:eastAsia="宋体" w:cs="宋体"/>
          <w:b/>
          <w:bCs/>
          <w:color w:val="auto"/>
          <w:kern w:val="2"/>
          <w:sz w:val="24"/>
          <w:szCs w:val="24"/>
        </w:rPr>
        <w:t>解密方式：</w:t>
      </w:r>
      <w:r>
        <w:rPr>
          <w:rFonts w:hint="eastAsia" w:ascii="宋体" w:hAnsi="宋体" w:eastAsia="宋体" w:cs="宋体"/>
          <w:color w:val="auto"/>
          <w:kern w:val="2"/>
          <w:sz w:val="24"/>
          <w:szCs w:val="24"/>
        </w:rPr>
        <w:t>本项目采用不见面开标方式。</w:t>
      </w:r>
      <w:r>
        <w:rPr>
          <w:rFonts w:hint="eastAsia" w:ascii="宋体" w:hAnsi="宋体" w:eastAsia="宋体" w:cs="宋体"/>
          <w:color w:val="auto"/>
          <w:kern w:val="2"/>
          <w:sz w:val="24"/>
          <w:szCs w:val="24"/>
          <w:lang w:val="en-US" w:eastAsia="zh-CN"/>
        </w:rPr>
        <w:t>供应商</w:t>
      </w:r>
      <w:r>
        <w:rPr>
          <w:rFonts w:hint="eastAsia" w:ascii="宋体" w:hAnsi="宋体" w:eastAsia="宋体" w:cs="宋体"/>
          <w:color w:val="auto"/>
          <w:kern w:val="2"/>
          <w:sz w:val="24"/>
          <w:szCs w:val="24"/>
        </w:rPr>
        <w:t>需在开启前最少一个小时登录全国公共资源交易平台（陕西省·延安市）首页选择“不见面开标-采购项目不见面开标大厅”自行调试，并按照工作人员要求进行</w:t>
      </w:r>
      <w:r>
        <w:rPr>
          <w:rFonts w:hint="eastAsia" w:ascii="宋体" w:hAnsi="宋体" w:eastAsia="宋体" w:cs="宋体"/>
          <w:color w:val="auto"/>
          <w:kern w:val="2"/>
          <w:sz w:val="24"/>
          <w:szCs w:val="24"/>
          <w:lang w:val="en-US" w:eastAsia="zh-CN"/>
        </w:rPr>
        <w:t>投标</w:t>
      </w:r>
      <w:r>
        <w:rPr>
          <w:rFonts w:hint="eastAsia" w:ascii="宋体" w:hAnsi="宋体" w:eastAsia="宋体" w:cs="宋体"/>
          <w:color w:val="auto"/>
          <w:kern w:val="2"/>
          <w:sz w:val="24"/>
          <w:szCs w:val="24"/>
        </w:rPr>
        <w:t>文件解密。如遇困难，请拨打系统平台技术支持电话：</w:t>
      </w:r>
      <w:r>
        <w:rPr>
          <w:rFonts w:hint="eastAsia" w:ascii="宋体" w:hAnsi="宋体" w:eastAsia="宋体" w:cs="宋体"/>
          <w:color w:val="auto"/>
          <w:kern w:val="2"/>
          <w:sz w:val="24"/>
          <w:szCs w:val="24"/>
          <w:lang w:val="en-US" w:eastAsia="zh-CN"/>
        </w:rPr>
        <w:t>（0512）58188039</w:t>
      </w:r>
      <w:r>
        <w:rPr>
          <w:rFonts w:hint="eastAsia" w:ascii="宋体" w:hAnsi="宋体" w:eastAsia="宋体" w:cs="宋体"/>
          <w:color w:val="auto"/>
          <w:kern w:val="2"/>
          <w:sz w:val="24"/>
          <w:szCs w:val="24"/>
        </w:rPr>
        <w:t>。</w:t>
      </w:r>
    </w:p>
    <w:p w14:paraId="3CDA21C6">
      <w:pPr>
        <w:pStyle w:val="21"/>
        <w:keepLines w:val="0"/>
        <w:pageBreakBefore w:val="0"/>
        <w:widowControl/>
        <w:kinsoku/>
        <w:wordWrap w:val="0"/>
        <w:overflowPunct/>
        <w:topLinePunct w:val="0"/>
        <w:bidi w:val="0"/>
        <w:adjustRightInd/>
        <w:spacing w:line="360" w:lineRule="auto"/>
        <w:ind w:firstLine="480" w:firstLineChars="200"/>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备注：①相关操作流程详见全国公共资源交易平台（陕西省·延安市）网站</w:t>
      </w:r>
      <w:r>
        <w:rPr>
          <w:rFonts w:hint="eastAsia" w:ascii="宋体" w:hAnsi="宋体" w:eastAsia="宋体" w:cs="宋体"/>
          <w:color w:val="auto"/>
          <w:kern w:val="2"/>
          <w:sz w:val="24"/>
          <w:szCs w:val="24"/>
          <w:lang w:eastAsia="zh-CN"/>
        </w:rPr>
        <w:t>。</w:t>
      </w:r>
    </w:p>
    <w:p w14:paraId="01E0E827">
      <w:pPr>
        <w:pStyle w:val="21"/>
        <w:keepLines w:val="0"/>
        <w:pageBreakBefore w:val="0"/>
        <w:widowControl/>
        <w:kinsoku/>
        <w:wordWrap w:val="0"/>
        <w:overflowPunct/>
        <w:topLinePunct w:val="0"/>
        <w:bidi w:val="0"/>
        <w:adjustRightInd/>
        <w:spacing w:line="360" w:lineRule="auto"/>
        <w:ind w:firstLine="1200" w:firstLineChars="5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②“规定时间”由现场工作人员具体确定。</w:t>
      </w:r>
    </w:p>
    <w:p w14:paraId="49EB768C">
      <w:pPr>
        <w:spacing w:line="360" w:lineRule="auto"/>
        <w:ind w:firstLine="420" w:firstLineChars="0"/>
        <w:rPr>
          <w:rFonts w:hint="eastAsia" w:ascii="宋体" w:hAnsi="宋体" w:eastAsia="宋体" w:cs="宋体"/>
          <w:b/>
          <w:bCs/>
          <w:color w:val="auto"/>
          <w:sz w:val="24"/>
        </w:rPr>
      </w:pPr>
      <w:r>
        <w:rPr>
          <w:rFonts w:hint="eastAsia" w:ascii="宋体" w:hAnsi="宋体" w:eastAsia="宋体" w:cs="宋体"/>
          <w:b/>
          <w:bCs/>
          <w:color w:val="auto"/>
          <w:sz w:val="24"/>
          <w:szCs w:val="24"/>
        </w:rPr>
        <w:t>开标时，</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应按照工作人员要求进行远程解密，如因</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自身原因，在规定时间内未完成</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文件解密，按无效投标对待。</w:t>
      </w:r>
    </w:p>
    <w:p w14:paraId="14C14801">
      <w:pPr>
        <w:spacing w:line="360" w:lineRule="auto"/>
        <w:ind w:firstLine="420" w:firstLineChars="0"/>
        <w:rPr>
          <w:rFonts w:hint="eastAsia" w:ascii="宋体" w:hAnsi="宋体" w:eastAsia="宋体" w:cs="宋体"/>
          <w:b/>
          <w:bCs/>
          <w:color w:val="auto"/>
          <w:sz w:val="24"/>
        </w:rPr>
      </w:pPr>
      <w:r>
        <w:rPr>
          <w:rFonts w:hint="eastAsia" w:ascii="宋体" w:hAnsi="宋体" w:eastAsia="宋体" w:cs="宋体"/>
          <w:b/>
          <w:bCs/>
          <w:color w:val="auto"/>
          <w:sz w:val="24"/>
        </w:rPr>
        <w:t>3、响应截止时间</w:t>
      </w:r>
    </w:p>
    <w:p w14:paraId="49A4B808">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（1）供应商必须在磋商文件规定的递交截止时间之前递交响应文件，采购代理机构在截止时间后拒绝接收任何响应文件；</w:t>
      </w:r>
    </w:p>
    <w:p w14:paraId="48EFD453">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（2）因采购人推迟响应截止时间时，采购代理机构应</w:t>
      </w:r>
      <w:r>
        <w:rPr>
          <w:rFonts w:hint="eastAsia" w:ascii="宋体" w:hAnsi="宋体" w:eastAsia="宋体" w:cs="宋体"/>
          <w:sz w:val="24"/>
          <w:szCs w:val="24"/>
          <w:highlight w:val="none"/>
          <w:lang w:val="en-US" w:eastAsia="zh-CN"/>
        </w:rPr>
        <w:t>通过《陕西省政府采购网》、</w:t>
      </w:r>
      <w:r>
        <w:rPr>
          <w:rFonts w:hint="eastAsia" w:ascii="宋体" w:hAnsi="宋体" w:eastAsia="宋体" w:cs="宋体"/>
          <w:color w:val="000000"/>
          <w:sz w:val="24"/>
          <w:szCs w:val="24"/>
          <w:highlight w:val="none"/>
          <w:shd w:val="clear" w:fill="FFFFFF"/>
        </w:rPr>
        <w:t>全国公共资源交易平台（陕西省·延安市）</w:t>
      </w:r>
      <w:r>
        <w:rPr>
          <w:rFonts w:hint="eastAsia" w:ascii="宋体" w:hAnsi="宋体" w:eastAsia="宋体" w:cs="宋体"/>
          <w:color w:val="000000"/>
          <w:sz w:val="24"/>
          <w:szCs w:val="24"/>
          <w:highlight w:val="none"/>
          <w:shd w:val="clear" w:fill="FFFFFF"/>
          <w:lang w:val="en-US" w:eastAsia="zh-CN"/>
        </w:rPr>
        <w:t>发布</w:t>
      </w:r>
      <w:r>
        <w:rPr>
          <w:rFonts w:hint="eastAsia" w:ascii="宋体" w:hAnsi="宋体" w:eastAsia="宋体" w:cs="宋体"/>
          <w:sz w:val="24"/>
          <w:szCs w:val="24"/>
          <w:highlight w:val="none"/>
        </w:rPr>
        <w:t>；在这种情况下，采购代理机构和供应商的权利和义务将受到新的截止期的约束。</w:t>
      </w:r>
    </w:p>
    <w:p w14:paraId="31B5BC34">
      <w:pPr>
        <w:pStyle w:val="4"/>
        <w:spacing w:line="360" w:lineRule="auto"/>
        <w:ind w:left="0" w:leftChars="0" w:firstLine="420" w:firstLineChars="0"/>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4</w:t>
      </w:r>
      <w:r>
        <w:rPr>
          <w:rFonts w:hint="eastAsia" w:ascii="宋体" w:hAnsi="宋体" w:eastAsia="宋体" w:cs="宋体"/>
          <w:b/>
          <w:bCs w:val="0"/>
          <w:sz w:val="24"/>
          <w:szCs w:val="24"/>
          <w:highlight w:val="none"/>
        </w:rPr>
        <w:t>、响应文件的修改和撤回</w:t>
      </w:r>
    </w:p>
    <w:p w14:paraId="1A5FC69F">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（1）响应文件递交后，如果供应商提出书面修改和撤回响应文件要求，在响应截止时间前</w:t>
      </w:r>
      <w:r>
        <w:rPr>
          <w:rFonts w:hint="eastAsia" w:ascii="宋体" w:hAnsi="宋体" w:eastAsia="宋体" w:cs="宋体"/>
          <w:sz w:val="24"/>
          <w:szCs w:val="24"/>
          <w:highlight w:val="none"/>
          <w:lang w:val="en-US" w:eastAsia="zh-CN"/>
        </w:rPr>
        <w:t>通过</w:t>
      </w:r>
      <w:r>
        <w:rPr>
          <w:rFonts w:hint="eastAsia" w:ascii="宋体" w:hAnsi="宋体" w:eastAsia="宋体" w:cs="宋体"/>
          <w:color w:val="000000"/>
          <w:sz w:val="24"/>
          <w:szCs w:val="24"/>
          <w:highlight w:val="none"/>
          <w:shd w:val="clear" w:fill="FFFFFF"/>
        </w:rPr>
        <w:t>全国公共资源交易平台（陕西省·延安市）</w:t>
      </w:r>
      <w:r>
        <w:rPr>
          <w:rFonts w:hint="eastAsia" w:ascii="宋体" w:hAnsi="宋体" w:eastAsia="宋体" w:cs="宋体"/>
          <w:color w:val="000000"/>
          <w:sz w:val="24"/>
          <w:szCs w:val="24"/>
          <w:highlight w:val="none"/>
          <w:shd w:val="clear" w:fill="FFFFFF"/>
          <w:lang w:val="en-US" w:eastAsia="zh-CN"/>
        </w:rPr>
        <w:t>系统提出</w:t>
      </w:r>
      <w:r>
        <w:rPr>
          <w:rFonts w:hint="eastAsia" w:ascii="宋体" w:hAnsi="宋体" w:eastAsia="宋体" w:cs="宋体"/>
          <w:sz w:val="24"/>
          <w:szCs w:val="24"/>
          <w:highlight w:val="none"/>
        </w:rPr>
        <w:t>，采购代理机构可以予以接受，但不退还响应文件；</w:t>
      </w:r>
    </w:p>
    <w:p w14:paraId="12568FBA">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）撤回响应文件应</w:t>
      </w:r>
      <w:r>
        <w:rPr>
          <w:rFonts w:hint="eastAsia" w:ascii="宋体" w:hAnsi="宋体" w:eastAsia="宋体" w:cs="宋体"/>
          <w:sz w:val="24"/>
          <w:szCs w:val="24"/>
          <w:highlight w:val="none"/>
          <w:lang w:val="en-US" w:eastAsia="zh-CN"/>
        </w:rPr>
        <w:t>通过</w:t>
      </w:r>
      <w:r>
        <w:rPr>
          <w:rFonts w:hint="eastAsia" w:ascii="宋体" w:hAnsi="宋体" w:eastAsia="宋体" w:cs="宋体"/>
          <w:color w:val="000000"/>
          <w:sz w:val="24"/>
          <w:szCs w:val="24"/>
          <w:highlight w:val="none"/>
          <w:shd w:val="clear" w:fill="FFFFFF"/>
        </w:rPr>
        <w:t>全国公共资源交易平台（陕西省·延安市）</w:t>
      </w:r>
      <w:r>
        <w:rPr>
          <w:rFonts w:hint="eastAsia" w:ascii="宋体" w:hAnsi="宋体" w:eastAsia="宋体" w:cs="宋体"/>
          <w:color w:val="000000"/>
          <w:sz w:val="24"/>
          <w:szCs w:val="24"/>
          <w:highlight w:val="none"/>
          <w:shd w:val="clear" w:fill="FFFFFF"/>
          <w:lang w:val="en-US" w:eastAsia="zh-CN"/>
        </w:rPr>
        <w:t>系统操作</w:t>
      </w:r>
      <w:r>
        <w:rPr>
          <w:rFonts w:hint="eastAsia" w:ascii="宋体" w:hAnsi="宋体" w:eastAsia="宋体" w:cs="宋体"/>
          <w:sz w:val="24"/>
          <w:szCs w:val="24"/>
          <w:highlight w:val="none"/>
        </w:rPr>
        <w:t>；</w:t>
      </w:r>
    </w:p>
    <w:p w14:paraId="54416310">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）在响应截止时间后到磋商文件规定的响应有效期满之间的这段时间内，供应商不得撤回其响应文件，如有发生，其保证金将被没收；</w:t>
      </w:r>
    </w:p>
    <w:p w14:paraId="27317B54">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）供应商在响应文件递交截止时间后，不得对其响应文件做任何修改。</w:t>
      </w:r>
    </w:p>
    <w:p w14:paraId="7F6041C6">
      <w:pPr>
        <w:pStyle w:val="3"/>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rPr>
        <w:t>六．磋商、定标</w:t>
      </w:r>
    </w:p>
    <w:p w14:paraId="62E61F20">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1、磋商</w:t>
      </w:r>
    </w:p>
    <w:p w14:paraId="0F36765D">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（1）采购代理机构按磋商文件规定的时间、地点主持磋商；磋商由采购代理机构主持，采购人代表及有关工作人员参加，参加磋商的代表应签名报到以证明其出席；供应商</w:t>
      </w:r>
      <w:r>
        <w:rPr>
          <w:rFonts w:hint="eastAsia" w:ascii="宋体" w:hAnsi="宋体" w:eastAsia="宋体" w:cs="宋体"/>
          <w:sz w:val="24"/>
          <w:szCs w:val="24"/>
          <w:highlight w:val="none"/>
          <w:lang w:val="en-US" w:eastAsia="zh-CN"/>
        </w:rPr>
        <w:t>须在本项目不见面开标大厅</w:t>
      </w:r>
      <w:r>
        <w:rPr>
          <w:rFonts w:hint="eastAsia" w:ascii="宋体" w:hAnsi="宋体" w:eastAsia="宋体" w:cs="宋体"/>
          <w:color w:val="auto"/>
          <w:sz w:val="24"/>
          <w:highlight w:val="none"/>
        </w:rPr>
        <w:t>《</w:t>
      </w:r>
      <w:r>
        <w:rPr>
          <w:rFonts w:hint="eastAsia" w:ascii="宋体" w:hAnsi="宋体" w:eastAsia="宋体" w:cs="宋体"/>
          <w:sz w:val="24"/>
          <w:szCs w:val="24"/>
          <w:highlight w:val="none"/>
          <w:lang w:val="en-US" w:eastAsia="zh-CN"/>
        </w:rPr>
        <w:t>全国公共资源交易平台（陕西省·延安市）》参加磋商</w:t>
      </w:r>
      <w:r>
        <w:rPr>
          <w:rFonts w:hint="eastAsia" w:ascii="宋体" w:hAnsi="宋体" w:eastAsia="宋体" w:cs="宋体"/>
          <w:sz w:val="24"/>
          <w:szCs w:val="24"/>
          <w:highlight w:val="none"/>
        </w:rPr>
        <w:t>；</w:t>
      </w:r>
    </w:p>
    <w:p w14:paraId="725C0913">
      <w:pPr>
        <w:widowControl/>
        <w:ind w:firstLine="240" w:firstLineChars="100"/>
        <w:jc w:val="left"/>
        <w:rPr>
          <w:rFonts w:hint="eastAsia" w:ascii="宋体" w:hAnsi="宋体" w:eastAsia="宋体" w:cs="宋体"/>
          <w:sz w:val="24"/>
          <w:szCs w:val="24"/>
          <w:highlight w:val="none"/>
        </w:rPr>
      </w:pPr>
      <w:r>
        <w:rPr>
          <w:rFonts w:hint="eastAsia" w:ascii="宋体" w:hAnsi="宋体" w:eastAsia="宋体" w:cs="宋体"/>
          <w:kern w:val="0"/>
          <w:sz w:val="24"/>
          <w:szCs w:val="24"/>
          <w:highlight w:val="none"/>
          <w:lang w:bidi="ar"/>
        </w:rPr>
        <w:t xml:space="preserve">（2）依据《政府采购法》和《政府采购非磋商采购方式管理办法》（财政部令第74号）等规定(陕财办采资[2016]53号)，竞争性磋商采用两次报价，主持人在磋商大会不当众宣布磋商报价总表内容，并将响应文件中磋商一览表（报价表）的报价作为第一次报价。 </w:t>
      </w:r>
    </w:p>
    <w:p w14:paraId="4546E544">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（3）为确保磋商工作公开、公平、公正，依法成立磋商小组。磋商小组由采购人及有关专家共3人以上单数组成组成，其中技术、经济等方面的专家不少于评委总数的三分之二，专家名单由有关人员在</w:t>
      </w:r>
      <w:r>
        <w:rPr>
          <w:rFonts w:hint="eastAsia" w:ascii="宋体" w:hAnsi="宋体" w:eastAsia="宋体" w:cs="宋体"/>
          <w:sz w:val="24"/>
          <w:szCs w:val="24"/>
          <w:highlight w:val="none"/>
          <w:lang w:val="en-US" w:eastAsia="zh-CN"/>
        </w:rPr>
        <w:t>陕西省</w:t>
      </w:r>
      <w:r>
        <w:rPr>
          <w:rFonts w:hint="eastAsia" w:ascii="宋体" w:hAnsi="宋体" w:eastAsia="宋体" w:cs="宋体"/>
          <w:sz w:val="24"/>
          <w:szCs w:val="24"/>
          <w:highlight w:val="none"/>
        </w:rPr>
        <w:t>政府采购专家库中随机抽取，磋商小组成员应当遵守并履行下列责任和义务：</w:t>
      </w:r>
    </w:p>
    <w:p w14:paraId="38C12F3E">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A、遵纪守法，客观、公正、认真负责地履行职责，审查响应文件是否符合磋商文件的要求，并做出评价；</w:t>
      </w:r>
    </w:p>
    <w:p w14:paraId="196E7211">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B、要求供应商对响应文件有关事项作出解释或澄清；</w:t>
      </w:r>
    </w:p>
    <w:p w14:paraId="4385B445">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C、按照磋商文件的要求和磋商标准进行评标，推荐中标候选单位名单，对评审意见承担个人责任；</w:t>
      </w:r>
    </w:p>
    <w:p w14:paraId="64E1E8D6">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D、对磋商过程和结果以及供应商的商业秘密保密；</w:t>
      </w:r>
    </w:p>
    <w:p w14:paraId="45C533E0">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（3）本次磋商小组成员共3人；</w:t>
      </w:r>
    </w:p>
    <w:p w14:paraId="20FDE13D">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）响应时，响应文件中出现下列情况，修正原则为：</w:t>
      </w:r>
    </w:p>
    <w:p w14:paraId="28BC52C7">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A、响应报价的大写金额和小写金额不一致的，以大写金额为准；</w:t>
      </w:r>
    </w:p>
    <w:p w14:paraId="59EBDD09">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B、总价金额与按单价汇总金额不一致的，以单价金额计算结果为准；</w:t>
      </w:r>
    </w:p>
    <w:p w14:paraId="0E6A0D52">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C、单价金额小数点有明显错位的，以总价为准，并修改单价；</w:t>
      </w:r>
    </w:p>
    <w:p w14:paraId="2E29AFE1">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D、多处内容交叉不符时，以评标委员会评审结果为准；</w:t>
      </w:r>
    </w:p>
    <w:p w14:paraId="78919F19">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E、文字与图表不符时以文字为准；</w:t>
      </w:r>
    </w:p>
    <w:p w14:paraId="273520F9">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按上述修正错误的原则及方法调整或修正响应文件的报价，</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同意后，调整后的报价对供应商起约束作用。如果供应商不接受修正后的报价，则其响应将被拒绝并且其响应保证金也将被没收。</w:t>
      </w:r>
    </w:p>
    <w:p w14:paraId="61D0C5F9">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）磋商时，直到向</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 xml:space="preserve">的供应商授予合同为止，凡审查、澄清、评价和比较响应的有关资料及被授标意见等内容，磋商小组成员均不得向供应商及与磋商无关的其他人透露。 </w:t>
      </w:r>
    </w:p>
    <w:p w14:paraId="0232BFC2">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2、响应文件的初审</w:t>
      </w:r>
    </w:p>
    <w:p w14:paraId="004F3407">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（1）初审内容为响应文件是否符合磋商文件的要求，</w:t>
      </w:r>
      <w:r>
        <w:rPr>
          <w:rFonts w:hint="eastAsia" w:ascii="宋体" w:hAnsi="宋体" w:cs="宋体"/>
          <w:sz w:val="24"/>
          <w:szCs w:val="24"/>
          <w:highlight w:val="none"/>
          <w:lang w:val="en-US" w:eastAsia="zh-CN"/>
        </w:rPr>
        <w:t>由采购人</w:t>
      </w:r>
      <w:r>
        <w:rPr>
          <w:rFonts w:hint="eastAsia" w:ascii="宋体" w:hAnsi="宋体" w:eastAsia="宋体" w:cs="宋体"/>
          <w:sz w:val="24"/>
          <w:szCs w:val="24"/>
          <w:highlight w:val="none"/>
        </w:rPr>
        <w:t>对各供应商文件中的资格证明进行审查，以确定供应商是否具备响应资格；</w:t>
      </w:r>
      <w:r>
        <w:rPr>
          <w:rFonts w:hint="eastAsia" w:ascii="宋体" w:hAnsi="宋体" w:eastAsia="宋体" w:cs="宋体"/>
          <w:sz w:val="24"/>
          <w:szCs w:val="24"/>
          <w:highlight w:val="none"/>
          <w:shd w:val="clear"/>
        </w:rPr>
        <w:t>资质证明文件（1）-（</w:t>
      </w:r>
      <w:r>
        <w:rPr>
          <w:rFonts w:hint="eastAsia" w:ascii="宋体" w:hAnsi="宋体" w:cs="宋体"/>
          <w:sz w:val="24"/>
          <w:szCs w:val="24"/>
          <w:highlight w:val="none"/>
          <w:shd w:val="clear"/>
          <w:lang w:val="en-US" w:eastAsia="zh-CN"/>
        </w:rPr>
        <w:t>8</w:t>
      </w:r>
      <w:r>
        <w:rPr>
          <w:rFonts w:hint="eastAsia" w:ascii="宋体" w:hAnsi="宋体" w:eastAsia="宋体" w:cs="宋体"/>
          <w:sz w:val="24"/>
          <w:szCs w:val="24"/>
          <w:highlight w:val="none"/>
          <w:shd w:val="clear"/>
        </w:rPr>
        <w:t>）项为</w:t>
      </w:r>
      <w:r>
        <w:rPr>
          <w:rFonts w:hint="eastAsia" w:ascii="宋体" w:hAnsi="宋体" w:eastAsia="宋体" w:cs="宋体"/>
          <w:sz w:val="24"/>
          <w:szCs w:val="24"/>
          <w:highlight w:val="none"/>
        </w:rPr>
        <w:t>必备资质，缺其一项或某项达不到标书要求，均按无效处理；</w:t>
      </w:r>
    </w:p>
    <w:p w14:paraId="2382B14A">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响应文件符合性审查</w:t>
      </w:r>
    </w:p>
    <w:p w14:paraId="1B17590F">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依据法律法规和磋商文件的规定，由磋商小组对符合资格要求的供应商的响应文件有效性、完整性和对磋商文件的响应程度进行符合性审查，以确定是否对磋商文件的实质性内容作出响应。响应文件的符合性评审（合格性、完整性、有效性），具体审查：</w:t>
      </w:r>
    </w:p>
    <w:tbl>
      <w:tblPr>
        <w:tblStyle w:val="24"/>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6105"/>
        <w:gridCol w:w="1682"/>
      </w:tblGrid>
      <w:tr w14:paraId="71E7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08" w:type="dxa"/>
            <w:vAlign w:val="center"/>
          </w:tcPr>
          <w:p w14:paraId="1E7E8227">
            <w:pPr>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序号</w:t>
            </w:r>
          </w:p>
        </w:tc>
        <w:tc>
          <w:tcPr>
            <w:tcW w:w="6105" w:type="dxa"/>
            <w:vAlign w:val="center"/>
          </w:tcPr>
          <w:p w14:paraId="36E3F183">
            <w:pPr>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符合性审查内容</w:t>
            </w:r>
          </w:p>
        </w:tc>
        <w:tc>
          <w:tcPr>
            <w:tcW w:w="1682" w:type="dxa"/>
            <w:vAlign w:val="center"/>
          </w:tcPr>
          <w:p w14:paraId="79BD41C8">
            <w:pPr>
              <w:spacing w:line="360" w:lineRule="auto"/>
              <w:jc w:val="center"/>
              <w:rPr>
                <w:rFonts w:hint="eastAsia" w:ascii="宋体" w:hAnsi="宋体" w:eastAsia="宋体" w:cs="宋体"/>
                <w:sz w:val="24"/>
                <w:highlight w:val="none"/>
              </w:rPr>
            </w:pPr>
            <w:r>
              <w:rPr>
                <w:rFonts w:hint="eastAsia" w:ascii="宋体" w:hAnsi="宋体" w:eastAsia="宋体" w:cs="宋体"/>
                <w:b/>
                <w:sz w:val="24"/>
                <w:highlight w:val="none"/>
              </w:rPr>
              <w:t>结论</w:t>
            </w:r>
          </w:p>
        </w:tc>
      </w:tr>
      <w:tr w14:paraId="0566E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4FB48952">
            <w:pPr>
              <w:overflowPunct w:val="0"/>
              <w:adjustRightInd w:val="0"/>
              <w:snapToGrid w:val="0"/>
              <w:spacing w:line="360" w:lineRule="auto"/>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1</w:t>
            </w:r>
          </w:p>
        </w:tc>
        <w:tc>
          <w:tcPr>
            <w:tcW w:w="6105" w:type="dxa"/>
          </w:tcPr>
          <w:p w14:paraId="14BA6EFC">
            <w:pPr>
              <w:pStyle w:val="12"/>
              <w:overflowPunct w:val="0"/>
              <w:adjustRightInd w:val="0"/>
              <w:snapToGrid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文件封面、</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函、法定代表人授权委托书三处的项目名称、项目编号</w:t>
            </w:r>
            <w:r>
              <w:rPr>
                <w:rFonts w:hint="eastAsia" w:ascii="宋体" w:hAnsi="宋体" w:eastAsia="宋体" w:cs="宋体"/>
                <w:sz w:val="24"/>
                <w:highlight w:val="none"/>
                <w:lang w:eastAsia="zh-CN"/>
              </w:rPr>
              <w:t>，三处均无遗漏，且与所投项目名称、项目编号完全一致。</w:t>
            </w:r>
          </w:p>
        </w:tc>
        <w:tc>
          <w:tcPr>
            <w:tcW w:w="1682" w:type="dxa"/>
            <w:vAlign w:val="center"/>
          </w:tcPr>
          <w:p w14:paraId="36B3FAD1">
            <w:pP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35E5C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134AE5E0">
            <w:pPr>
              <w:overflowPunct w:val="0"/>
              <w:adjustRightInd w:val="0"/>
              <w:snapToGrid w:val="0"/>
              <w:spacing w:line="360" w:lineRule="auto"/>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6105" w:type="dxa"/>
          </w:tcPr>
          <w:p w14:paraId="6DD1E0E1">
            <w:pPr>
              <w:pStyle w:val="12"/>
              <w:overflowPunct w:val="0"/>
              <w:adjustRightInd w:val="0"/>
              <w:snapToGrid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文件签署、盖章是否</w:t>
            </w:r>
            <w:r>
              <w:rPr>
                <w:rFonts w:hint="eastAsia" w:ascii="宋体" w:hAnsi="宋体" w:eastAsia="宋体" w:cs="宋体"/>
                <w:sz w:val="24"/>
                <w:highlight w:val="none"/>
                <w:lang w:val="en-US" w:eastAsia="zh-CN"/>
              </w:rPr>
              <w:t>均</w:t>
            </w:r>
            <w:r>
              <w:rPr>
                <w:rFonts w:hint="eastAsia" w:ascii="宋体" w:hAnsi="宋体" w:eastAsia="宋体" w:cs="宋体"/>
                <w:sz w:val="24"/>
                <w:highlight w:val="none"/>
              </w:rPr>
              <w:t>符合</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且无遗漏</w:t>
            </w:r>
            <w:r>
              <w:rPr>
                <w:rFonts w:hint="eastAsia" w:ascii="宋体" w:hAnsi="宋体" w:eastAsia="宋体" w:cs="宋体"/>
                <w:sz w:val="24"/>
                <w:highlight w:val="none"/>
                <w:lang w:eastAsia="zh-CN"/>
              </w:rPr>
              <w:t>；</w:t>
            </w:r>
          </w:p>
        </w:tc>
        <w:tc>
          <w:tcPr>
            <w:tcW w:w="1682" w:type="dxa"/>
            <w:vAlign w:val="center"/>
          </w:tcPr>
          <w:p w14:paraId="105A1159">
            <w:pP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444C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2FAF810C">
            <w:pP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rPr>
              <w:t>3</w:t>
            </w:r>
          </w:p>
        </w:tc>
        <w:tc>
          <w:tcPr>
            <w:tcW w:w="6105" w:type="dxa"/>
          </w:tcPr>
          <w:p w14:paraId="5B8EB169">
            <w:pPr>
              <w:pStyle w:val="12"/>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服务期</w:t>
            </w:r>
            <w:r>
              <w:rPr>
                <w:rFonts w:hint="eastAsia" w:ascii="宋体" w:hAnsi="宋体" w:eastAsia="宋体" w:cs="宋体"/>
                <w:sz w:val="24"/>
                <w:highlight w:val="none"/>
              </w:rPr>
              <w:t>是否满足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w:t>
            </w:r>
          </w:p>
        </w:tc>
        <w:tc>
          <w:tcPr>
            <w:tcW w:w="1682" w:type="dxa"/>
            <w:vAlign w:val="center"/>
          </w:tcPr>
          <w:p w14:paraId="426AD68A">
            <w:pP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79D49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2F5519E2">
            <w:pPr>
              <w:overflowPunct w:val="0"/>
              <w:adjustRightInd w:val="0"/>
              <w:snapToGrid w:val="0"/>
              <w:spacing w:line="360" w:lineRule="auto"/>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4</w:t>
            </w:r>
          </w:p>
        </w:tc>
        <w:tc>
          <w:tcPr>
            <w:tcW w:w="6105" w:type="dxa"/>
          </w:tcPr>
          <w:p w14:paraId="1431E3D1">
            <w:pPr>
              <w:pStyle w:val="12"/>
              <w:overflowPunct w:val="0"/>
              <w:adjustRightInd w:val="0"/>
              <w:snapToGrid w:val="0"/>
              <w:spacing w:line="360" w:lineRule="auto"/>
              <w:rPr>
                <w:rFonts w:hint="eastAsia" w:ascii="宋体" w:hAnsi="宋体" w:eastAsia="宋体" w:cs="宋体"/>
                <w:sz w:val="24"/>
                <w:highlight w:val="none"/>
                <w:lang w:val="en-US" w:eastAsia="zh-CN"/>
              </w:rPr>
            </w:pPr>
            <w:r>
              <w:rPr>
                <w:rFonts w:hint="eastAsia" w:ascii="宋体" w:hAnsi="宋体" w:eastAsia="宋体" w:cs="宋体"/>
                <w:b w:val="0"/>
                <w:i w:val="0"/>
                <w:caps w:val="0"/>
                <w:color w:val="000000" w:themeColor="text1"/>
                <w:spacing w:val="0"/>
                <w:w w:val="100"/>
                <w:sz w:val="24"/>
                <w:szCs w:val="24"/>
                <w:highlight w:val="none"/>
                <w:lang w:val="en-US" w:eastAsia="zh-CN"/>
                <w14:textFill>
                  <w14:solidFill>
                    <w14:schemeClr w14:val="tx1"/>
                  </w14:solidFill>
                </w14:textFill>
              </w:rPr>
              <w:t>质量目标</w:t>
            </w:r>
            <w:r>
              <w:rPr>
                <w:rFonts w:hint="eastAsia" w:ascii="宋体" w:hAnsi="宋体" w:eastAsia="宋体" w:cs="宋体"/>
                <w:sz w:val="24"/>
                <w:highlight w:val="none"/>
              </w:rPr>
              <w:t>是否满足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w:t>
            </w:r>
          </w:p>
        </w:tc>
        <w:tc>
          <w:tcPr>
            <w:tcW w:w="1682" w:type="dxa"/>
            <w:vAlign w:val="center"/>
          </w:tcPr>
          <w:p w14:paraId="7E0258E0">
            <w:pP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6AD86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3A345320">
            <w:pP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5</w:t>
            </w:r>
          </w:p>
        </w:tc>
        <w:tc>
          <w:tcPr>
            <w:tcW w:w="6105" w:type="dxa"/>
          </w:tcPr>
          <w:p w14:paraId="00BCEDCF">
            <w:pPr>
              <w:pStyle w:val="12"/>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有效期是否满足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w:t>
            </w:r>
          </w:p>
        </w:tc>
        <w:tc>
          <w:tcPr>
            <w:tcW w:w="1682" w:type="dxa"/>
            <w:vAlign w:val="center"/>
          </w:tcPr>
          <w:p w14:paraId="0C071094">
            <w:pP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2E740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3AC93449">
            <w:pP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6</w:t>
            </w:r>
          </w:p>
        </w:tc>
        <w:tc>
          <w:tcPr>
            <w:tcW w:w="6105" w:type="dxa"/>
          </w:tcPr>
          <w:p w14:paraId="2B335972">
            <w:pPr>
              <w:pStyle w:val="12"/>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磋商报价：同时满足以下条款：</w:t>
            </w:r>
            <w:r>
              <w:rPr>
                <w:rFonts w:hint="eastAsia" w:ascii="宋体" w:hAnsi="宋体" w:eastAsia="宋体" w:cs="宋体"/>
                <w:sz w:val="24"/>
                <w:highlight w:val="none"/>
              </w:rPr>
              <w:t>（1）</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报价符合唯一性要求：（2）</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一览表填写符合要求；（3）计量单位、报价货币均符合</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文件要求；（4）未超出采购预算或</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文件规定的最高限价；</w:t>
            </w:r>
          </w:p>
        </w:tc>
        <w:tc>
          <w:tcPr>
            <w:tcW w:w="1682" w:type="dxa"/>
            <w:vAlign w:val="center"/>
          </w:tcPr>
          <w:p w14:paraId="65440507">
            <w:pP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244EE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6ED66117">
            <w:pP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7</w:t>
            </w:r>
          </w:p>
        </w:tc>
        <w:tc>
          <w:tcPr>
            <w:tcW w:w="6105" w:type="dxa"/>
            <w:vAlign w:val="top"/>
          </w:tcPr>
          <w:p w14:paraId="63E9C76B">
            <w:pPr>
              <w:pStyle w:val="12"/>
              <w:overflowPunct w:val="0"/>
              <w:adjustRightInd w:val="0"/>
              <w:snapToGrid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技术/服务要求：</w:t>
            </w:r>
            <w:r>
              <w:rPr>
                <w:rFonts w:hint="eastAsia" w:ascii="宋体" w:hAnsi="宋体" w:eastAsia="宋体" w:cs="宋体"/>
                <w:sz w:val="24"/>
                <w:highlight w:val="none"/>
                <w:lang w:val="en-US" w:eastAsia="zh-CN"/>
              </w:rPr>
              <w:t>是否</w:t>
            </w:r>
            <w:r>
              <w:rPr>
                <w:rFonts w:hint="eastAsia" w:ascii="宋体" w:hAnsi="宋体" w:eastAsia="宋体" w:cs="宋体"/>
                <w:sz w:val="24"/>
                <w:highlight w:val="none"/>
              </w:rPr>
              <w:t>完全理解并接受对合格供应商、合格的货物、工程或服务要求，技术/服务没有重大偏离和保留</w:t>
            </w:r>
            <w:r>
              <w:rPr>
                <w:rFonts w:hint="eastAsia" w:ascii="宋体" w:hAnsi="宋体" w:eastAsia="宋体" w:cs="宋体"/>
                <w:sz w:val="24"/>
                <w:highlight w:val="none"/>
                <w:lang w:eastAsia="zh-CN"/>
              </w:rPr>
              <w:t>；</w:t>
            </w:r>
          </w:p>
        </w:tc>
        <w:tc>
          <w:tcPr>
            <w:tcW w:w="1682" w:type="dxa"/>
            <w:vAlign w:val="center"/>
          </w:tcPr>
          <w:p w14:paraId="24C510EF">
            <w:pP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70EE3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4D0D8202">
            <w:pP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8</w:t>
            </w:r>
          </w:p>
        </w:tc>
        <w:tc>
          <w:tcPr>
            <w:tcW w:w="6105" w:type="dxa"/>
            <w:vAlign w:val="top"/>
          </w:tcPr>
          <w:p w14:paraId="322FC96B">
            <w:pPr>
              <w:pStyle w:val="12"/>
              <w:overflowPunct w:val="0"/>
              <w:adjustRightInd w:val="0"/>
              <w:snapToGrid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合同</w:t>
            </w:r>
            <w:r>
              <w:rPr>
                <w:rFonts w:hint="eastAsia" w:ascii="宋体" w:hAnsi="宋体" w:eastAsia="宋体" w:cs="宋体"/>
                <w:sz w:val="24"/>
                <w:highlight w:val="none"/>
                <w:lang w:val="en-US" w:eastAsia="zh-CN"/>
              </w:rPr>
              <w:t>文本</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是否</w:t>
            </w:r>
            <w:r>
              <w:rPr>
                <w:rFonts w:hint="eastAsia" w:ascii="宋体" w:hAnsi="宋体" w:eastAsia="宋体" w:cs="宋体"/>
                <w:sz w:val="24"/>
                <w:highlight w:val="none"/>
              </w:rPr>
              <w:t>完全理解并接受</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文件合同基本条款的要求。</w:t>
            </w:r>
          </w:p>
        </w:tc>
        <w:tc>
          <w:tcPr>
            <w:tcW w:w="1682" w:type="dxa"/>
            <w:vAlign w:val="center"/>
          </w:tcPr>
          <w:p w14:paraId="0E5DA808">
            <w:pP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r w14:paraId="1A7C9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shd w:val="clear" w:color="auto" w:fill="auto"/>
            <w:vAlign w:val="center"/>
          </w:tcPr>
          <w:p w14:paraId="5A5EE798">
            <w:pPr>
              <w:overflowPunct w:val="0"/>
              <w:adjustRightInd w:val="0"/>
              <w:snapToGrid w:val="0"/>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cs="宋体"/>
                <w:sz w:val="24"/>
                <w:highlight w:val="none"/>
                <w:lang w:val="en-US" w:eastAsia="zh-CN"/>
              </w:rPr>
              <w:t>9</w:t>
            </w:r>
          </w:p>
        </w:tc>
        <w:tc>
          <w:tcPr>
            <w:tcW w:w="6105" w:type="dxa"/>
            <w:vAlign w:val="top"/>
          </w:tcPr>
          <w:p w14:paraId="62215BFF">
            <w:pPr>
              <w:pStyle w:val="12"/>
              <w:overflowPunct w:val="0"/>
              <w:adjustRightInd w:val="0"/>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其他：</w:t>
            </w:r>
            <w:r>
              <w:rPr>
                <w:rFonts w:hint="eastAsia" w:ascii="宋体" w:hAnsi="宋体" w:eastAsia="宋体" w:cs="宋体"/>
                <w:sz w:val="24"/>
                <w:highlight w:val="none"/>
              </w:rPr>
              <w:t>完全理解并接受法律法规和招标文件对供应商的各项须知、规约要求和责任义务，没有出现法律法规或招标文件明确规定的其他被视为“无效投标”的情形。</w:t>
            </w:r>
          </w:p>
        </w:tc>
        <w:tc>
          <w:tcPr>
            <w:tcW w:w="1682" w:type="dxa"/>
            <w:vAlign w:val="center"/>
          </w:tcPr>
          <w:p w14:paraId="67BBD5A4">
            <w:pPr>
              <w:overflowPunct w:val="0"/>
              <w:adjustRightInd w:val="0"/>
              <w:snapToGrid w:val="0"/>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合格/不合格</w:t>
            </w:r>
          </w:p>
        </w:tc>
      </w:tr>
    </w:tbl>
    <w:p w14:paraId="4692CDF2">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对通过审查的，被认为其响应文件完整、合格，投标有效，可进入下阶段的评标。</w:t>
      </w:r>
    </w:p>
    <w:p w14:paraId="735858C3">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）供应商及响应文件有效性和符合性审查，出现下列情况之一者（但不限于），按无效标处理：</w:t>
      </w:r>
    </w:p>
    <w:p w14:paraId="33FE4ADF">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A、</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报价超过采购预算或者最高限价；</w:t>
      </w:r>
    </w:p>
    <w:p w14:paraId="5D8D76D3">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B、</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未经过正常渠道</w:t>
      </w:r>
      <w:r>
        <w:rPr>
          <w:rFonts w:hint="eastAsia" w:ascii="宋体" w:hAnsi="宋体" w:eastAsia="宋体" w:cs="宋体"/>
          <w:sz w:val="24"/>
          <w:szCs w:val="24"/>
          <w:highlight w:val="none"/>
          <w:lang w:val="en-US" w:eastAsia="zh-CN"/>
        </w:rPr>
        <w:t>下载磋商</w:t>
      </w:r>
      <w:r>
        <w:rPr>
          <w:rFonts w:hint="eastAsia" w:ascii="宋体" w:hAnsi="宋体" w:eastAsia="宋体" w:cs="宋体"/>
          <w:sz w:val="24"/>
          <w:szCs w:val="24"/>
          <w:highlight w:val="none"/>
        </w:rPr>
        <w:t>文件，或</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名称与</w:t>
      </w:r>
      <w:r>
        <w:rPr>
          <w:rFonts w:hint="eastAsia" w:ascii="宋体" w:hAnsi="宋体" w:eastAsia="宋体" w:cs="宋体"/>
          <w:sz w:val="24"/>
          <w:szCs w:val="24"/>
          <w:highlight w:val="none"/>
          <w:lang w:val="en-US" w:eastAsia="zh-CN"/>
        </w:rPr>
        <w:t>下载磋商</w:t>
      </w:r>
      <w:r>
        <w:rPr>
          <w:rFonts w:hint="eastAsia" w:ascii="宋体" w:hAnsi="宋体" w:eastAsia="宋体" w:cs="宋体"/>
          <w:sz w:val="24"/>
          <w:szCs w:val="24"/>
          <w:highlight w:val="none"/>
        </w:rPr>
        <w:t>文件时登记的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名称不符的；</w:t>
      </w:r>
    </w:p>
    <w:p w14:paraId="5F43346B">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C、</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文件的签署、盖章不符合</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 xml:space="preserve">文件要求； </w:t>
      </w:r>
    </w:p>
    <w:p w14:paraId="369CB7CB">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D、</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文件的有效性和符合性不符合要求的；</w:t>
      </w:r>
    </w:p>
    <w:p w14:paraId="09E2A63D">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E、实质性内容不满足或未响应的（包括但不限于：</w:t>
      </w:r>
      <w:r>
        <w:rPr>
          <w:rFonts w:hint="eastAsia" w:ascii="宋体" w:hAnsi="宋体" w:eastAsia="宋体" w:cs="宋体"/>
          <w:sz w:val="24"/>
          <w:szCs w:val="24"/>
          <w:highlight w:val="none"/>
          <w:lang w:val="en-US" w:eastAsia="zh-CN"/>
        </w:rPr>
        <w:t>服务期、</w:t>
      </w:r>
      <w:r>
        <w:rPr>
          <w:rFonts w:hint="eastAsia" w:ascii="宋体" w:hAnsi="宋体" w:eastAsia="宋体" w:cs="宋体"/>
          <w:b w:val="0"/>
          <w:i w:val="0"/>
          <w:caps w:val="0"/>
          <w:color w:val="000000" w:themeColor="text1"/>
          <w:spacing w:val="0"/>
          <w:w w:val="100"/>
          <w:sz w:val="24"/>
          <w:szCs w:val="24"/>
          <w:highlight w:val="none"/>
          <w:lang w:val="en-US" w:eastAsia="zh-CN"/>
          <w14:textFill>
            <w14:solidFill>
              <w14:schemeClr w14:val="tx1"/>
            </w14:solidFill>
          </w14:textFill>
        </w:rPr>
        <w:t>质量目标、</w:t>
      </w:r>
      <w:r>
        <w:rPr>
          <w:rFonts w:hint="eastAsia" w:ascii="宋体" w:hAnsi="宋体" w:eastAsia="宋体" w:cs="宋体"/>
          <w:sz w:val="24"/>
          <w:szCs w:val="24"/>
          <w:highlight w:val="none"/>
        </w:rPr>
        <w:t>付款方式、主要技术指标等）；</w:t>
      </w:r>
    </w:p>
    <w:p w14:paraId="5932F611">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F、</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文件未按</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文件要求的签字、加盖公章的；</w:t>
      </w:r>
    </w:p>
    <w:p w14:paraId="078191DC">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G、无投标有效期或有效期达不到</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 xml:space="preserve">文件要求的； </w:t>
      </w:r>
    </w:p>
    <w:p w14:paraId="49352A2B">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H、</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针对同一项目递交两份或多份内容不同的</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文件，未书面声明哪一份是有效的或出现选择性报价的；</w:t>
      </w:r>
    </w:p>
    <w:p w14:paraId="52BB502B">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I、</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有串通投标、弄虚作假（包括但不限于虚假资质、虚假证明、虚假应答等）、行贿等违法行为的；</w:t>
      </w:r>
    </w:p>
    <w:p w14:paraId="25E74E26">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J、</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文件附加了采购人难以接受的条件或条款的；</w:t>
      </w:r>
    </w:p>
    <w:p w14:paraId="1123C068">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K、在政府采购或其它重大项目履约过程中有不良记录，未能按期履约的；</w:t>
      </w:r>
    </w:p>
    <w:p w14:paraId="75FF06EB">
      <w:pPr>
        <w:kinsoku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L、</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报价与市场价格偏离较大、低于成本、形成不正当竞争的；</w:t>
      </w:r>
    </w:p>
    <w:p w14:paraId="551B65B8">
      <w:pPr>
        <w:topLinePunct/>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M、</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报价子目出现漏项或报价数量与要求不符的；</w:t>
      </w:r>
    </w:p>
    <w:p w14:paraId="3A2C3833">
      <w:pPr>
        <w:topLinePunct/>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N、投标产品的技术参数、性能指标与</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文件要求出现重大负偏差的；</w:t>
      </w:r>
    </w:p>
    <w:p w14:paraId="10D71796">
      <w:pP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O、</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文件未实质性响应</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文件要求的；</w:t>
      </w:r>
    </w:p>
    <w:p w14:paraId="3804BEB0">
      <w:pP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P、提供虚假技术性能指标的。</w:t>
      </w:r>
    </w:p>
    <w:p w14:paraId="10253095">
      <w:pPr>
        <w:spacing w:line="360" w:lineRule="auto"/>
        <w:ind w:firstLine="120" w:firstLineChars="5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w:t>
      </w:r>
      <w:r>
        <w:rPr>
          <w:rFonts w:hint="eastAsia" w:ascii="宋体" w:hAnsi="宋体" w:cs="宋体"/>
          <w:b/>
          <w:color w:val="000000"/>
          <w:sz w:val="24"/>
          <w:szCs w:val="24"/>
          <w:highlight w:val="none"/>
          <w:lang w:val="en-US" w:eastAsia="zh-CN"/>
        </w:rPr>
        <w:t>4</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有下列情形之一的，视为供应商串通投标，磋商小组应当认定其响应文件无效：</w:t>
      </w:r>
    </w:p>
    <w:p w14:paraId="7A37AD9D">
      <w:pPr>
        <w:spacing w:line="360" w:lineRule="auto"/>
        <w:ind w:firstLine="600" w:firstLineChars="250"/>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A、不同供应商的响应文件由同一单位或者个人编制；</w:t>
      </w:r>
    </w:p>
    <w:p w14:paraId="27FECA62">
      <w:pPr>
        <w:widowControl/>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B、不同供应商委托同一单位或者个人办理磋商事宜； </w:t>
      </w:r>
    </w:p>
    <w:p w14:paraId="1E394D90">
      <w:pPr>
        <w:widowControl/>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C、不同供应商的响应文件载明的项目管理成员或者联系人员为同一人；</w:t>
      </w:r>
    </w:p>
    <w:p w14:paraId="384889A8">
      <w:pPr>
        <w:widowControl/>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D、不同供应商的响应文件异常一致或者磋商报价呈规律性差异；</w:t>
      </w:r>
    </w:p>
    <w:p w14:paraId="28564D73">
      <w:pPr>
        <w:widowControl/>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E、不同供应商的响应文件相互混装；</w:t>
      </w:r>
    </w:p>
    <w:p w14:paraId="461A0FD8">
      <w:pPr>
        <w:kinsoku w:val="0"/>
        <w:spacing w:line="360" w:lineRule="auto"/>
        <w:ind w:firstLine="600" w:firstLineChars="2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F、不同供应商的磋商保证金从同一单位或者个人的账户转出。</w:t>
      </w:r>
    </w:p>
    <w:p w14:paraId="494A9007">
      <w:pPr>
        <w:pStyle w:val="4"/>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3．磋商</w:t>
      </w:r>
    </w:p>
    <w:p w14:paraId="5A3C528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（1）磋商小组有权就响应文件中含混之处向上述步骤评审合格的供应商提出询问或澄清要求；供应商将有关磋商澄清、补正、说明的内容应以书面形式提交；</w:t>
      </w:r>
    </w:p>
    <w:p w14:paraId="14A551F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（2）磋商文件、响应文件作为磋商的依据，澄清、补正、说明的内容只作为磋商参考。磋商澄清时供应商只作说明和解释，不得借此对响应报价、</w:t>
      </w:r>
      <w:r>
        <w:rPr>
          <w:rFonts w:hint="eastAsia" w:ascii="宋体" w:hAnsi="宋体" w:eastAsia="宋体" w:cs="宋体"/>
          <w:sz w:val="24"/>
          <w:szCs w:val="24"/>
          <w:highlight w:val="none"/>
          <w:lang w:val="en-US" w:eastAsia="zh-CN"/>
        </w:rPr>
        <w:t>交付期、质保</w:t>
      </w:r>
      <w:r>
        <w:rPr>
          <w:rFonts w:hint="eastAsia" w:ascii="宋体" w:hAnsi="宋体" w:eastAsia="宋体" w:cs="宋体"/>
          <w:sz w:val="24"/>
          <w:szCs w:val="24"/>
          <w:highlight w:val="none"/>
        </w:rPr>
        <w:t>服务期、实质性内容做任何修改；如澄清、补正、说明的内容与响应文件内容有重大相悖或矛盾，将被认定为无效响应；</w:t>
      </w:r>
    </w:p>
    <w:p w14:paraId="552EEF6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（3）供应商对响应文件的澄清不得改变响应价格及实质内容；</w:t>
      </w:r>
    </w:p>
    <w:p w14:paraId="67DA267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采用综合评分法：磋商小组按照磋商文件中规定的各项因素与供应商分别进行磋商确定合格供应商，合格供应商第二次报价后，磋商小组以磋商总得分最高的供应商作为中标候选单位或者中标供应商的磋商方法。若有两个或两个以上最高得分相同，推荐其中报价最低的磋商人为中标候选人。</w:t>
      </w:r>
    </w:p>
    <w:p w14:paraId="5D987AE1">
      <w:pPr>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4、评定内容及打分标准</w:t>
      </w:r>
      <w:r>
        <w:rPr>
          <w:rFonts w:hint="eastAsia" w:ascii="宋体" w:hAnsi="宋体" w:eastAsia="宋体" w:cs="宋体"/>
          <w:kern w:val="0"/>
          <w:sz w:val="24"/>
          <w:szCs w:val="24"/>
          <w:highlight w:val="none"/>
        </w:rPr>
        <w:t>：</w:t>
      </w:r>
    </w:p>
    <w:p w14:paraId="3A9A5F4F">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（1）磋商小组根据以下内容进行综合比较，自主打分，按最后得分由高到低汇总排序，以标段为单位分别推荐一至三名中标候选单位；磋商小组根据磋商结果写出磋商报告；</w:t>
      </w:r>
    </w:p>
    <w:p w14:paraId="2EB4A197">
      <w:pPr>
        <w:spacing w:line="360" w:lineRule="auto"/>
        <w:ind w:firstLine="480" w:firstLineChars="200"/>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（2）评定内容及打分标准：总分100分，每个</w:t>
      </w:r>
      <w:r>
        <w:rPr>
          <w:rFonts w:hint="eastAsia" w:ascii="宋体" w:hAnsi="宋体" w:eastAsia="宋体" w:cs="宋体"/>
          <w:kern w:val="0"/>
          <w:sz w:val="24"/>
          <w:szCs w:val="24"/>
          <w:highlight w:val="none"/>
          <w:lang w:eastAsia="zh-CN"/>
        </w:rPr>
        <w:t>供应商</w:t>
      </w:r>
      <w:r>
        <w:rPr>
          <w:rFonts w:hint="eastAsia" w:ascii="宋体" w:hAnsi="宋体" w:eastAsia="宋体" w:cs="宋体"/>
          <w:kern w:val="0"/>
          <w:sz w:val="24"/>
          <w:szCs w:val="24"/>
          <w:highlight w:val="none"/>
        </w:rPr>
        <w:t>每项评分因素得分汇总即为最后得分，各项评分因素具体内容及打分标准如下</w:t>
      </w:r>
      <w:r>
        <w:rPr>
          <w:rFonts w:hint="eastAsia" w:ascii="宋体" w:hAnsi="宋体" w:eastAsia="宋体" w:cs="宋体"/>
          <w:kern w:val="0"/>
          <w:sz w:val="24"/>
          <w:szCs w:val="24"/>
          <w:highlight w:val="none"/>
          <w:lang w:eastAsia="zh-CN"/>
        </w:rPr>
        <w:t>：</w:t>
      </w:r>
    </w:p>
    <w:tbl>
      <w:tblPr>
        <w:tblStyle w:val="24"/>
        <w:tblpPr w:leftFromText="180" w:rightFromText="180" w:vertAnchor="text" w:horzAnchor="page" w:tblpX="1874" w:tblpY="23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972"/>
        <w:gridCol w:w="960"/>
        <w:gridCol w:w="5817"/>
      </w:tblGrid>
      <w:tr w14:paraId="7BD86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14:paraId="793EFEF7">
            <w:pPr>
              <w:pStyle w:val="48"/>
              <w:keepNext w:val="0"/>
              <w:keepLines w:val="0"/>
              <w:pageBreakBefore w:val="0"/>
              <w:kinsoku/>
              <w:wordWrap/>
              <w:overflowPunct/>
              <w:topLinePunct w:val="0"/>
              <w:autoSpaceDE/>
              <w:autoSpaceDN/>
              <w:bidi w:val="0"/>
              <w:snapToGrid/>
              <w:spacing w:before="167" w:afterAutospacing="0"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
                <w:bCs/>
                <w:spacing w:val="-9"/>
                <w:sz w:val="24"/>
                <w:szCs w:val="24"/>
                <w:lang w:val="en-US" w:eastAsia="zh-CN"/>
              </w:rPr>
              <w:t>评审因素</w:t>
            </w:r>
          </w:p>
        </w:tc>
        <w:tc>
          <w:tcPr>
            <w:tcW w:w="972" w:type="dxa"/>
            <w:noWrap w:val="0"/>
            <w:vAlign w:val="center"/>
          </w:tcPr>
          <w:p w14:paraId="22EA38C3">
            <w:pPr>
              <w:pStyle w:val="48"/>
              <w:keepNext w:val="0"/>
              <w:keepLines w:val="0"/>
              <w:pageBreakBefore w:val="0"/>
              <w:kinsoku/>
              <w:wordWrap/>
              <w:overflowPunct/>
              <w:topLinePunct w:val="0"/>
              <w:autoSpaceDE/>
              <w:autoSpaceDN/>
              <w:bidi w:val="0"/>
              <w:snapToGrid/>
              <w:spacing w:before="167" w:afterAutospacing="0" w:line="240" w:lineRule="auto"/>
              <w:jc w:val="center"/>
              <w:textAlignment w:val="auto"/>
              <w:rPr>
                <w:rFonts w:hint="eastAsia" w:ascii="宋体" w:hAnsi="宋体" w:eastAsia="宋体" w:cs="宋体"/>
                <w:kern w:val="2"/>
                <w:sz w:val="24"/>
                <w:szCs w:val="24"/>
                <w:lang w:val="en-US" w:eastAsia="en-US" w:bidi="ar-SA"/>
              </w:rPr>
            </w:pPr>
            <w:r>
              <w:rPr>
                <w:rFonts w:hint="eastAsia" w:ascii="宋体" w:hAnsi="宋体" w:eastAsia="宋体" w:cs="宋体"/>
                <w:b/>
                <w:bCs/>
                <w:spacing w:val="-9"/>
                <w:sz w:val="24"/>
                <w:szCs w:val="24"/>
              </w:rPr>
              <w:t>分值</w:t>
            </w:r>
          </w:p>
        </w:tc>
        <w:tc>
          <w:tcPr>
            <w:tcW w:w="960" w:type="dxa"/>
            <w:noWrap w:val="0"/>
            <w:vAlign w:val="center"/>
          </w:tcPr>
          <w:p w14:paraId="74D2F5A8">
            <w:pPr>
              <w:pStyle w:val="48"/>
              <w:keepNext w:val="0"/>
              <w:keepLines w:val="0"/>
              <w:pageBreakBefore w:val="0"/>
              <w:kinsoku/>
              <w:wordWrap/>
              <w:overflowPunct/>
              <w:topLinePunct w:val="0"/>
              <w:autoSpaceDE/>
              <w:autoSpaceDN/>
              <w:bidi w:val="0"/>
              <w:snapToGrid/>
              <w:spacing w:before="167" w:afterAutospacing="0" w:line="240" w:lineRule="auto"/>
              <w:jc w:val="center"/>
              <w:textAlignment w:val="auto"/>
              <w:rPr>
                <w:rFonts w:hint="eastAsia" w:ascii="宋体" w:hAnsi="宋体" w:eastAsia="宋体" w:cs="宋体"/>
                <w:b/>
                <w:bCs/>
                <w:spacing w:val="-9"/>
                <w:sz w:val="24"/>
                <w:szCs w:val="24"/>
                <w:lang w:val="en-US" w:eastAsia="zh-CN"/>
              </w:rPr>
            </w:pPr>
            <w:r>
              <w:rPr>
                <w:rFonts w:hint="eastAsia" w:ascii="宋体" w:hAnsi="宋体" w:eastAsia="宋体" w:cs="宋体"/>
                <w:b/>
                <w:bCs/>
                <w:spacing w:val="-9"/>
                <w:sz w:val="24"/>
                <w:szCs w:val="24"/>
                <w:lang w:val="en-US" w:eastAsia="zh-CN"/>
              </w:rPr>
              <w:t>主观/客观</w:t>
            </w:r>
          </w:p>
        </w:tc>
        <w:tc>
          <w:tcPr>
            <w:tcW w:w="5817" w:type="dxa"/>
            <w:noWrap w:val="0"/>
            <w:vAlign w:val="center"/>
          </w:tcPr>
          <w:p w14:paraId="0A150F23">
            <w:pPr>
              <w:pStyle w:val="48"/>
              <w:keepNext w:val="0"/>
              <w:keepLines w:val="0"/>
              <w:pageBreakBefore w:val="0"/>
              <w:kinsoku/>
              <w:wordWrap/>
              <w:overflowPunct/>
              <w:topLinePunct w:val="0"/>
              <w:autoSpaceDE/>
              <w:autoSpaceDN/>
              <w:bidi w:val="0"/>
              <w:snapToGrid/>
              <w:spacing w:before="167" w:afterAutospacing="0" w:line="240" w:lineRule="auto"/>
              <w:jc w:val="center"/>
              <w:textAlignment w:val="auto"/>
              <w:rPr>
                <w:rFonts w:hint="eastAsia" w:ascii="宋体" w:hAnsi="宋体" w:eastAsia="宋体" w:cs="宋体"/>
                <w:kern w:val="2"/>
                <w:sz w:val="24"/>
                <w:szCs w:val="24"/>
                <w:lang w:val="en-US" w:eastAsia="en-US" w:bidi="ar-SA"/>
              </w:rPr>
            </w:pPr>
            <w:r>
              <w:rPr>
                <w:rFonts w:hint="eastAsia" w:ascii="宋体" w:hAnsi="宋体" w:eastAsia="宋体" w:cs="宋体"/>
                <w:b/>
                <w:bCs/>
                <w:spacing w:val="-5"/>
                <w:sz w:val="24"/>
                <w:szCs w:val="24"/>
              </w:rPr>
              <w:t>评审要素</w:t>
            </w:r>
          </w:p>
        </w:tc>
      </w:tr>
      <w:tr w14:paraId="10D8E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14:paraId="0E89DA9D">
            <w:pPr>
              <w:pStyle w:val="48"/>
              <w:keepNext w:val="0"/>
              <w:keepLines w:val="0"/>
              <w:pageBreakBefore w:val="0"/>
              <w:kinsoku/>
              <w:wordWrap/>
              <w:overflowPunct/>
              <w:topLinePunct w:val="0"/>
              <w:autoSpaceDE/>
              <w:autoSpaceDN/>
              <w:bidi w:val="0"/>
              <w:snapToGrid/>
              <w:spacing w:before="78" w:afterAutospacing="0" w:line="240" w:lineRule="auto"/>
              <w:jc w:val="center"/>
              <w:textAlignment w:val="auto"/>
              <w:rPr>
                <w:rFonts w:hint="eastAsia" w:ascii="宋体" w:hAnsi="宋体" w:eastAsia="宋体" w:cs="宋体"/>
                <w:kern w:val="2"/>
                <w:sz w:val="24"/>
                <w:szCs w:val="24"/>
                <w:lang w:val="en-US" w:eastAsia="en-US" w:bidi="ar-SA"/>
              </w:rPr>
            </w:pPr>
            <w:r>
              <w:rPr>
                <w:rFonts w:hint="eastAsia" w:ascii="宋体" w:hAnsi="宋体" w:eastAsia="宋体" w:cs="宋体"/>
                <w:b/>
                <w:bCs/>
                <w:spacing w:val="-6"/>
                <w:sz w:val="24"/>
                <w:szCs w:val="24"/>
                <w:lang w:val="en-US" w:eastAsia="zh-CN"/>
              </w:rPr>
              <w:t>磋商</w:t>
            </w:r>
            <w:r>
              <w:rPr>
                <w:rFonts w:hint="eastAsia" w:ascii="宋体" w:hAnsi="宋体" w:eastAsia="宋体" w:cs="宋体"/>
                <w:b/>
                <w:bCs/>
                <w:spacing w:val="-6"/>
                <w:sz w:val="24"/>
                <w:szCs w:val="24"/>
              </w:rPr>
              <w:t>报价</w:t>
            </w:r>
          </w:p>
        </w:tc>
        <w:tc>
          <w:tcPr>
            <w:tcW w:w="972" w:type="dxa"/>
            <w:noWrap w:val="0"/>
            <w:vAlign w:val="center"/>
          </w:tcPr>
          <w:p w14:paraId="46E2D4F9">
            <w:pPr>
              <w:keepNext w:val="0"/>
              <w:keepLines w:val="0"/>
              <w:pageBreakBefore w:val="0"/>
              <w:kinsoku/>
              <w:wordWrap/>
              <w:overflowPunct/>
              <w:topLinePunct w:val="0"/>
              <w:autoSpaceDE/>
              <w:autoSpaceDN/>
              <w:bidi w:val="0"/>
              <w:snapToGrid/>
              <w:spacing w:before="69" w:afterAutospacing="0"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
                <w:bCs/>
                <w:spacing w:val="-3"/>
                <w:sz w:val="24"/>
                <w:szCs w:val="24"/>
                <w:lang w:val="en-US" w:eastAsia="zh-CN"/>
              </w:rPr>
              <w:t>1</w:t>
            </w:r>
            <w:r>
              <w:rPr>
                <w:rFonts w:hint="eastAsia" w:ascii="宋体" w:hAnsi="宋体" w:eastAsia="宋体" w:cs="宋体"/>
                <w:b/>
                <w:bCs/>
                <w:spacing w:val="-3"/>
                <w:sz w:val="24"/>
                <w:szCs w:val="24"/>
              </w:rPr>
              <w:t>0</w:t>
            </w:r>
            <w:r>
              <w:rPr>
                <w:rFonts w:hint="eastAsia" w:ascii="宋体" w:hAnsi="宋体" w:eastAsia="宋体" w:cs="宋体"/>
                <w:b/>
                <w:bCs/>
                <w:spacing w:val="-3"/>
                <w:sz w:val="24"/>
                <w:szCs w:val="24"/>
                <w:lang w:val="en-US" w:eastAsia="zh-CN"/>
              </w:rPr>
              <w:t>分</w:t>
            </w:r>
          </w:p>
        </w:tc>
        <w:tc>
          <w:tcPr>
            <w:tcW w:w="960" w:type="dxa"/>
            <w:noWrap w:val="0"/>
            <w:vAlign w:val="center"/>
          </w:tcPr>
          <w:p w14:paraId="297D0706">
            <w:pPr>
              <w:keepNext w:val="0"/>
              <w:keepLines w:val="0"/>
              <w:pageBreakBefore w:val="0"/>
              <w:kinsoku/>
              <w:wordWrap/>
              <w:overflowPunct/>
              <w:topLinePunct w:val="0"/>
              <w:autoSpaceDE/>
              <w:autoSpaceDN/>
              <w:bidi w:val="0"/>
              <w:snapToGrid/>
              <w:spacing w:before="69" w:afterAutospacing="0" w:line="240" w:lineRule="auto"/>
              <w:jc w:val="center"/>
              <w:textAlignment w:val="auto"/>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客观</w:t>
            </w:r>
          </w:p>
        </w:tc>
        <w:tc>
          <w:tcPr>
            <w:tcW w:w="5817" w:type="dxa"/>
            <w:noWrap w:val="0"/>
            <w:vAlign w:val="top"/>
          </w:tcPr>
          <w:p w14:paraId="00081BC6">
            <w:pPr>
              <w:keepNext w:val="0"/>
              <w:keepLines w:val="0"/>
              <w:pageBreakBefore w:val="0"/>
              <w:kinsoku/>
              <w:wordWrap/>
              <w:overflowPunct/>
              <w:topLinePunct w:val="0"/>
              <w:autoSpaceDE/>
              <w:autoSpaceDN/>
              <w:bidi w:val="0"/>
              <w:snapToGrid/>
              <w:spacing w:before="34" w:afterAutospacing="0" w:line="240" w:lineRule="auto"/>
              <w:ind w:left="120" w:right="176"/>
              <w:jc w:val="both"/>
              <w:textAlignment w:val="auto"/>
              <w:rPr>
                <w:rFonts w:hint="eastAsia" w:ascii="宋体" w:hAnsi="宋体" w:eastAsia="宋体" w:cs="宋体"/>
                <w:sz w:val="24"/>
                <w:szCs w:val="24"/>
              </w:rPr>
            </w:pPr>
            <w:r>
              <w:rPr>
                <w:rFonts w:hint="eastAsia" w:ascii="宋体" w:hAnsi="宋体" w:eastAsia="宋体" w:cs="宋体"/>
                <w:spacing w:val="-1"/>
                <w:sz w:val="24"/>
                <w:szCs w:val="24"/>
              </w:rPr>
              <w:t>价格分统一采用低价优先法计算，即满足磋商文件要求且磋商价格最低的磋商报价为磋商基准价，其价格分为满分。其他供应商的价格分统一按照下列公式计算：</w:t>
            </w:r>
          </w:p>
          <w:p w14:paraId="4E6FC52B">
            <w:pPr>
              <w:keepNext w:val="0"/>
              <w:keepLines w:val="0"/>
              <w:pageBreakBefore w:val="0"/>
              <w:kinsoku/>
              <w:wordWrap/>
              <w:overflowPunct/>
              <w:topLinePunct w:val="0"/>
              <w:autoSpaceDE/>
              <w:autoSpaceDN/>
              <w:bidi w:val="0"/>
              <w:snapToGrid/>
              <w:spacing w:before="2" w:afterAutospacing="0" w:line="240" w:lineRule="auto"/>
              <w:ind w:left="119" w:leftChars="0" w:right="689" w:rightChars="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spacing w:val="-1"/>
                <w:sz w:val="24"/>
                <w:szCs w:val="24"/>
              </w:rPr>
              <w:t>磋商报价得分=(磋商基准价／磋商报价)×价格权值×100计算分数时四舍五入取小数点后两位</w:t>
            </w:r>
            <w:r>
              <w:rPr>
                <w:rFonts w:hint="eastAsia" w:ascii="宋体" w:hAnsi="宋体" w:eastAsia="宋体" w:cs="宋体"/>
                <w:spacing w:val="-1"/>
                <w:sz w:val="24"/>
                <w:szCs w:val="24"/>
                <w:lang w:eastAsia="zh-CN"/>
              </w:rPr>
              <w:t>。</w:t>
            </w:r>
          </w:p>
        </w:tc>
      </w:tr>
      <w:tr w14:paraId="763EC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14:paraId="57DC3CEA">
            <w:pPr>
              <w:adjustRightInd w:val="0"/>
              <w:snapToGrid w:val="0"/>
              <w:spacing w:line="360" w:lineRule="auto"/>
              <w:contextualSpacing/>
              <w:jc w:val="center"/>
              <w:rPr>
                <w:rFonts w:hint="eastAsia" w:ascii="宋体" w:hAnsi="宋体" w:eastAsia="宋体" w:cs="宋体"/>
                <w:b/>
                <w:bCs/>
                <w:spacing w:val="-6"/>
                <w:sz w:val="24"/>
                <w:szCs w:val="24"/>
                <w:lang w:val="en-US" w:eastAsia="zh-CN"/>
              </w:rPr>
            </w:pPr>
            <w:r>
              <w:rPr>
                <w:rFonts w:hint="eastAsia" w:ascii="宋体" w:hAnsi="宋体" w:eastAsia="宋体" w:cs="宋体"/>
                <w:b/>
                <w:bCs/>
                <w:sz w:val="24"/>
                <w:szCs w:val="24"/>
                <w:lang w:val="en-US" w:eastAsia="zh-CN"/>
              </w:rPr>
              <w:t>认证证书</w:t>
            </w:r>
          </w:p>
        </w:tc>
        <w:tc>
          <w:tcPr>
            <w:tcW w:w="972" w:type="dxa"/>
            <w:noWrap w:val="0"/>
            <w:vAlign w:val="center"/>
          </w:tcPr>
          <w:p w14:paraId="751EE254">
            <w:pPr>
              <w:adjustRightInd w:val="0"/>
              <w:snapToGrid w:val="0"/>
              <w:spacing w:line="360" w:lineRule="auto"/>
              <w:contextualSpacing/>
              <w:jc w:val="center"/>
              <w:rPr>
                <w:rFonts w:hint="eastAsia" w:ascii="宋体" w:hAnsi="宋体" w:eastAsia="宋体" w:cs="宋体"/>
                <w:b/>
                <w:bCs/>
                <w:spacing w:val="-3"/>
                <w:sz w:val="24"/>
                <w:szCs w:val="24"/>
                <w:lang w:val="en-US" w:eastAsia="zh-CN"/>
              </w:rPr>
            </w:pPr>
            <w:r>
              <w:rPr>
                <w:rFonts w:hint="eastAsia" w:ascii="宋体" w:hAnsi="宋体" w:eastAsia="宋体" w:cs="宋体"/>
                <w:b/>
                <w:bCs/>
                <w:sz w:val="24"/>
                <w:szCs w:val="24"/>
              </w:rPr>
              <w:t>4</w:t>
            </w:r>
            <w:r>
              <w:rPr>
                <w:rFonts w:hint="eastAsia" w:ascii="宋体" w:hAnsi="宋体" w:eastAsia="宋体" w:cs="宋体"/>
                <w:b/>
                <w:bCs/>
                <w:sz w:val="24"/>
                <w:szCs w:val="24"/>
                <w:lang w:val="en-US" w:eastAsia="zh-CN"/>
              </w:rPr>
              <w:t>分</w:t>
            </w:r>
          </w:p>
        </w:tc>
        <w:tc>
          <w:tcPr>
            <w:tcW w:w="960" w:type="dxa"/>
            <w:noWrap w:val="0"/>
            <w:vAlign w:val="center"/>
          </w:tcPr>
          <w:p w14:paraId="1C7895B9">
            <w:pPr>
              <w:keepNext w:val="0"/>
              <w:keepLines w:val="0"/>
              <w:pageBreakBefore w:val="0"/>
              <w:kinsoku/>
              <w:wordWrap/>
              <w:overflowPunct/>
              <w:topLinePunct w:val="0"/>
              <w:autoSpaceDE/>
              <w:autoSpaceDN/>
              <w:bidi w:val="0"/>
              <w:snapToGrid/>
              <w:spacing w:before="69" w:afterAutospacing="0" w:line="240" w:lineRule="auto"/>
              <w:jc w:val="center"/>
              <w:textAlignment w:val="auto"/>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客观</w:t>
            </w:r>
          </w:p>
        </w:tc>
        <w:tc>
          <w:tcPr>
            <w:tcW w:w="5817" w:type="dxa"/>
            <w:noWrap w:val="0"/>
            <w:vAlign w:val="top"/>
          </w:tcPr>
          <w:p w14:paraId="71128337">
            <w:pPr>
              <w:adjustRightInd w:val="0"/>
              <w:snapToGrid w:val="0"/>
              <w:spacing w:line="360" w:lineRule="auto"/>
              <w:contextualSpacing/>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1.供应商</w:t>
            </w:r>
            <w:r>
              <w:rPr>
                <w:rFonts w:hint="eastAsia" w:ascii="宋体" w:hAnsi="宋体" w:eastAsia="宋体" w:cs="宋体"/>
                <w:sz w:val="24"/>
                <w:szCs w:val="24"/>
                <w:lang w:val="en-US" w:eastAsia="zh-CN"/>
              </w:rPr>
              <w:t>具备</w:t>
            </w:r>
            <w:r>
              <w:rPr>
                <w:rFonts w:hint="eastAsia" w:ascii="宋体" w:hAnsi="宋体" w:eastAsia="宋体" w:cs="宋体"/>
                <w:sz w:val="24"/>
                <w:szCs w:val="24"/>
                <w:lang w:val="zh-TW" w:eastAsia="zh-TW"/>
              </w:rPr>
              <w:t>CS3级信息系统建设和服务能力等级证书，且在有效期内的，得1分；未提供或不在有效期内的，得0分。</w:t>
            </w:r>
          </w:p>
          <w:p w14:paraId="27BCA14D">
            <w:pPr>
              <w:adjustRightInd w:val="0"/>
              <w:snapToGrid w:val="0"/>
              <w:spacing w:line="360" w:lineRule="auto"/>
              <w:contextualSpacing/>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2.供应商</w:t>
            </w:r>
            <w:r>
              <w:rPr>
                <w:rFonts w:hint="eastAsia" w:ascii="宋体" w:hAnsi="宋体" w:eastAsia="宋体" w:cs="宋体"/>
                <w:sz w:val="24"/>
                <w:szCs w:val="24"/>
                <w:lang w:val="en-US" w:eastAsia="zh-CN"/>
              </w:rPr>
              <w:t>具备</w:t>
            </w:r>
            <w:r>
              <w:rPr>
                <w:rFonts w:hint="eastAsia" w:ascii="宋体" w:hAnsi="宋体" w:eastAsia="宋体" w:cs="宋体"/>
                <w:sz w:val="24"/>
                <w:szCs w:val="24"/>
                <w:lang w:val="zh-TW" w:eastAsia="zh-TW"/>
              </w:rPr>
              <w:t>CCIA信息系统业务安全服务资质证书，且在有效期内的，得1分；未提供或不在有效期内的，得0分。</w:t>
            </w:r>
          </w:p>
          <w:p w14:paraId="7B11D639">
            <w:pPr>
              <w:adjustRightInd w:val="0"/>
              <w:snapToGrid w:val="0"/>
              <w:spacing w:line="360" w:lineRule="auto"/>
              <w:contextualSpacing/>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3.供应商</w:t>
            </w:r>
            <w:r>
              <w:rPr>
                <w:rFonts w:hint="eastAsia" w:ascii="宋体" w:hAnsi="宋体" w:eastAsia="宋体" w:cs="宋体"/>
                <w:sz w:val="24"/>
                <w:szCs w:val="24"/>
                <w:lang w:val="en-US" w:eastAsia="zh-CN"/>
              </w:rPr>
              <w:t>具备</w:t>
            </w:r>
            <w:r>
              <w:rPr>
                <w:rFonts w:hint="eastAsia" w:ascii="宋体" w:hAnsi="宋体" w:eastAsia="宋体" w:cs="宋体"/>
                <w:sz w:val="24"/>
                <w:szCs w:val="24"/>
                <w:lang w:val="zh-TW" w:eastAsia="zh-TW"/>
              </w:rPr>
              <w:t>CMMI5级证书</w:t>
            </w:r>
            <w:r>
              <w:rPr>
                <w:rFonts w:hint="eastAsia" w:ascii="宋体" w:hAnsi="宋体" w:eastAsia="宋体" w:cs="宋体"/>
                <w:sz w:val="24"/>
                <w:szCs w:val="24"/>
                <w:lang w:val="zh-TW" w:eastAsia="zh-CN"/>
              </w:rPr>
              <w:t>：</w:t>
            </w:r>
            <w:r>
              <w:rPr>
                <w:rFonts w:hint="eastAsia" w:ascii="宋体" w:hAnsi="宋体" w:eastAsia="宋体" w:cs="宋体"/>
                <w:sz w:val="24"/>
                <w:szCs w:val="24"/>
                <w:lang w:val="zh-TW" w:eastAsia="zh-TW"/>
              </w:rPr>
              <w:t>集成能力成熟度模型开发模型版本2.0，且在有效期内的，得1分；未提供或不在有效期内的，得0分。</w:t>
            </w:r>
          </w:p>
          <w:p w14:paraId="3AACF6D8">
            <w:pPr>
              <w:adjustRightInd w:val="0"/>
              <w:snapToGrid w:val="0"/>
              <w:spacing w:line="360" w:lineRule="auto"/>
              <w:contextualSpacing/>
              <w:rPr>
                <w:rFonts w:hint="eastAsia" w:ascii="宋体" w:hAnsi="宋体" w:eastAsia="宋体" w:cs="宋体"/>
                <w:spacing w:val="-1"/>
                <w:sz w:val="24"/>
                <w:szCs w:val="24"/>
              </w:rPr>
            </w:pPr>
            <w:r>
              <w:rPr>
                <w:rFonts w:hint="eastAsia" w:ascii="宋体" w:hAnsi="宋体" w:eastAsia="宋体" w:cs="宋体"/>
                <w:sz w:val="24"/>
                <w:szCs w:val="24"/>
                <w:lang w:val="zh-TW" w:eastAsia="zh-TW"/>
              </w:rPr>
              <w:t>4.供应商</w:t>
            </w:r>
            <w:r>
              <w:rPr>
                <w:rFonts w:hint="eastAsia" w:ascii="宋体" w:hAnsi="宋体" w:eastAsia="宋体" w:cs="宋体"/>
                <w:sz w:val="24"/>
                <w:szCs w:val="24"/>
                <w:lang w:val="en-US" w:eastAsia="zh-CN"/>
              </w:rPr>
              <w:t>具备</w:t>
            </w:r>
            <w:r>
              <w:rPr>
                <w:rFonts w:hint="eastAsia" w:ascii="宋体" w:hAnsi="宋体" w:eastAsia="宋体" w:cs="宋体"/>
                <w:sz w:val="24"/>
                <w:szCs w:val="24"/>
                <w:lang w:val="zh-TW" w:eastAsia="zh-TW"/>
              </w:rPr>
              <w:t>GB/T 279222011售后服务认证证书，且在有效期内的，得1分；未提供或不在有效期内的，得0分。</w:t>
            </w:r>
          </w:p>
        </w:tc>
      </w:tr>
      <w:tr w14:paraId="39F6B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14:paraId="5B434FF2">
            <w:pPr>
              <w:adjustRightInd w:val="0"/>
              <w:snapToGrid w:val="0"/>
              <w:spacing w:line="360" w:lineRule="auto"/>
              <w:contextualSpacing/>
              <w:jc w:val="center"/>
              <w:rPr>
                <w:rFonts w:hint="eastAsia" w:ascii="宋体" w:hAnsi="宋体" w:eastAsia="宋体" w:cs="宋体"/>
                <w:b/>
                <w:bCs/>
                <w:spacing w:val="-6"/>
                <w:sz w:val="24"/>
                <w:szCs w:val="24"/>
                <w:lang w:val="en-US" w:eastAsia="zh-CN"/>
              </w:rPr>
            </w:pPr>
            <w:r>
              <w:rPr>
                <w:rFonts w:hint="eastAsia" w:ascii="宋体" w:hAnsi="宋体" w:eastAsia="宋体" w:cs="宋体"/>
                <w:b/>
                <w:bCs/>
                <w:sz w:val="24"/>
                <w:szCs w:val="24"/>
                <w:lang w:val="en-US" w:eastAsia="zh-CN"/>
              </w:rPr>
              <w:t>企业实力</w:t>
            </w:r>
          </w:p>
        </w:tc>
        <w:tc>
          <w:tcPr>
            <w:tcW w:w="972" w:type="dxa"/>
            <w:noWrap w:val="0"/>
            <w:vAlign w:val="center"/>
          </w:tcPr>
          <w:p w14:paraId="6FC6664D">
            <w:pPr>
              <w:adjustRightInd w:val="0"/>
              <w:snapToGrid w:val="0"/>
              <w:spacing w:line="360" w:lineRule="auto"/>
              <w:contextualSpacing/>
              <w:jc w:val="center"/>
              <w:rPr>
                <w:rFonts w:hint="eastAsia" w:ascii="宋体" w:hAnsi="宋体" w:eastAsia="宋体" w:cs="宋体"/>
                <w:b/>
                <w:bCs/>
                <w:spacing w:val="-3"/>
                <w:sz w:val="24"/>
                <w:szCs w:val="24"/>
                <w:lang w:val="en-US" w:eastAsia="zh-CN"/>
              </w:rPr>
            </w:pPr>
            <w:r>
              <w:rPr>
                <w:rFonts w:hint="eastAsia" w:ascii="宋体" w:hAnsi="宋体" w:eastAsia="宋体" w:cs="宋体"/>
                <w:b/>
                <w:bCs/>
                <w:sz w:val="24"/>
                <w:szCs w:val="24"/>
                <w:lang w:val="en-US" w:eastAsia="zh-CN"/>
              </w:rPr>
              <w:t>8分</w:t>
            </w:r>
          </w:p>
        </w:tc>
        <w:tc>
          <w:tcPr>
            <w:tcW w:w="960" w:type="dxa"/>
            <w:noWrap w:val="0"/>
            <w:vAlign w:val="center"/>
          </w:tcPr>
          <w:p w14:paraId="00532734">
            <w:pPr>
              <w:keepNext w:val="0"/>
              <w:keepLines w:val="0"/>
              <w:pageBreakBefore w:val="0"/>
              <w:kinsoku/>
              <w:wordWrap/>
              <w:overflowPunct/>
              <w:topLinePunct w:val="0"/>
              <w:autoSpaceDE/>
              <w:autoSpaceDN/>
              <w:bidi w:val="0"/>
              <w:snapToGrid/>
              <w:spacing w:before="69" w:afterAutospacing="0" w:line="240" w:lineRule="auto"/>
              <w:jc w:val="center"/>
              <w:textAlignment w:val="auto"/>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客观</w:t>
            </w:r>
          </w:p>
        </w:tc>
        <w:tc>
          <w:tcPr>
            <w:tcW w:w="5817" w:type="dxa"/>
            <w:noWrap w:val="0"/>
            <w:vAlign w:val="top"/>
          </w:tcPr>
          <w:p w14:paraId="06CBBC4D">
            <w:pPr>
              <w:adjustRightInd w:val="0"/>
              <w:snapToGrid w:val="0"/>
              <w:spacing w:line="360" w:lineRule="auto"/>
              <w:contextualSpacing/>
              <w:rPr>
                <w:rFonts w:hint="eastAsia" w:ascii="宋体" w:hAnsi="宋体" w:eastAsia="宋体" w:cs="宋体"/>
                <w:sz w:val="24"/>
                <w:szCs w:val="24"/>
                <w:lang w:val="zh-TW" w:eastAsia="zh-TW"/>
              </w:rPr>
            </w:pPr>
            <w:r>
              <w:rPr>
                <w:rFonts w:hint="eastAsia" w:ascii="宋体" w:hAnsi="宋体" w:eastAsia="宋体" w:cs="宋体"/>
                <w:snapToGrid w:val="0"/>
                <w:color w:val="000000"/>
                <w:spacing w:val="8"/>
                <w:kern w:val="0"/>
                <w:sz w:val="24"/>
                <w:szCs w:val="24"/>
                <w:highlight w:val="none"/>
                <w:lang w:val="en-US" w:eastAsia="en-US" w:bidi="ar-SA"/>
              </w:rPr>
              <w:t>1</w:t>
            </w:r>
            <w:r>
              <w:rPr>
                <w:rFonts w:hint="eastAsia" w:ascii="宋体" w:hAnsi="宋体" w:eastAsia="宋体" w:cs="宋体"/>
                <w:sz w:val="24"/>
                <w:szCs w:val="24"/>
                <w:lang w:val="en-US" w:eastAsia="en-US"/>
              </w:rPr>
              <w:t>、</w:t>
            </w:r>
            <w:r>
              <w:rPr>
                <w:rFonts w:hint="eastAsia" w:ascii="宋体" w:hAnsi="宋体" w:eastAsia="宋体" w:cs="宋体"/>
                <w:sz w:val="24"/>
                <w:szCs w:val="24"/>
                <w:lang w:val="en-US" w:eastAsia="zh-CN"/>
              </w:rPr>
              <w:t>所投产品制造商具有与本项目相关的有效发明专利，如互动教学类、智能问答类、智能推荐类、人机交互类、内容搜索类等</w:t>
            </w:r>
            <w:r>
              <w:rPr>
                <w:rFonts w:hint="eastAsia" w:ascii="宋体" w:hAnsi="宋体" w:eastAsia="宋体" w:cs="宋体"/>
                <w:sz w:val="24"/>
                <w:szCs w:val="24"/>
                <w:lang w:val="zh-TW" w:eastAsia="zh-TW"/>
              </w:rPr>
              <w:t>。每</w:t>
            </w:r>
            <w:r>
              <w:rPr>
                <w:rFonts w:hint="eastAsia" w:ascii="宋体" w:hAnsi="宋体" w:eastAsia="宋体" w:cs="宋体"/>
                <w:sz w:val="24"/>
                <w:szCs w:val="24"/>
                <w:lang w:val="en-US" w:eastAsia="zh-CN"/>
              </w:rPr>
              <w:t>提供</w:t>
            </w:r>
            <w:r>
              <w:rPr>
                <w:rFonts w:hint="eastAsia" w:ascii="宋体" w:hAnsi="宋体" w:eastAsia="宋体" w:cs="宋体"/>
                <w:sz w:val="24"/>
                <w:szCs w:val="24"/>
                <w:lang w:val="zh-TW" w:eastAsia="zh-TW"/>
              </w:rPr>
              <w:t>一项得</w:t>
            </w:r>
            <w:r>
              <w:rPr>
                <w:rFonts w:hint="eastAsia" w:ascii="宋体" w:hAnsi="宋体" w:eastAsia="宋体" w:cs="宋体"/>
                <w:sz w:val="24"/>
                <w:szCs w:val="24"/>
                <w:lang w:val="en-US" w:eastAsia="zh-CN"/>
              </w:rPr>
              <w:t>1</w:t>
            </w:r>
            <w:r>
              <w:rPr>
                <w:rFonts w:hint="eastAsia" w:ascii="宋体" w:hAnsi="宋体" w:eastAsia="宋体" w:cs="宋体"/>
                <w:sz w:val="24"/>
                <w:szCs w:val="24"/>
                <w:lang w:val="zh-TW" w:eastAsia="zh-TW"/>
              </w:rPr>
              <w:t>分，最多得</w:t>
            </w:r>
            <w:r>
              <w:rPr>
                <w:rFonts w:hint="eastAsia" w:ascii="宋体" w:hAnsi="宋体" w:eastAsia="宋体" w:cs="宋体"/>
                <w:sz w:val="24"/>
                <w:szCs w:val="24"/>
                <w:lang w:val="en-US" w:eastAsia="zh-CN"/>
              </w:rPr>
              <w:t>5</w:t>
            </w:r>
            <w:r>
              <w:rPr>
                <w:rFonts w:hint="eastAsia" w:ascii="宋体" w:hAnsi="宋体" w:eastAsia="宋体" w:cs="宋体"/>
                <w:sz w:val="24"/>
                <w:szCs w:val="24"/>
                <w:lang w:val="zh-TW" w:eastAsia="zh-TW"/>
              </w:rPr>
              <w:t>分。</w:t>
            </w:r>
          </w:p>
          <w:p w14:paraId="2E8E14AE">
            <w:pPr>
              <w:adjustRightInd w:val="0"/>
              <w:snapToGrid w:val="0"/>
              <w:spacing w:line="360" w:lineRule="auto"/>
              <w:contextualSpacing/>
              <w:rPr>
                <w:rFonts w:hint="eastAsia" w:ascii="宋体" w:hAnsi="宋体" w:eastAsia="宋体" w:cs="宋体"/>
                <w:b/>
                <w:bCs/>
                <w:sz w:val="24"/>
                <w:szCs w:val="24"/>
                <w:lang w:val="zh-TW" w:eastAsia="zh-TW"/>
              </w:rPr>
            </w:pPr>
            <w:r>
              <w:rPr>
                <w:rFonts w:hint="eastAsia" w:ascii="宋体" w:hAnsi="宋体" w:eastAsia="宋体" w:cs="宋体"/>
                <w:b/>
                <w:bCs/>
                <w:sz w:val="24"/>
                <w:szCs w:val="24"/>
                <w:lang w:val="en-US" w:eastAsia="zh-CN"/>
              </w:rPr>
              <w:t>注：</w:t>
            </w:r>
            <w:r>
              <w:rPr>
                <w:rFonts w:hint="eastAsia" w:ascii="宋体" w:hAnsi="宋体" w:eastAsia="宋体" w:cs="宋体"/>
                <w:b/>
                <w:bCs/>
                <w:sz w:val="24"/>
                <w:szCs w:val="24"/>
                <w:lang w:val="zh-TW" w:eastAsia="zh-TW"/>
              </w:rPr>
              <w:t>须提供加盖公章</w:t>
            </w:r>
            <w:r>
              <w:rPr>
                <w:rFonts w:hint="eastAsia" w:ascii="宋体" w:hAnsi="宋体" w:eastAsia="宋体" w:cs="宋体"/>
                <w:b/>
                <w:bCs/>
                <w:sz w:val="24"/>
                <w:szCs w:val="24"/>
                <w:lang w:val="en-US" w:eastAsia="zh-CN"/>
              </w:rPr>
              <w:t>的</w:t>
            </w:r>
            <w:r>
              <w:rPr>
                <w:rFonts w:hint="eastAsia" w:ascii="宋体" w:hAnsi="宋体" w:eastAsia="宋体" w:cs="宋体"/>
                <w:b/>
                <w:bCs/>
                <w:sz w:val="24"/>
                <w:szCs w:val="24"/>
                <w:lang w:val="zh-TW" w:eastAsia="zh-TW"/>
              </w:rPr>
              <w:t>原件扫描件</w:t>
            </w:r>
            <w:r>
              <w:rPr>
                <w:rFonts w:hint="eastAsia" w:ascii="宋体" w:hAnsi="宋体" w:eastAsia="宋体" w:cs="宋体"/>
                <w:b/>
                <w:bCs/>
                <w:sz w:val="24"/>
                <w:szCs w:val="24"/>
                <w:lang w:val="zh-TW" w:eastAsia="zh-CN"/>
              </w:rPr>
              <w:t>，</w:t>
            </w:r>
            <w:r>
              <w:rPr>
                <w:rFonts w:hint="eastAsia" w:ascii="宋体" w:hAnsi="宋体" w:eastAsia="宋体" w:cs="宋体"/>
                <w:b/>
                <w:bCs/>
                <w:sz w:val="24"/>
                <w:szCs w:val="24"/>
                <w:lang w:val="zh-TW" w:eastAsia="zh-TW"/>
              </w:rPr>
              <w:t>未提供者</w:t>
            </w:r>
            <w:r>
              <w:rPr>
                <w:rFonts w:hint="eastAsia" w:ascii="宋体" w:hAnsi="宋体" w:eastAsia="宋体" w:cs="宋体"/>
                <w:b/>
                <w:bCs/>
                <w:sz w:val="24"/>
                <w:szCs w:val="24"/>
                <w:lang w:val="en-US" w:eastAsia="zh-CN"/>
              </w:rPr>
              <w:t>不得分。</w:t>
            </w:r>
          </w:p>
          <w:p w14:paraId="5C08C6CB">
            <w:pPr>
              <w:adjustRightInd w:val="0"/>
              <w:snapToGrid w:val="0"/>
              <w:spacing w:line="36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2、所投产品制造商应提供网络教学系统的三级等保测试报告及三级等保备案证明</w:t>
            </w:r>
            <w:r>
              <w:rPr>
                <w:rFonts w:hint="eastAsia" w:ascii="宋体" w:hAnsi="宋体" w:cs="宋体"/>
                <w:sz w:val="24"/>
                <w:szCs w:val="24"/>
                <w:lang w:val="en-US" w:eastAsia="zh-CN"/>
              </w:rPr>
              <w:t>得</w:t>
            </w:r>
            <w:r>
              <w:rPr>
                <w:rFonts w:hint="eastAsia" w:ascii="宋体" w:hAnsi="宋体" w:eastAsia="宋体" w:cs="宋体"/>
                <w:sz w:val="24"/>
                <w:szCs w:val="24"/>
                <w:lang w:val="en-US" w:eastAsia="zh-CN"/>
              </w:rPr>
              <w:t>3分。</w:t>
            </w:r>
          </w:p>
          <w:p w14:paraId="4A68D410">
            <w:pPr>
              <w:adjustRightInd w:val="0"/>
              <w:snapToGrid w:val="0"/>
              <w:spacing w:line="360" w:lineRule="auto"/>
              <w:contextualSpacing/>
              <w:rPr>
                <w:rFonts w:hint="eastAsia" w:ascii="宋体" w:hAnsi="宋体" w:eastAsia="宋体" w:cs="宋体"/>
                <w:spacing w:val="-1"/>
                <w:sz w:val="24"/>
                <w:szCs w:val="24"/>
              </w:rPr>
            </w:pPr>
            <w:r>
              <w:rPr>
                <w:rFonts w:hint="eastAsia" w:ascii="宋体" w:hAnsi="宋体" w:eastAsia="宋体" w:cs="宋体"/>
                <w:b/>
                <w:bCs/>
                <w:sz w:val="24"/>
                <w:szCs w:val="24"/>
                <w:lang w:val="en-US" w:eastAsia="zh-CN"/>
              </w:rPr>
              <w:t>注：</w:t>
            </w:r>
            <w:r>
              <w:rPr>
                <w:rFonts w:hint="eastAsia" w:ascii="宋体" w:hAnsi="宋体" w:eastAsia="宋体" w:cs="宋体"/>
                <w:b/>
                <w:bCs/>
                <w:sz w:val="24"/>
                <w:szCs w:val="24"/>
                <w:lang w:val="zh-TW" w:eastAsia="zh-TW"/>
              </w:rPr>
              <w:t>须提供加盖公章</w:t>
            </w:r>
            <w:r>
              <w:rPr>
                <w:rFonts w:hint="eastAsia" w:ascii="宋体" w:hAnsi="宋体" w:eastAsia="宋体" w:cs="宋体"/>
                <w:b/>
                <w:bCs/>
                <w:sz w:val="24"/>
                <w:szCs w:val="24"/>
                <w:lang w:val="en-US" w:eastAsia="zh-CN"/>
              </w:rPr>
              <w:t>的</w:t>
            </w:r>
            <w:r>
              <w:rPr>
                <w:rFonts w:hint="eastAsia" w:ascii="宋体" w:hAnsi="宋体" w:eastAsia="宋体" w:cs="宋体"/>
                <w:b/>
                <w:bCs/>
                <w:sz w:val="24"/>
                <w:szCs w:val="24"/>
                <w:lang w:val="zh-TW" w:eastAsia="zh-TW"/>
              </w:rPr>
              <w:t>原件扫描件</w:t>
            </w:r>
            <w:r>
              <w:rPr>
                <w:rFonts w:hint="eastAsia" w:ascii="宋体" w:hAnsi="宋体" w:eastAsia="宋体" w:cs="宋体"/>
                <w:b/>
                <w:bCs/>
                <w:sz w:val="24"/>
                <w:szCs w:val="24"/>
                <w:lang w:val="zh-TW" w:eastAsia="zh-CN"/>
              </w:rPr>
              <w:t>，</w:t>
            </w:r>
            <w:r>
              <w:rPr>
                <w:rFonts w:hint="eastAsia" w:ascii="宋体" w:hAnsi="宋体" w:eastAsia="宋体" w:cs="宋体"/>
                <w:b/>
                <w:bCs/>
                <w:sz w:val="24"/>
                <w:szCs w:val="24"/>
                <w:lang w:val="zh-TW" w:eastAsia="zh-TW"/>
              </w:rPr>
              <w:t>未提供者</w:t>
            </w:r>
            <w:r>
              <w:rPr>
                <w:rFonts w:hint="eastAsia" w:ascii="宋体" w:hAnsi="宋体" w:eastAsia="宋体" w:cs="宋体"/>
                <w:b/>
                <w:bCs/>
                <w:sz w:val="24"/>
                <w:szCs w:val="24"/>
                <w:lang w:val="en-US" w:eastAsia="zh-CN"/>
              </w:rPr>
              <w:t>不得分。</w:t>
            </w:r>
          </w:p>
        </w:tc>
      </w:tr>
      <w:tr w14:paraId="1DB90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14:paraId="6D453E2A">
            <w:pPr>
              <w:adjustRightInd w:val="0"/>
              <w:snapToGrid w:val="0"/>
              <w:spacing w:line="360" w:lineRule="auto"/>
              <w:contextualSpacing/>
              <w:jc w:val="center"/>
              <w:rPr>
                <w:rFonts w:hint="eastAsia" w:ascii="宋体" w:hAnsi="宋体" w:eastAsia="宋体" w:cs="宋体"/>
                <w:b/>
                <w:bCs/>
                <w:spacing w:val="-6"/>
                <w:sz w:val="24"/>
                <w:szCs w:val="24"/>
                <w:lang w:val="en-US" w:eastAsia="zh-CN"/>
              </w:rPr>
            </w:pPr>
            <w:r>
              <w:rPr>
                <w:rFonts w:hint="eastAsia" w:ascii="宋体" w:hAnsi="宋体" w:eastAsia="宋体" w:cs="宋体"/>
                <w:b/>
                <w:bCs/>
                <w:sz w:val="24"/>
                <w:szCs w:val="24"/>
              </w:rPr>
              <w:t>类似业绩</w:t>
            </w:r>
          </w:p>
        </w:tc>
        <w:tc>
          <w:tcPr>
            <w:tcW w:w="972" w:type="dxa"/>
            <w:noWrap w:val="0"/>
            <w:vAlign w:val="center"/>
          </w:tcPr>
          <w:p w14:paraId="2BE61C42">
            <w:pPr>
              <w:adjustRightInd w:val="0"/>
              <w:snapToGrid w:val="0"/>
              <w:spacing w:line="360" w:lineRule="auto"/>
              <w:contextualSpacing/>
              <w:jc w:val="center"/>
              <w:rPr>
                <w:rFonts w:hint="eastAsia" w:ascii="宋体" w:hAnsi="宋体" w:eastAsia="宋体" w:cs="宋体"/>
                <w:b/>
                <w:bCs/>
                <w:spacing w:val="-3"/>
                <w:sz w:val="24"/>
                <w:szCs w:val="24"/>
                <w:lang w:val="en-US" w:eastAsia="zh-CN"/>
              </w:rPr>
            </w:pPr>
            <w:r>
              <w:rPr>
                <w:rFonts w:hint="eastAsia" w:ascii="宋体" w:hAnsi="宋体" w:eastAsia="宋体" w:cs="宋体"/>
                <w:b/>
                <w:bCs/>
                <w:sz w:val="24"/>
                <w:szCs w:val="24"/>
              </w:rPr>
              <w:t>8</w:t>
            </w:r>
            <w:r>
              <w:rPr>
                <w:rFonts w:hint="eastAsia" w:ascii="宋体" w:hAnsi="宋体" w:eastAsia="宋体" w:cs="宋体"/>
                <w:b/>
                <w:bCs/>
                <w:sz w:val="24"/>
                <w:szCs w:val="24"/>
                <w:lang w:val="en-US" w:eastAsia="zh-CN"/>
              </w:rPr>
              <w:t>分</w:t>
            </w:r>
          </w:p>
        </w:tc>
        <w:tc>
          <w:tcPr>
            <w:tcW w:w="960" w:type="dxa"/>
            <w:noWrap w:val="0"/>
            <w:vAlign w:val="center"/>
          </w:tcPr>
          <w:p w14:paraId="4D699B0C">
            <w:pPr>
              <w:keepNext w:val="0"/>
              <w:keepLines w:val="0"/>
              <w:pageBreakBefore w:val="0"/>
              <w:kinsoku/>
              <w:wordWrap/>
              <w:overflowPunct/>
              <w:topLinePunct w:val="0"/>
              <w:autoSpaceDE/>
              <w:autoSpaceDN/>
              <w:bidi w:val="0"/>
              <w:snapToGrid/>
              <w:spacing w:before="69" w:afterAutospacing="0" w:line="240" w:lineRule="auto"/>
              <w:jc w:val="center"/>
              <w:textAlignment w:val="auto"/>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客观</w:t>
            </w:r>
          </w:p>
        </w:tc>
        <w:tc>
          <w:tcPr>
            <w:tcW w:w="5817" w:type="dxa"/>
            <w:noWrap w:val="0"/>
            <w:vAlign w:val="top"/>
          </w:tcPr>
          <w:p w14:paraId="030645CD">
            <w:pPr>
              <w:adjustRightInd w:val="0"/>
              <w:snapToGrid w:val="0"/>
              <w:spacing w:line="360" w:lineRule="auto"/>
              <w:contextualSpacing/>
              <w:rPr>
                <w:rFonts w:hint="eastAsia" w:ascii="宋体" w:hAnsi="宋体" w:eastAsia="宋体" w:cs="宋体"/>
                <w:spacing w:val="-1"/>
                <w:sz w:val="24"/>
                <w:szCs w:val="24"/>
              </w:rPr>
            </w:pPr>
            <w:r>
              <w:rPr>
                <w:rFonts w:hint="eastAsia" w:ascii="宋体" w:hAnsi="宋体" w:eastAsia="宋体" w:cs="宋体"/>
                <w:spacing w:val="-8"/>
                <w:sz w:val="24"/>
                <w:szCs w:val="24"/>
              </w:rPr>
              <w:t>供应商提供2022年1月1日至今承接</w:t>
            </w:r>
            <w:r>
              <w:rPr>
                <w:rFonts w:hint="eastAsia" w:ascii="宋体" w:hAnsi="宋体" w:eastAsia="宋体" w:cs="宋体"/>
                <w:spacing w:val="-8"/>
                <w:sz w:val="24"/>
                <w:szCs w:val="24"/>
                <w:lang w:eastAsia="zh-CN"/>
              </w:rPr>
              <w:t>的</w:t>
            </w:r>
            <w:r>
              <w:rPr>
                <w:rFonts w:hint="eastAsia" w:ascii="宋体" w:hAnsi="宋体" w:eastAsia="宋体" w:cs="宋体"/>
                <w:spacing w:val="-8"/>
                <w:sz w:val="24"/>
                <w:szCs w:val="24"/>
                <w:lang w:val="en-US" w:eastAsia="zh-CN"/>
              </w:rPr>
              <w:t>类似项目业绩的合同。</w:t>
            </w:r>
            <w:r>
              <w:rPr>
                <w:rFonts w:hint="eastAsia" w:ascii="宋体" w:hAnsi="宋体" w:eastAsia="宋体" w:cs="宋体"/>
                <w:spacing w:val="-8"/>
                <w:sz w:val="24"/>
                <w:szCs w:val="24"/>
              </w:rPr>
              <w:t>每提</w:t>
            </w:r>
            <w:r>
              <w:rPr>
                <w:rFonts w:hint="eastAsia" w:ascii="宋体" w:hAnsi="宋体" w:eastAsia="宋体" w:cs="宋体"/>
                <w:spacing w:val="-10"/>
                <w:sz w:val="24"/>
                <w:szCs w:val="24"/>
              </w:rPr>
              <w:t>供一份业绩计</w:t>
            </w:r>
            <w:r>
              <w:rPr>
                <w:rFonts w:hint="eastAsia" w:ascii="宋体" w:hAnsi="宋体" w:eastAsia="宋体" w:cs="宋体"/>
                <w:spacing w:val="-10"/>
                <w:sz w:val="24"/>
                <w:szCs w:val="24"/>
                <w:lang w:val="en-US" w:eastAsia="zh-CN"/>
              </w:rPr>
              <w:t>2</w:t>
            </w:r>
            <w:r>
              <w:rPr>
                <w:rFonts w:hint="eastAsia" w:ascii="宋体" w:hAnsi="宋体" w:eastAsia="宋体" w:cs="宋体"/>
                <w:spacing w:val="-10"/>
                <w:sz w:val="24"/>
                <w:szCs w:val="24"/>
              </w:rPr>
              <w:t>分，满分</w:t>
            </w:r>
            <w:r>
              <w:rPr>
                <w:rFonts w:hint="eastAsia" w:ascii="宋体" w:hAnsi="宋体" w:eastAsia="宋体" w:cs="宋体"/>
                <w:spacing w:val="-10"/>
                <w:sz w:val="24"/>
                <w:szCs w:val="24"/>
                <w:lang w:val="en-US" w:eastAsia="zh-CN"/>
              </w:rPr>
              <w:t>8</w:t>
            </w:r>
            <w:r>
              <w:rPr>
                <w:rFonts w:hint="eastAsia" w:ascii="宋体" w:hAnsi="宋体" w:eastAsia="宋体" w:cs="宋体"/>
                <w:spacing w:val="-10"/>
                <w:sz w:val="24"/>
                <w:szCs w:val="24"/>
              </w:rPr>
              <w:t>分。未提供不计分。（以合同签订</w:t>
            </w:r>
            <w:r>
              <w:rPr>
                <w:rFonts w:hint="eastAsia" w:ascii="宋体" w:hAnsi="宋体" w:eastAsia="宋体" w:cs="宋体"/>
                <w:spacing w:val="-8"/>
                <w:sz w:val="24"/>
                <w:szCs w:val="24"/>
              </w:rPr>
              <w:t>时间为准，</w:t>
            </w:r>
            <w:r>
              <w:rPr>
                <w:rFonts w:hint="eastAsia" w:ascii="宋体" w:hAnsi="宋体" w:eastAsia="宋体" w:cs="宋体"/>
                <w:spacing w:val="-8"/>
                <w:sz w:val="24"/>
                <w:szCs w:val="24"/>
                <w:lang w:eastAsia="zh-CN"/>
              </w:rPr>
              <w:t>复印件并加盖</w:t>
            </w:r>
            <w:r>
              <w:rPr>
                <w:rFonts w:hint="eastAsia" w:ascii="宋体" w:hAnsi="宋体" w:eastAsia="宋体" w:cs="宋体"/>
                <w:spacing w:val="-8"/>
                <w:sz w:val="24"/>
                <w:szCs w:val="24"/>
              </w:rPr>
              <w:t>公章）。</w:t>
            </w:r>
          </w:p>
        </w:tc>
      </w:tr>
      <w:tr w14:paraId="41CF6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14:paraId="6AA16D39">
            <w:pPr>
              <w:adjustRightInd w:val="0"/>
              <w:snapToGrid w:val="0"/>
              <w:spacing w:line="360" w:lineRule="auto"/>
              <w:contextualSpacing/>
              <w:jc w:val="center"/>
              <w:rPr>
                <w:rFonts w:hint="eastAsia" w:ascii="宋体" w:hAnsi="宋体" w:eastAsia="宋体" w:cs="宋体"/>
                <w:b/>
                <w:bCs/>
                <w:sz w:val="24"/>
                <w:szCs w:val="24"/>
              </w:rPr>
            </w:pPr>
            <w:r>
              <w:rPr>
                <w:rFonts w:hint="eastAsia" w:ascii="宋体" w:hAnsi="宋体" w:eastAsia="宋体" w:cs="宋体"/>
                <w:b/>
                <w:bCs/>
                <w:sz w:val="24"/>
                <w:szCs w:val="24"/>
              </w:rPr>
              <w:t>技术参数</w:t>
            </w:r>
          </w:p>
        </w:tc>
        <w:tc>
          <w:tcPr>
            <w:tcW w:w="972" w:type="dxa"/>
            <w:noWrap w:val="0"/>
            <w:vAlign w:val="center"/>
          </w:tcPr>
          <w:p w14:paraId="2B7D1FAA">
            <w:pPr>
              <w:adjustRightInd w:val="0"/>
              <w:snapToGrid w:val="0"/>
              <w:spacing w:line="360" w:lineRule="auto"/>
              <w:contextualSpacing/>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20分</w:t>
            </w:r>
          </w:p>
        </w:tc>
        <w:tc>
          <w:tcPr>
            <w:tcW w:w="960" w:type="dxa"/>
            <w:noWrap w:val="0"/>
            <w:vAlign w:val="center"/>
          </w:tcPr>
          <w:p w14:paraId="1B771899">
            <w:pPr>
              <w:keepNext w:val="0"/>
              <w:keepLines w:val="0"/>
              <w:pageBreakBefore w:val="0"/>
              <w:kinsoku/>
              <w:wordWrap/>
              <w:overflowPunct/>
              <w:topLinePunct w:val="0"/>
              <w:autoSpaceDE/>
              <w:autoSpaceDN/>
              <w:bidi w:val="0"/>
              <w:snapToGrid/>
              <w:spacing w:before="69" w:afterAutospacing="0" w:line="240" w:lineRule="auto"/>
              <w:jc w:val="center"/>
              <w:textAlignment w:val="auto"/>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客观</w:t>
            </w:r>
          </w:p>
        </w:tc>
        <w:tc>
          <w:tcPr>
            <w:tcW w:w="5817" w:type="dxa"/>
            <w:noWrap w:val="0"/>
            <w:vAlign w:val="top"/>
          </w:tcPr>
          <w:p w14:paraId="4E37D885">
            <w:pPr>
              <w:adjustRightInd w:val="0"/>
              <w:snapToGrid w:val="0"/>
              <w:spacing w:line="360" w:lineRule="auto"/>
              <w:contextualSpacing/>
              <w:rPr>
                <w:rFonts w:hint="eastAsia" w:ascii="宋体" w:hAnsi="宋体" w:eastAsia="宋体" w:cs="宋体"/>
                <w:spacing w:val="-8"/>
                <w:sz w:val="24"/>
                <w:szCs w:val="24"/>
              </w:rPr>
            </w:pPr>
            <w:r>
              <w:rPr>
                <w:rFonts w:hint="eastAsia" w:ascii="宋体" w:hAnsi="宋体" w:eastAsia="宋体" w:cs="宋体"/>
                <w:spacing w:val="-8"/>
                <w:sz w:val="24"/>
                <w:szCs w:val="24"/>
                <w:lang w:val="en-US" w:eastAsia="zh-CN"/>
              </w:rPr>
              <w:t>需要</w:t>
            </w:r>
            <w:r>
              <w:rPr>
                <w:rFonts w:hint="eastAsia" w:ascii="宋体" w:hAnsi="宋体" w:eastAsia="宋体" w:cs="宋体"/>
                <w:spacing w:val="-8"/>
                <w:sz w:val="24"/>
                <w:szCs w:val="24"/>
              </w:rPr>
              <w:t>对本项目</w:t>
            </w:r>
            <w:r>
              <w:rPr>
                <w:rFonts w:hint="eastAsia" w:ascii="宋体" w:hAnsi="宋体" w:eastAsia="宋体" w:cs="宋体"/>
                <w:spacing w:val="-8"/>
                <w:sz w:val="24"/>
                <w:szCs w:val="24"/>
                <w:lang w:val="en-US" w:eastAsia="zh-CN"/>
              </w:rPr>
              <w:t>的</w:t>
            </w:r>
            <w:r>
              <w:rPr>
                <w:rFonts w:hint="eastAsia" w:ascii="宋体" w:hAnsi="宋体" w:eastAsia="宋体" w:cs="宋体"/>
                <w:spacing w:val="-8"/>
                <w:sz w:val="24"/>
                <w:szCs w:val="24"/>
              </w:rPr>
              <w:t>技术参数要求逐条做出偏离应答，完全满足招标文件要求得</w:t>
            </w:r>
            <w:r>
              <w:rPr>
                <w:rFonts w:hint="eastAsia" w:ascii="宋体" w:hAnsi="宋体" w:eastAsia="宋体" w:cs="宋体"/>
                <w:spacing w:val="-8"/>
                <w:sz w:val="24"/>
                <w:szCs w:val="24"/>
                <w:lang w:val="en-US" w:eastAsia="zh-CN"/>
              </w:rPr>
              <w:t>20</w:t>
            </w:r>
            <w:r>
              <w:rPr>
                <w:rFonts w:hint="eastAsia" w:ascii="宋体" w:hAnsi="宋体" w:eastAsia="宋体" w:cs="宋体"/>
                <w:spacing w:val="-8"/>
                <w:sz w:val="24"/>
                <w:szCs w:val="24"/>
              </w:rPr>
              <w:t>分。</w:t>
            </w:r>
          </w:p>
          <w:p w14:paraId="2C0A644B">
            <w:pPr>
              <w:adjustRightInd w:val="0"/>
              <w:snapToGrid w:val="0"/>
              <w:spacing w:line="360" w:lineRule="auto"/>
              <w:contextualSpacing/>
              <w:rPr>
                <w:rFonts w:hint="eastAsia" w:ascii="宋体" w:hAnsi="宋体" w:eastAsia="宋体" w:cs="宋体"/>
                <w:spacing w:val="-8"/>
                <w:sz w:val="24"/>
                <w:szCs w:val="24"/>
              </w:rPr>
            </w:pPr>
            <w:r>
              <w:rPr>
                <w:rFonts w:hint="eastAsia" w:ascii="宋体" w:hAnsi="宋体" w:eastAsia="宋体" w:cs="宋体"/>
                <w:spacing w:val="-8"/>
                <w:sz w:val="24"/>
                <w:szCs w:val="24"/>
              </w:rPr>
              <w:t>“▲”技术参数有一项不满足扣</w:t>
            </w:r>
            <w:r>
              <w:rPr>
                <w:rFonts w:hint="eastAsia" w:ascii="宋体" w:hAnsi="宋体" w:eastAsia="宋体" w:cs="宋体"/>
                <w:spacing w:val="-8"/>
                <w:sz w:val="24"/>
                <w:szCs w:val="24"/>
                <w:lang w:val="en-US" w:eastAsia="zh-CN"/>
              </w:rPr>
              <w:t>1</w:t>
            </w:r>
            <w:r>
              <w:rPr>
                <w:rFonts w:hint="eastAsia" w:ascii="宋体" w:hAnsi="宋体" w:eastAsia="宋体" w:cs="宋体"/>
                <w:spacing w:val="-8"/>
                <w:sz w:val="24"/>
                <w:szCs w:val="24"/>
              </w:rPr>
              <w:t>分，非“</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rPr>
              <w:t>”</w:t>
            </w:r>
            <w:r>
              <w:rPr>
                <w:rFonts w:hint="eastAsia" w:ascii="宋体" w:hAnsi="宋体" w:eastAsia="宋体" w:cs="宋体"/>
                <w:spacing w:val="-8"/>
                <w:sz w:val="24"/>
                <w:szCs w:val="24"/>
                <w:lang w:val="en-US" w:eastAsia="zh-CN"/>
              </w:rPr>
              <w:t>技术参数</w:t>
            </w:r>
            <w:r>
              <w:rPr>
                <w:rFonts w:hint="eastAsia" w:ascii="宋体" w:hAnsi="宋体" w:eastAsia="宋体" w:cs="宋体"/>
                <w:spacing w:val="-8"/>
                <w:sz w:val="24"/>
                <w:szCs w:val="24"/>
              </w:rPr>
              <w:t>有一项不满足扣减0.5分，扣完为止。</w:t>
            </w:r>
          </w:p>
          <w:p w14:paraId="6FC57B83">
            <w:pPr>
              <w:adjustRightInd w:val="0"/>
              <w:snapToGrid w:val="0"/>
              <w:spacing w:line="360" w:lineRule="auto"/>
              <w:contextualSpacing/>
              <w:rPr>
                <w:rFonts w:hint="eastAsia" w:ascii="宋体" w:hAnsi="宋体" w:eastAsia="宋体" w:cs="宋体"/>
                <w:spacing w:val="-8"/>
                <w:sz w:val="24"/>
                <w:szCs w:val="24"/>
              </w:rPr>
            </w:pPr>
            <w:r>
              <w:rPr>
                <w:rFonts w:hint="eastAsia" w:ascii="宋体" w:hAnsi="宋体" w:eastAsia="宋体" w:cs="宋体"/>
                <w:spacing w:val="-8"/>
                <w:sz w:val="24"/>
                <w:szCs w:val="24"/>
              </w:rPr>
              <w:t>（</w:t>
            </w:r>
            <w:r>
              <w:rPr>
                <w:rFonts w:hint="eastAsia" w:ascii="宋体" w:hAnsi="宋体" w:eastAsia="宋体" w:cs="宋体"/>
                <w:spacing w:val="-8"/>
                <w:sz w:val="24"/>
                <w:szCs w:val="24"/>
                <w:lang w:val="en-US" w:eastAsia="zh-CN"/>
              </w:rPr>
              <w:t>磋商</w:t>
            </w:r>
            <w:r>
              <w:rPr>
                <w:rFonts w:hint="eastAsia" w:ascii="宋体" w:hAnsi="宋体" w:eastAsia="宋体" w:cs="宋体"/>
                <w:spacing w:val="-8"/>
                <w:sz w:val="24"/>
                <w:szCs w:val="24"/>
              </w:rPr>
              <w:t>文件“▲”技术参数功能描述要求提供平台功能截图，截图要求界面清晰、真实。提供虚假资料者，取消投标或中标资格。）</w:t>
            </w:r>
          </w:p>
        </w:tc>
      </w:tr>
      <w:tr w14:paraId="7E0CD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14:paraId="67352D63">
            <w:pPr>
              <w:adjustRightInd w:val="0"/>
              <w:snapToGrid w:val="0"/>
              <w:spacing w:line="360" w:lineRule="auto"/>
              <w:contextualSpacing/>
              <w:jc w:val="center"/>
              <w:rPr>
                <w:rFonts w:hint="eastAsia" w:ascii="宋体" w:hAnsi="宋体" w:eastAsia="宋体" w:cs="宋体"/>
                <w:b/>
                <w:bCs/>
                <w:sz w:val="24"/>
                <w:szCs w:val="24"/>
              </w:rPr>
            </w:pPr>
            <w:r>
              <w:rPr>
                <w:rFonts w:hint="eastAsia" w:ascii="宋体" w:hAnsi="宋体" w:eastAsia="宋体" w:cs="宋体"/>
                <w:b/>
                <w:bCs/>
                <w:sz w:val="24"/>
                <w:szCs w:val="24"/>
              </w:rPr>
              <w:t>整体</w:t>
            </w:r>
            <w:r>
              <w:rPr>
                <w:rFonts w:hint="eastAsia" w:ascii="宋体" w:hAnsi="宋体" w:eastAsia="宋体" w:cs="宋体"/>
                <w:b/>
                <w:bCs/>
                <w:sz w:val="24"/>
                <w:szCs w:val="24"/>
                <w:lang w:val="en-US" w:eastAsia="zh-CN"/>
              </w:rPr>
              <w:t>方案设计</w:t>
            </w:r>
          </w:p>
        </w:tc>
        <w:tc>
          <w:tcPr>
            <w:tcW w:w="972" w:type="dxa"/>
            <w:noWrap w:val="0"/>
            <w:vAlign w:val="center"/>
          </w:tcPr>
          <w:p w14:paraId="5BD778E5">
            <w:pPr>
              <w:adjustRightInd w:val="0"/>
              <w:snapToGrid w:val="0"/>
              <w:spacing w:line="360" w:lineRule="auto"/>
              <w:contextualSpacing/>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12分</w:t>
            </w:r>
          </w:p>
        </w:tc>
        <w:tc>
          <w:tcPr>
            <w:tcW w:w="960" w:type="dxa"/>
            <w:noWrap w:val="0"/>
            <w:vAlign w:val="center"/>
          </w:tcPr>
          <w:p w14:paraId="2D1D6D5F">
            <w:pPr>
              <w:adjustRightInd w:val="0"/>
              <w:snapToGrid w:val="0"/>
              <w:spacing w:line="360" w:lineRule="auto"/>
              <w:contextualSpacing/>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主观</w:t>
            </w:r>
          </w:p>
        </w:tc>
        <w:tc>
          <w:tcPr>
            <w:tcW w:w="5817" w:type="dxa"/>
            <w:noWrap w:val="0"/>
            <w:vAlign w:val="top"/>
          </w:tcPr>
          <w:p w14:paraId="481AA0C1">
            <w:pPr>
              <w:pStyle w:val="48"/>
              <w:keepNext w:val="0"/>
              <w:keepLines w:val="0"/>
              <w:pageBreakBefore w:val="0"/>
              <w:kinsoku/>
              <w:wordWrap/>
              <w:overflowPunct/>
              <w:topLinePunct w:val="0"/>
              <w:autoSpaceDE/>
              <w:autoSpaceDN/>
              <w:bidi w:val="0"/>
              <w:snapToGrid/>
              <w:spacing w:before="36" w:afterAutospacing="0" w:line="240" w:lineRule="auto"/>
              <w:ind w:left="117"/>
              <w:jc w:val="both"/>
              <w:textAlignment w:val="auto"/>
              <w:rPr>
                <w:rFonts w:hint="eastAsia" w:ascii="宋体" w:hAnsi="宋体" w:eastAsia="宋体" w:cs="宋体"/>
                <w:sz w:val="24"/>
                <w:szCs w:val="24"/>
              </w:rPr>
            </w:pPr>
            <w:r>
              <w:rPr>
                <w:rFonts w:hint="eastAsia" w:ascii="宋体" w:hAnsi="宋体" w:eastAsia="宋体" w:cs="宋体"/>
                <w:b/>
                <w:bCs/>
                <w:spacing w:val="-4"/>
                <w:sz w:val="24"/>
                <w:szCs w:val="24"/>
              </w:rPr>
              <w:t>一、评审内容</w:t>
            </w:r>
          </w:p>
          <w:p w14:paraId="71372CBF">
            <w:pPr>
              <w:keepNext w:val="0"/>
              <w:keepLines w:val="0"/>
              <w:pageBreakBefore w:val="0"/>
              <w:kinsoku/>
              <w:wordWrap/>
              <w:overflowPunct/>
              <w:topLinePunct w:val="0"/>
              <w:autoSpaceDE/>
              <w:autoSpaceDN/>
              <w:bidi w:val="0"/>
              <w:snapToGrid/>
              <w:spacing w:before="24" w:afterAutospacing="0" w:line="240" w:lineRule="auto"/>
              <w:jc w:val="both"/>
              <w:textAlignment w:val="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供应商</w:t>
            </w:r>
            <w:r>
              <w:rPr>
                <w:rFonts w:hint="eastAsia" w:ascii="宋体" w:hAnsi="宋体" w:eastAsia="宋体" w:cs="宋体"/>
                <w:spacing w:val="-1"/>
                <w:sz w:val="24"/>
                <w:szCs w:val="24"/>
              </w:rPr>
              <w:t>须结合本项目实际需求，提供完整</w:t>
            </w:r>
            <w:r>
              <w:rPr>
                <w:rFonts w:hint="eastAsia" w:ascii="宋体" w:hAnsi="宋体" w:eastAsia="宋体" w:cs="宋体"/>
                <w:spacing w:val="-1"/>
                <w:sz w:val="24"/>
                <w:szCs w:val="24"/>
                <w:lang w:val="en-US" w:eastAsia="zh-CN"/>
              </w:rPr>
              <w:t>的售后服务方案</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包括但不限于：①</w:t>
            </w:r>
            <w:r>
              <w:rPr>
                <w:rFonts w:hint="eastAsia" w:ascii="宋体" w:hAnsi="宋体" w:eastAsia="宋体" w:cs="宋体"/>
                <w:kern w:val="2"/>
                <w:sz w:val="24"/>
                <w:szCs w:val="24"/>
                <w:lang w:val="en-US" w:eastAsia="zh-CN" w:bidi="ar-SA"/>
              </w:rPr>
              <w:t>总体设计</w:t>
            </w:r>
            <w:r>
              <w:rPr>
                <w:rFonts w:hint="eastAsia" w:ascii="宋体" w:hAnsi="宋体" w:eastAsia="宋体" w:cs="宋体"/>
                <w:spacing w:val="-1"/>
                <w:sz w:val="24"/>
                <w:szCs w:val="24"/>
                <w:lang w:val="en-US" w:eastAsia="zh-CN"/>
              </w:rPr>
              <w:t>；</w:t>
            </w:r>
            <w:r>
              <w:rPr>
                <w:rFonts w:hint="eastAsia" w:ascii="宋体" w:hAnsi="宋体" w:eastAsia="宋体" w:cs="宋体"/>
                <w:color w:val="auto"/>
                <w:sz w:val="24"/>
                <w:szCs w:val="24"/>
                <w:highlight w:val="none"/>
                <w:lang w:val="en-US" w:eastAsia="zh-CN"/>
              </w:rPr>
              <w:t>②</w:t>
            </w:r>
            <w:r>
              <w:rPr>
                <w:rFonts w:hint="eastAsia" w:ascii="宋体" w:hAnsi="宋体" w:eastAsia="宋体" w:cs="宋体"/>
                <w:kern w:val="2"/>
                <w:sz w:val="24"/>
                <w:szCs w:val="24"/>
                <w:lang w:val="en-US" w:eastAsia="zh-CN" w:bidi="ar-SA"/>
              </w:rPr>
              <w:t>系统架构</w:t>
            </w:r>
            <w:r>
              <w:rPr>
                <w:rFonts w:hint="eastAsia" w:ascii="宋体" w:hAnsi="宋体" w:eastAsia="宋体" w:cs="宋体"/>
                <w:spacing w:val="-1"/>
                <w:sz w:val="24"/>
                <w:szCs w:val="24"/>
                <w:lang w:val="en-US" w:eastAsia="zh-CN"/>
              </w:rPr>
              <w:t>；</w:t>
            </w:r>
            <w:r>
              <w:rPr>
                <w:rFonts w:hint="eastAsia" w:ascii="宋体" w:hAnsi="宋体" w:eastAsia="宋体" w:cs="宋体"/>
                <w:color w:val="auto"/>
                <w:sz w:val="24"/>
                <w:szCs w:val="24"/>
                <w:highlight w:val="none"/>
                <w:lang w:val="en-US" w:eastAsia="zh-CN"/>
              </w:rPr>
              <w:t>③</w:t>
            </w:r>
            <w:r>
              <w:rPr>
                <w:rFonts w:hint="eastAsia" w:ascii="宋体" w:hAnsi="宋体" w:eastAsia="宋体" w:cs="宋体"/>
                <w:kern w:val="2"/>
                <w:sz w:val="24"/>
                <w:szCs w:val="24"/>
                <w:lang w:val="en-US" w:eastAsia="zh-CN" w:bidi="ar-SA"/>
              </w:rPr>
              <w:t>系统安全设计</w:t>
            </w:r>
            <w:r>
              <w:rPr>
                <w:rFonts w:hint="eastAsia" w:ascii="宋体" w:hAnsi="宋体" w:eastAsia="宋体" w:cs="宋体"/>
                <w:spacing w:val="-1"/>
                <w:sz w:val="24"/>
                <w:szCs w:val="24"/>
                <w:lang w:val="en-US" w:eastAsia="zh-CN"/>
              </w:rPr>
              <w:t>；</w:t>
            </w:r>
            <w:r>
              <w:rPr>
                <w:rFonts w:hint="eastAsia" w:ascii="宋体" w:hAnsi="宋体" w:eastAsia="宋体" w:cs="宋体"/>
                <w:color w:val="auto"/>
                <w:sz w:val="24"/>
                <w:szCs w:val="24"/>
                <w:highlight w:val="none"/>
                <w:lang w:val="en-US" w:eastAsia="zh-CN"/>
              </w:rPr>
              <w:t>④</w:t>
            </w:r>
            <w:r>
              <w:rPr>
                <w:rFonts w:hint="eastAsia" w:ascii="宋体" w:hAnsi="宋体" w:eastAsia="宋体" w:cs="宋体"/>
                <w:kern w:val="2"/>
                <w:sz w:val="24"/>
                <w:szCs w:val="24"/>
                <w:lang w:val="en-US" w:eastAsia="zh-CN" w:bidi="ar-SA"/>
              </w:rPr>
              <w:t>系统部署</w:t>
            </w:r>
            <w:r>
              <w:rPr>
                <w:rFonts w:hint="eastAsia" w:ascii="宋体" w:hAnsi="宋体" w:eastAsia="宋体" w:cs="宋体"/>
                <w:spacing w:val="-1"/>
                <w:sz w:val="24"/>
                <w:szCs w:val="24"/>
                <w:lang w:val="en-US" w:eastAsia="zh-CN"/>
              </w:rPr>
              <w:t>。</w:t>
            </w:r>
          </w:p>
          <w:p w14:paraId="554E4B3C">
            <w:pPr>
              <w:pStyle w:val="48"/>
              <w:keepNext w:val="0"/>
              <w:keepLines w:val="0"/>
              <w:pageBreakBefore w:val="0"/>
              <w:kinsoku/>
              <w:wordWrap/>
              <w:overflowPunct/>
              <w:topLinePunct w:val="0"/>
              <w:autoSpaceDE/>
              <w:autoSpaceDN/>
              <w:bidi w:val="0"/>
              <w:snapToGrid/>
              <w:spacing w:afterAutospacing="0" w:line="240" w:lineRule="auto"/>
              <w:ind w:left="117"/>
              <w:jc w:val="both"/>
              <w:textAlignment w:val="auto"/>
              <w:rPr>
                <w:rFonts w:hint="eastAsia" w:ascii="宋体" w:hAnsi="宋体" w:eastAsia="宋体" w:cs="宋体"/>
                <w:sz w:val="24"/>
                <w:szCs w:val="24"/>
              </w:rPr>
            </w:pPr>
            <w:r>
              <w:rPr>
                <w:rFonts w:hint="eastAsia" w:ascii="宋体" w:hAnsi="宋体" w:eastAsia="宋体" w:cs="宋体"/>
                <w:b/>
                <w:bCs/>
                <w:spacing w:val="-4"/>
                <w:sz w:val="24"/>
                <w:szCs w:val="24"/>
              </w:rPr>
              <w:t>二、评审标准</w:t>
            </w:r>
          </w:p>
          <w:p w14:paraId="6FC55252">
            <w:pPr>
              <w:keepNext w:val="0"/>
              <w:keepLines w:val="0"/>
              <w:pageBreakBefore w:val="0"/>
              <w:kinsoku/>
              <w:wordWrap/>
              <w:overflowPunct/>
              <w:topLinePunct w:val="0"/>
              <w:autoSpaceDE/>
              <w:autoSpaceDN/>
              <w:bidi w:val="0"/>
              <w:snapToGrid/>
              <w:spacing w:before="26" w:afterAutospacing="0" w:line="240" w:lineRule="auto"/>
              <w:ind w:left="132"/>
              <w:jc w:val="both"/>
              <w:textAlignment w:val="auto"/>
              <w:rPr>
                <w:rFonts w:hint="eastAsia" w:ascii="宋体" w:hAnsi="宋体" w:eastAsia="宋体" w:cs="宋体"/>
                <w:sz w:val="24"/>
                <w:szCs w:val="24"/>
                <w:lang w:eastAsia="zh-CN"/>
              </w:rPr>
            </w:pPr>
            <w:r>
              <w:rPr>
                <w:rFonts w:hint="eastAsia" w:ascii="宋体" w:hAnsi="宋体" w:eastAsia="宋体" w:cs="宋体"/>
                <w:spacing w:val="-5"/>
                <w:sz w:val="24"/>
                <w:szCs w:val="24"/>
              </w:rPr>
              <w:t>1.完整性：</w:t>
            </w:r>
            <w:r>
              <w:rPr>
                <w:rFonts w:hint="eastAsia" w:ascii="宋体" w:hAnsi="宋体" w:eastAsia="宋体" w:cs="宋体"/>
                <w:spacing w:val="-5"/>
                <w:sz w:val="24"/>
                <w:szCs w:val="24"/>
                <w:lang w:val="en-US" w:eastAsia="zh-CN"/>
              </w:rPr>
              <w:t>方案必须全面，对评审内容中的各项要求详细描述</w:t>
            </w:r>
            <w:r>
              <w:rPr>
                <w:rFonts w:hint="eastAsia" w:ascii="宋体" w:hAnsi="宋体" w:eastAsia="宋体" w:cs="宋体"/>
                <w:spacing w:val="-5"/>
                <w:sz w:val="24"/>
                <w:szCs w:val="24"/>
                <w:lang w:eastAsia="zh-CN"/>
              </w:rPr>
              <w:t>。</w:t>
            </w:r>
          </w:p>
          <w:p w14:paraId="53FC45B2">
            <w:pPr>
              <w:keepNext w:val="0"/>
              <w:keepLines w:val="0"/>
              <w:pageBreakBefore w:val="0"/>
              <w:kinsoku/>
              <w:wordWrap/>
              <w:overflowPunct/>
              <w:topLinePunct w:val="0"/>
              <w:autoSpaceDE/>
              <w:autoSpaceDN/>
              <w:bidi w:val="0"/>
              <w:snapToGrid/>
              <w:spacing w:before="26" w:afterAutospacing="0" w:line="240" w:lineRule="auto"/>
              <w:ind w:left="109"/>
              <w:jc w:val="both"/>
              <w:textAlignment w:val="auto"/>
              <w:rPr>
                <w:rFonts w:hint="eastAsia" w:ascii="宋体" w:hAnsi="宋体" w:eastAsia="宋体" w:cs="宋体"/>
                <w:spacing w:val="-1"/>
                <w:sz w:val="24"/>
                <w:szCs w:val="24"/>
              </w:rPr>
            </w:pPr>
            <w:r>
              <w:rPr>
                <w:rFonts w:hint="eastAsia" w:ascii="宋体" w:hAnsi="宋体" w:eastAsia="宋体" w:cs="宋体"/>
                <w:sz w:val="24"/>
                <w:szCs w:val="24"/>
              </w:rPr>
              <w:t>2.针对性：方案能够紧扣项目实际情况，</w:t>
            </w:r>
            <w:r>
              <w:rPr>
                <w:rFonts w:hint="eastAsia" w:ascii="宋体" w:hAnsi="宋体" w:eastAsia="宋体" w:cs="宋体"/>
                <w:spacing w:val="-1"/>
                <w:sz w:val="24"/>
                <w:szCs w:val="24"/>
              </w:rPr>
              <w:t>内容科学合理。</w:t>
            </w:r>
          </w:p>
          <w:p w14:paraId="7ECDBE40">
            <w:pPr>
              <w:pStyle w:val="48"/>
              <w:keepNext w:val="0"/>
              <w:keepLines w:val="0"/>
              <w:pageBreakBefore w:val="0"/>
              <w:kinsoku/>
              <w:wordWrap/>
              <w:overflowPunct/>
              <w:topLinePunct w:val="0"/>
              <w:autoSpaceDE/>
              <w:autoSpaceDN/>
              <w:bidi w:val="0"/>
              <w:snapToGrid/>
              <w:spacing w:before="23" w:afterAutospacing="0" w:line="240" w:lineRule="auto"/>
              <w:ind w:left="113"/>
              <w:jc w:val="both"/>
              <w:textAlignment w:val="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3.可实施性：切合本项目实际情况，提出步骤清晰、合理的方案；</w:t>
            </w:r>
          </w:p>
          <w:p w14:paraId="12ED307B">
            <w:pPr>
              <w:pStyle w:val="48"/>
              <w:keepNext w:val="0"/>
              <w:keepLines w:val="0"/>
              <w:pageBreakBefore w:val="0"/>
              <w:kinsoku/>
              <w:wordWrap/>
              <w:overflowPunct/>
              <w:topLinePunct w:val="0"/>
              <w:autoSpaceDE/>
              <w:autoSpaceDN/>
              <w:bidi w:val="0"/>
              <w:snapToGrid/>
              <w:spacing w:before="23" w:afterAutospacing="0" w:line="240" w:lineRule="auto"/>
              <w:ind w:left="113"/>
              <w:jc w:val="both"/>
              <w:textAlignment w:val="auto"/>
              <w:rPr>
                <w:rFonts w:hint="eastAsia" w:ascii="宋体" w:hAnsi="宋体" w:eastAsia="宋体" w:cs="宋体"/>
                <w:sz w:val="24"/>
                <w:szCs w:val="24"/>
              </w:rPr>
            </w:pPr>
            <w:r>
              <w:rPr>
                <w:rFonts w:hint="eastAsia" w:ascii="宋体" w:hAnsi="宋体" w:eastAsia="宋体" w:cs="宋体"/>
                <w:b/>
                <w:bCs/>
                <w:spacing w:val="-4"/>
                <w:sz w:val="24"/>
                <w:szCs w:val="24"/>
              </w:rPr>
              <w:t>三、赋分标准（满分</w:t>
            </w:r>
            <w:r>
              <w:rPr>
                <w:rFonts w:hint="eastAsia" w:ascii="宋体" w:hAnsi="宋体" w:eastAsia="宋体" w:cs="宋体"/>
                <w:b/>
                <w:bCs/>
                <w:spacing w:val="-4"/>
                <w:sz w:val="24"/>
                <w:szCs w:val="24"/>
                <w:lang w:val="en-US" w:eastAsia="zh-CN"/>
              </w:rPr>
              <w:t>12</w:t>
            </w:r>
            <w:r>
              <w:rPr>
                <w:rFonts w:hint="eastAsia" w:ascii="宋体" w:hAnsi="宋体" w:eastAsia="宋体" w:cs="宋体"/>
                <w:b/>
                <w:bCs/>
                <w:spacing w:val="-4"/>
                <w:sz w:val="24"/>
                <w:szCs w:val="24"/>
              </w:rPr>
              <w:t>分）</w:t>
            </w:r>
          </w:p>
          <w:p w14:paraId="233C97D2">
            <w:pPr>
              <w:pStyle w:val="48"/>
              <w:keepNext w:val="0"/>
              <w:keepLines w:val="0"/>
              <w:pageBreakBefore w:val="0"/>
              <w:kinsoku/>
              <w:wordWrap/>
              <w:overflowPunct/>
              <w:topLinePunct w:val="0"/>
              <w:autoSpaceDE/>
              <w:autoSpaceDN/>
              <w:bidi w:val="0"/>
              <w:snapToGrid/>
              <w:spacing w:before="21" w:afterAutospacing="0" w:line="240" w:lineRule="auto"/>
              <w:jc w:val="both"/>
              <w:textAlignment w:val="auto"/>
              <w:rPr>
                <w:rFonts w:hint="eastAsia" w:ascii="宋体" w:hAnsi="宋体" w:eastAsia="宋体" w:cs="宋体"/>
                <w:spacing w:val="-1"/>
                <w:sz w:val="24"/>
                <w:szCs w:val="24"/>
                <w:lang w:val="en-US" w:eastAsia="en-US"/>
              </w:rPr>
            </w:pPr>
            <w:r>
              <w:rPr>
                <w:rFonts w:hint="eastAsia" w:ascii="宋体" w:hAnsi="宋体" w:eastAsia="宋体" w:cs="宋体"/>
                <w:spacing w:val="-1"/>
                <w:sz w:val="24"/>
                <w:szCs w:val="24"/>
                <w:lang w:val="en-US" w:eastAsia="zh-CN"/>
              </w:rPr>
              <w:t>①</w:t>
            </w:r>
            <w:r>
              <w:rPr>
                <w:rFonts w:hint="eastAsia" w:ascii="宋体" w:hAnsi="宋体" w:eastAsia="宋体" w:cs="宋体"/>
                <w:kern w:val="2"/>
                <w:sz w:val="24"/>
                <w:szCs w:val="24"/>
                <w:lang w:val="en-US" w:eastAsia="zh-CN" w:bidi="ar-SA"/>
              </w:rPr>
              <w:t>总体设计</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lang w:val="en-US" w:eastAsia="en-US"/>
              </w:rPr>
              <w:t>分；</w:t>
            </w:r>
          </w:p>
          <w:p w14:paraId="0D1DED90">
            <w:pPr>
              <w:pStyle w:val="48"/>
              <w:keepNext w:val="0"/>
              <w:keepLines w:val="0"/>
              <w:pageBreakBefore w:val="0"/>
              <w:kinsoku/>
              <w:wordWrap/>
              <w:overflowPunct/>
              <w:topLinePunct w:val="0"/>
              <w:autoSpaceDE/>
              <w:autoSpaceDN/>
              <w:bidi w:val="0"/>
              <w:snapToGrid/>
              <w:spacing w:before="21" w:afterAutospacing="0" w:line="240" w:lineRule="auto"/>
              <w:jc w:val="both"/>
              <w:textAlignment w:val="auto"/>
              <w:rPr>
                <w:rFonts w:hint="eastAsia" w:ascii="宋体" w:hAnsi="宋体" w:eastAsia="宋体" w:cs="宋体"/>
                <w:kern w:val="2"/>
                <w:sz w:val="24"/>
                <w:szCs w:val="24"/>
                <w:lang w:val="en-US" w:eastAsia="en-US" w:bidi="ar-SA"/>
              </w:rPr>
            </w:pPr>
            <w:r>
              <w:rPr>
                <w:rFonts w:hint="eastAsia" w:ascii="宋体" w:hAnsi="宋体" w:eastAsia="宋体" w:cs="宋体"/>
                <w:kern w:val="2"/>
                <w:sz w:val="24"/>
                <w:szCs w:val="24"/>
                <w:lang w:val="en-US" w:eastAsia="zh-CN" w:bidi="ar-SA"/>
              </w:rPr>
              <w:t>②系统架构</w:t>
            </w:r>
            <w:r>
              <w:rPr>
                <w:rFonts w:hint="eastAsia" w:ascii="宋体" w:hAnsi="宋体" w:eastAsia="宋体" w:cs="宋体"/>
                <w:kern w:val="2"/>
                <w:sz w:val="24"/>
                <w:szCs w:val="24"/>
                <w:lang w:val="en-US" w:eastAsia="en-US" w:bidi="ar-SA"/>
              </w:rPr>
              <w:t>：</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lang w:val="en-US" w:eastAsia="en-US"/>
              </w:rPr>
              <w:t>分；</w:t>
            </w:r>
          </w:p>
          <w:p w14:paraId="15D277E6">
            <w:pPr>
              <w:pStyle w:val="48"/>
              <w:keepNext w:val="0"/>
              <w:keepLines w:val="0"/>
              <w:pageBreakBefore w:val="0"/>
              <w:kinsoku/>
              <w:wordWrap/>
              <w:overflowPunct/>
              <w:topLinePunct w:val="0"/>
              <w:autoSpaceDE/>
              <w:autoSpaceDN/>
              <w:bidi w:val="0"/>
              <w:snapToGrid/>
              <w:spacing w:before="21" w:afterAutospacing="0" w:line="240" w:lineRule="auto"/>
              <w:jc w:val="both"/>
              <w:textAlignment w:val="auto"/>
              <w:rPr>
                <w:rFonts w:hint="eastAsia" w:ascii="宋体" w:hAnsi="宋体" w:eastAsia="宋体" w:cs="宋体"/>
                <w:kern w:val="2"/>
                <w:sz w:val="24"/>
                <w:szCs w:val="24"/>
                <w:lang w:val="en-US" w:eastAsia="en-US" w:bidi="ar-SA"/>
              </w:rPr>
            </w:pPr>
            <w:r>
              <w:rPr>
                <w:rFonts w:hint="eastAsia" w:ascii="宋体" w:hAnsi="宋体" w:eastAsia="宋体" w:cs="宋体"/>
                <w:kern w:val="2"/>
                <w:sz w:val="24"/>
                <w:szCs w:val="24"/>
                <w:lang w:val="en-US" w:eastAsia="zh-CN" w:bidi="ar-SA"/>
              </w:rPr>
              <w:t>③系统安全设计</w:t>
            </w:r>
            <w:r>
              <w:rPr>
                <w:rFonts w:hint="eastAsia" w:ascii="宋体" w:hAnsi="宋体" w:eastAsia="宋体" w:cs="宋体"/>
                <w:kern w:val="2"/>
                <w:sz w:val="24"/>
                <w:szCs w:val="24"/>
                <w:lang w:val="en-US" w:eastAsia="en-US" w:bidi="ar-SA"/>
              </w:rPr>
              <w:t>：</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lang w:val="en-US" w:eastAsia="en-US"/>
              </w:rPr>
              <w:t>分；</w:t>
            </w:r>
          </w:p>
          <w:p w14:paraId="06EA52F4">
            <w:pPr>
              <w:pStyle w:val="48"/>
              <w:keepNext w:val="0"/>
              <w:keepLines w:val="0"/>
              <w:pageBreakBefore w:val="0"/>
              <w:kinsoku/>
              <w:wordWrap/>
              <w:overflowPunct/>
              <w:topLinePunct w:val="0"/>
              <w:autoSpaceDE/>
              <w:autoSpaceDN/>
              <w:bidi w:val="0"/>
              <w:snapToGrid/>
              <w:spacing w:before="21" w:afterAutospacing="0" w:line="240" w:lineRule="auto"/>
              <w:jc w:val="both"/>
              <w:textAlignment w:val="auto"/>
              <w:rPr>
                <w:rFonts w:hint="eastAsia" w:ascii="宋体" w:hAnsi="宋体" w:eastAsia="宋体" w:cs="宋体"/>
                <w:spacing w:val="-8"/>
                <w:sz w:val="24"/>
                <w:szCs w:val="24"/>
              </w:rPr>
            </w:pPr>
            <w:r>
              <w:rPr>
                <w:rFonts w:hint="eastAsia" w:ascii="宋体" w:hAnsi="宋体" w:eastAsia="宋体" w:cs="宋体"/>
                <w:kern w:val="2"/>
                <w:sz w:val="24"/>
                <w:szCs w:val="24"/>
                <w:lang w:val="en-US" w:eastAsia="zh-CN" w:bidi="ar-SA"/>
              </w:rPr>
              <w:t>④系统部署</w:t>
            </w:r>
            <w:r>
              <w:rPr>
                <w:rFonts w:hint="eastAsia" w:ascii="宋体" w:hAnsi="宋体" w:eastAsia="宋体" w:cs="宋体"/>
                <w:kern w:val="2"/>
                <w:sz w:val="24"/>
                <w:szCs w:val="24"/>
                <w:lang w:val="en-US" w:eastAsia="en-US" w:bidi="ar-SA"/>
              </w:rPr>
              <w:t>：</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lang w:val="en-US" w:eastAsia="en-US"/>
              </w:rPr>
              <w:t>分；</w:t>
            </w:r>
          </w:p>
        </w:tc>
      </w:tr>
      <w:tr w14:paraId="37D2C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14:paraId="2BEF827D">
            <w:pPr>
              <w:adjustRightInd w:val="0"/>
              <w:snapToGrid w:val="0"/>
              <w:spacing w:line="360" w:lineRule="auto"/>
              <w:contextualSpacing/>
              <w:jc w:val="center"/>
              <w:rPr>
                <w:rFonts w:hint="eastAsia" w:ascii="宋体" w:hAnsi="宋体" w:eastAsia="宋体" w:cs="宋体"/>
                <w:b/>
                <w:bCs/>
                <w:sz w:val="24"/>
                <w:szCs w:val="24"/>
                <w:lang w:val="en-US" w:eastAsia="zh-CN"/>
              </w:rPr>
            </w:pPr>
          </w:p>
          <w:p w14:paraId="49155372">
            <w:pPr>
              <w:adjustRightInd w:val="0"/>
              <w:snapToGrid w:val="0"/>
              <w:spacing w:line="360" w:lineRule="auto"/>
              <w:contextualSpacing/>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实施方案</w:t>
            </w:r>
          </w:p>
        </w:tc>
        <w:tc>
          <w:tcPr>
            <w:tcW w:w="972" w:type="dxa"/>
            <w:noWrap w:val="0"/>
            <w:vAlign w:val="center"/>
          </w:tcPr>
          <w:p w14:paraId="2AD1EFD7">
            <w:pPr>
              <w:adjustRightInd w:val="0"/>
              <w:snapToGrid w:val="0"/>
              <w:spacing w:line="360" w:lineRule="auto"/>
              <w:contextualSpacing/>
              <w:jc w:val="center"/>
              <w:rPr>
                <w:rFonts w:hint="eastAsia" w:ascii="宋体" w:hAnsi="宋体" w:eastAsia="宋体" w:cs="宋体"/>
                <w:b/>
                <w:bCs/>
                <w:sz w:val="24"/>
                <w:szCs w:val="24"/>
                <w:lang w:val="en-US" w:eastAsia="zh-CN"/>
              </w:rPr>
            </w:pPr>
          </w:p>
          <w:p w14:paraId="4C47E31C">
            <w:pPr>
              <w:adjustRightInd w:val="0"/>
              <w:snapToGrid w:val="0"/>
              <w:spacing w:line="360" w:lineRule="auto"/>
              <w:contextualSpacing/>
              <w:jc w:val="center"/>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rPr>
              <w:t>6分</w:t>
            </w:r>
          </w:p>
        </w:tc>
        <w:tc>
          <w:tcPr>
            <w:tcW w:w="960" w:type="dxa"/>
            <w:noWrap w:val="0"/>
            <w:vAlign w:val="center"/>
          </w:tcPr>
          <w:p w14:paraId="5FAE3AA2">
            <w:pPr>
              <w:adjustRightInd w:val="0"/>
              <w:snapToGrid w:val="0"/>
              <w:spacing w:line="360" w:lineRule="auto"/>
              <w:contextualSpacing/>
              <w:jc w:val="center"/>
              <w:rPr>
                <w:rFonts w:hint="eastAsia" w:ascii="宋体" w:hAnsi="宋体" w:eastAsia="宋体" w:cs="宋体"/>
                <w:b/>
                <w:bCs/>
                <w:sz w:val="24"/>
                <w:szCs w:val="24"/>
                <w:lang w:val="en-US" w:eastAsia="zh-CN"/>
              </w:rPr>
            </w:pPr>
          </w:p>
          <w:p w14:paraId="3AFEBD8E">
            <w:pPr>
              <w:adjustRightInd w:val="0"/>
              <w:snapToGrid w:val="0"/>
              <w:spacing w:line="360" w:lineRule="auto"/>
              <w:contextualSpacing/>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主观</w:t>
            </w:r>
          </w:p>
        </w:tc>
        <w:tc>
          <w:tcPr>
            <w:tcW w:w="5817" w:type="dxa"/>
            <w:noWrap w:val="0"/>
            <w:vAlign w:val="top"/>
          </w:tcPr>
          <w:p w14:paraId="0AB64268">
            <w:pPr>
              <w:pStyle w:val="48"/>
              <w:keepNext w:val="0"/>
              <w:keepLines w:val="0"/>
              <w:pageBreakBefore w:val="0"/>
              <w:kinsoku/>
              <w:wordWrap/>
              <w:overflowPunct/>
              <w:topLinePunct w:val="0"/>
              <w:autoSpaceDE/>
              <w:autoSpaceDN/>
              <w:bidi w:val="0"/>
              <w:snapToGrid/>
              <w:spacing w:before="36" w:afterAutospacing="0" w:line="240" w:lineRule="auto"/>
              <w:ind w:left="117"/>
              <w:jc w:val="both"/>
              <w:textAlignment w:val="auto"/>
              <w:rPr>
                <w:rFonts w:hint="eastAsia" w:ascii="宋体" w:hAnsi="宋体" w:eastAsia="宋体" w:cs="宋体"/>
                <w:sz w:val="24"/>
                <w:szCs w:val="24"/>
              </w:rPr>
            </w:pPr>
            <w:r>
              <w:rPr>
                <w:rFonts w:hint="eastAsia" w:ascii="宋体" w:hAnsi="宋体" w:eastAsia="宋体" w:cs="宋体"/>
                <w:b/>
                <w:bCs/>
                <w:spacing w:val="-4"/>
                <w:sz w:val="24"/>
                <w:szCs w:val="24"/>
              </w:rPr>
              <w:t>一、评审内容</w:t>
            </w:r>
          </w:p>
          <w:p w14:paraId="1369ADAE">
            <w:pPr>
              <w:keepNext w:val="0"/>
              <w:keepLines w:val="0"/>
              <w:pageBreakBefore w:val="0"/>
              <w:kinsoku/>
              <w:wordWrap/>
              <w:overflowPunct/>
              <w:topLinePunct w:val="0"/>
              <w:autoSpaceDE/>
              <w:autoSpaceDN/>
              <w:bidi w:val="0"/>
              <w:snapToGrid/>
              <w:spacing w:before="24" w:afterAutospacing="0" w:line="240" w:lineRule="auto"/>
              <w:jc w:val="both"/>
              <w:textAlignment w:val="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供应商</w:t>
            </w:r>
            <w:r>
              <w:rPr>
                <w:rFonts w:hint="eastAsia" w:ascii="宋体" w:hAnsi="宋体" w:eastAsia="宋体" w:cs="宋体"/>
                <w:spacing w:val="-1"/>
                <w:sz w:val="24"/>
                <w:szCs w:val="24"/>
              </w:rPr>
              <w:t>须结合本项目实际需求，提供完整</w:t>
            </w:r>
            <w:r>
              <w:rPr>
                <w:rFonts w:hint="eastAsia" w:ascii="宋体" w:hAnsi="宋体" w:eastAsia="宋体" w:cs="宋体"/>
                <w:spacing w:val="-1"/>
                <w:sz w:val="24"/>
                <w:szCs w:val="24"/>
                <w:lang w:val="en-US" w:eastAsia="zh-CN"/>
              </w:rPr>
              <w:t>的实施方案</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包括但不限于：①</w:t>
            </w:r>
            <w:r>
              <w:rPr>
                <w:rFonts w:hint="eastAsia" w:ascii="宋体" w:hAnsi="宋体" w:eastAsia="宋体" w:cs="宋体"/>
                <w:kern w:val="2"/>
                <w:sz w:val="24"/>
                <w:szCs w:val="24"/>
                <w:lang w:val="en-US" w:eastAsia="zh-CN" w:bidi="ar-SA"/>
              </w:rPr>
              <w:t>项目实施流程</w:t>
            </w:r>
            <w:r>
              <w:rPr>
                <w:rFonts w:hint="eastAsia" w:ascii="宋体" w:hAnsi="宋体" w:eastAsia="宋体" w:cs="宋体"/>
                <w:spacing w:val="-1"/>
                <w:sz w:val="24"/>
                <w:szCs w:val="24"/>
                <w:lang w:val="en-US" w:eastAsia="zh-CN"/>
              </w:rPr>
              <w:t>；</w:t>
            </w:r>
            <w:r>
              <w:rPr>
                <w:rFonts w:hint="eastAsia" w:ascii="宋体" w:hAnsi="宋体" w:eastAsia="宋体" w:cs="宋体"/>
                <w:color w:val="auto"/>
                <w:sz w:val="24"/>
                <w:szCs w:val="24"/>
                <w:highlight w:val="none"/>
                <w:lang w:val="en-US" w:eastAsia="zh-CN"/>
              </w:rPr>
              <w:t>②</w:t>
            </w:r>
            <w:r>
              <w:rPr>
                <w:rFonts w:hint="eastAsia" w:ascii="宋体" w:hAnsi="宋体" w:eastAsia="宋体" w:cs="宋体"/>
                <w:kern w:val="2"/>
                <w:sz w:val="24"/>
                <w:szCs w:val="24"/>
                <w:lang w:val="en-US" w:eastAsia="zh-CN" w:bidi="ar-SA"/>
              </w:rPr>
              <w:t>实施进度计划</w:t>
            </w:r>
            <w:r>
              <w:rPr>
                <w:rFonts w:hint="eastAsia" w:ascii="宋体" w:hAnsi="宋体" w:eastAsia="宋体" w:cs="宋体"/>
                <w:spacing w:val="-1"/>
                <w:sz w:val="24"/>
                <w:szCs w:val="24"/>
                <w:lang w:val="en-US" w:eastAsia="zh-CN"/>
              </w:rPr>
              <w:t>；</w:t>
            </w:r>
            <w:r>
              <w:rPr>
                <w:rFonts w:hint="eastAsia" w:ascii="宋体" w:hAnsi="宋体" w:eastAsia="宋体" w:cs="宋体"/>
                <w:sz w:val="24"/>
                <w:szCs w:val="24"/>
                <w:lang w:val="en-US" w:eastAsia="zh-CN"/>
              </w:rPr>
              <w:t>③</w:t>
            </w:r>
            <w:r>
              <w:rPr>
                <w:rFonts w:hint="eastAsia" w:ascii="宋体" w:hAnsi="宋体" w:eastAsia="宋体" w:cs="宋体"/>
                <w:kern w:val="2"/>
                <w:sz w:val="24"/>
                <w:szCs w:val="24"/>
                <w:lang w:val="en-US" w:eastAsia="zh-CN" w:bidi="ar-SA"/>
              </w:rPr>
              <w:t>质量保证措施；</w:t>
            </w:r>
            <w:r>
              <w:rPr>
                <w:rFonts w:hint="eastAsia" w:ascii="宋体" w:hAnsi="宋体" w:eastAsia="宋体" w:cs="宋体"/>
                <w:sz w:val="24"/>
                <w:szCs w:val="24"/>
                <w:lang w:val="en-US" w:eastAsia="zh-CN"/>
              </w:rPr>
              <w:t>④</w:t>
            </w:r>
            <w:r>
              <w:rPr>
                <w:rFonts w:hint="eastAsia" w:ascii="宋体" w:hAnsi="宋体" w:eastAsia="宋体" w:cs="宋体"/>
                <w:kern w:val="2"/>
                <w:sz w:val="24"/>
                <w:szCs w:val="24"/>
                <w:lang w:val="en-US" w:eastAsia="zh-CN" w:bidi="ar-SA"/>
              </w:rPr>
              <w:t>应急保障措施</w:t>
            </w:r>
            <w:r>
              <w:rPr>
                <w:rFonts w:hint="eastAsia" w:ascii="宋体" w:hAnsi="宋体" w:eastAsia="宋体" w:cs="宋体"/>
                <w:spacing w:val="-1"/>
                <w:sz w:val="24"/>
                <w:szCs w:val="24"/>
                <w:lang w:val="en-US" w:eastAsia="zh-CN"/>
              </w:rPr>
              <w:t>。</w:t>
            </w:r>
          </w:p>
          <w:p w14:paraId="702D7E86">
            <w:pPr>
              <w:pStyle w:val="48"/>
              <w:keepNext w:val="0"/>
              <w:keepLines w:val="0"/>
              <w:pageBreakBefore w:val="0"/>
              <w:kinsoku/>
              <w:wordWrap/>
              <w:overflowPunct/>
              <w:topLinePunct w:val="0"/>
              <w:autoSpaceDE/>
              <w:autoSpaceDN/>
              <w:bidi w:val="0"/>
              <w:snapToGrid/>
              <w:spacing w:afterAutospacing="0" w:line="240" w:lineRule="auto"/>
              <w:ind w:left="117"/>
              <w:jc w:val="both"/>
              <w:textAlignment w:val="auto"/>
              <w:rPr>
                <w:rFonts w:hint="eastAsia" w:ascii="宋体" w:hAnsi="宋体" w:eastAsia="宋体" w:cs="宋体"/>
                <w:sz w:val="24"/>
                <w:szCs w:val="24"/>
              </w:rPr>
            </w:pPr>
            <w:r>
              <w:rPr>
                <w:rFonts w:hint="eastAsia" w:ascii="宋体" w:hAnsi="宋体" w:eastAsia="宋体" w:cs="宋体"/>
                <w:b/>
                <w:bCs/>
                <w:spacing w:val="-4"/>
                <w:sz w:val="24"/>
                <w:szCs w:val="24"/>
              </w:rPr>
              <w:t>二、评审标准</w:t>
            </w:r>
          </w:p>
          <w:p w14:paraId="6938748A">
            <w:pPr>
              <w:keepNext w:val="0"/>
              <w:keepLines w:val="0"/>
              <w:pageBreakBefore w:val="0"/>
              <w:kinsoku/>
              <w:wordWrap/>
              <w:overflowPunct/>
              <w:topLinePunct w:val="0"/>
              <w:autoSpaceDE/>
              <w:autoSpaceDN/>
              <w:bidi w:val="0"/>
              <w:snapToGrid/>
              <w:spacing w:before="26" w:afterAutospacing="0" w:line="240" w:lineRule="auto"/>
              <w:ind w:left="132"/>
              <w:jc w:val="both"/>
              <w:textAlignment w:val="auto"/>
              <w:rPr>
                <w:rFonts w:hint="eastAsia" w:ascii="宋体" w:hAnsi="宋体" w:eastAsia="宋体" w:cs="宋体"/>
                <w:sz w:val="24"/>
                <w:szCs w:val="24"/>
                <w:lang w:eastAsia="zh-CN"/>
              </w:rPr>
            </w:pPr>
            <w:r>
              <w:rPr>
                <w:rFonts w:hint="eastAsia" w:ascii="宋体" w:hAnsi="宋体" w:eastAsia="宋体" w:cs="宋体"/>
                <w:spacing w:val="-5"/>
                <w:sz w:val="24"/>
                <w:szCs w:val="24"/>
              </w:rPr>
              <w:t>1.完整性：</w:t>
            </w:r>
            <w:r>
              <w:rPr>
                <w:rFonts w:hint="eastAsia" w:ascii="宋体" w:hAnsi="宋体" w:eastAsia="宋体" w:cs="宋体"/>
                <w:spacing w:val="-5"/>
                <w:sz w:val="24"/>
                <w:szCs w:val="24"/>
                <w:lang w:val="en-US" w:eastAsia="zh-CN"/>
              </w:rPr>
              <w:t>方案必须全面，对评审内容中的各项要求详细描述</w:t>
            </w:r>
            <w:r>
              <w:rPr>
                <w:rFonts w:hint="eastAsia" w:ascii="宋体" w:hAnsi="宋体" w:eastAsia="宋体" w:cs="宋体"/>
                <w:spacing w:val="-5"/>
                <w:sz w:val="24"/>
                <w:szCs w:val="24"/>
                <w:lang w:eastAsia="zh-CN"/>
              </w:rPr>
              <w:t>。</w:t>
            </w:r>
          </w:p>
          <w:p w14:paraId="7B9C16A2">
            <w:pPr>
              <w:keepNext w:val="0"/>
              <w:keepLines w:val="0"/>
              <w:pageBreakBefore w:val="0"/>
              <w:kinsoku/>
              <w:wordWrap/>
              <w:overflowPunct/>
              <w:topLinePunct w:val="0"/>
              <w:autoSpaceDE/>
              <w:autoSpaceDN/>
              <w:bidi w:val="0"/>
              <w:snapToGrid/>
              <w:spacing w:before="26" w:afterAutospacing="0" w:line="240" w:lineRule="auto"/>
              <w:ind w:left="109"/>
              <w:jc w:val="both"/>
              <w:textAlignment w:val="auto"/>
              <w:rPr>
                <w:rFonts w:hint="eastAsia" w:ascii="宋体" w:hAnsi="宋体" w:eastAsia="宋体" w:cs="宋体"/>
                <w:spacing w:val="-1"/>
                <w:sz w:val="24"/>
                <w:szCs w:val="24"/>
              </w:rPr>
            </w:pPr>
            <w:r>
              <w:rPr>
                <w:rFonts w:hint="eastAsia" w:ascii="宋体" w:hAnsi="宋体" w:eastAsia="宋体" w:cs="宋体"/>
                <w:sz w:val="24"/>
                <w:szCs w:val="24"/>
              </w:rPr>
              <w:t>2.针对性：方案能够紧扣项目实际情况，</w:t>
            </w:r>
            <w:r>
              <w:rPr>
                <w:rFonts w:hint="eastAsia" w:ascii="宋体" w:hAnsi="宋体" w:eastAsia="宋体" w:cs="宋体"/>
                <w:spacing w:val="-1"/>
                <w:sz w:val="24"/>
                <w:szCs w:val="24"/>
              </w:rPr>
              <w:t>内容科学合理。</w:t>
            </w:r>
          </w:p>
          <w:p w14:paraId="3D5C27C8">
            <w:pPr>
              <w:pStyle w:val="48"/>
              <w:keepNext w:val="0"/>
              <w:keepLines w:val="0"/>
              <w:pageBreakBefore w:val="0"/>
              <w:kinsoku/>
              <w:wordWrap/>
              <w:overflowPunct/>
              <w:topLinePunct w:val="0"/>
              <w:autoSpaceDE/>
              <w:autoSpaceDN/>
              <w:bidi w:val="0"/>
              <w:snapToGrid/>
              <w:spacing w:before="23" w:afterAutospacing="0" w:line="240" w:lineRule="auto"/>
              <w:ind w:left="113"/>
              <w:jc w:val="both"/>
              <w:textAlignment w:val="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3.可实施性：切合本项目实际情况，提出步骤清晰、合理的方案；</w:t>
            </w:r>
          </w:p>
          <w:p w14:paraId="2AF52D75">
            <w:pPr>
              <w:pStyle w:val="48"/>
              <w:keepNext w:val="0"/>
              <w:keepLines w:val="0"/>
              <w:pageBreakBefore w:val="0"/>
              <w:kinsoku/>
              <w:wordWrap/>
              <w:overflowPunct/>
              <w:topLinePunct w:val="0"/>
              <w:autoSpaceDE/>
              <w:autoSpaceDN/>
              <w:bidi w:val="0"/>
              <w:snapToGrid/>
              <w:spacing w:before="23" w:afterAutospacing="0" w:line="240" w:lineRule="auto"/>
              <w:ind w:left="113"/>
              <w:jc w:val="both"/>
              <w:textAlignment w:val="auto"/>
              <w:rPr>
                <w:rFonts w:hint="eastAsia" w:ascii="宋体" w:hAnsi="宋体" w:eastAsia="宋体" w:cs="宋体"/>
                <w:sz w:val="24"/>
                <w:szCs w:val="24"/>
              </w:rPr>
            </w:pPr>
            <w:r>
              <w:rPr>
                <w:rFonts w:hint="eastAsia" w:ascii="宋体" w:hAnsi="宋体" w:eastAsia="宋体" w:cs="宋体"/>
                <w:b/>
                <w:bCs/>
                <w:spacing w:val="-4"/>
                <w:sz w:val="24"/>
                <w:szCs w:val="24"/>
              </w:rPr>
              <w:t>三、赋分标准（满分</w:t>
            </w:r>
            <w:r>
              <w:rPr>
                <w:rFonts w:hint="eastAsia" w:ascii="宋体" w:hAnsi="宋体" w:eastAsia="宋体" w:cs="宋体"/>
                <w:b/>
                <w:bCs/>
                <w:spacing w:val="-4"/>
                <w:sz w:val="24"/>
                <w:szCs w:val="24"/>
                <w:lang w:val="en-US" w:eastAsia="zh-CN"/>
              </w:rPr>
              <w:t>6</w:t>
            </w:r>
            <w:r>
              <w:rPr>
                <w:rFonts w:hint="eastAsia" w:ascii="宋体" w:hAnsi="宋体" w:eastAsia="宋体" w:cs="宋体"/>
                <w:b/>
                <w:bCs/>
                <w:spacing w:val="-4"/>
                <w:sz w:val="24"/>
                <w:szCs w:val="24"/>
              </w:rPr>
              <w:t>分）</w:t>
            </w:r>
          </w:p>
          <w:p w14:paraId="4330F212">
            <w:pPr>
              <w:keepNext w:val="0"/>
              <w:keepLines w:val="0"/>
              <w:pageBreakBefore w:val="0"/>
              <w:kinsoku/>
              <w:wordWrap/>
              <w:overflowPunct/>
              <w:topLinePunct w:val="0"/>
              <w:autoSpaceDE/>
              <w:autoSpaceDN/>
              <w:bidi w:val="0"/>
              <w:snapToGrid/>
              <w:spacing w:before="26" w:afterAutospacing="0" w:line="240" w:lineRule="auto"/>
              <w:ind w:left="109"/>
              <w:jc w:val="both"/>
              <w:textAlignment w:val="auto"/>
              <w:rPr>
                <w:rFonts w:hint="eastAsia" w:ascii="宋体" w:hAnsi="宋体" w:eastAsia="宋体" w:cs="宋体"/>
                <w:sz w:val="24"/>
                <w:szCs w:val="24"/>
                <w:lang w:val="en-US" w:eastAsia="en-US"/>
              </w:rPr>
            </w:pPr>
            <w:r>
              <w:rPr>
                <w:rFonts w:hint="eastAsia" w:ascii="宋体" w:hAnsi="宋体" w:eastAsia="宋体" w:cs="宋体"/>
                <w:spacing w:val="-1"/>
                <w:sz w:val="24"/>
                <w:szCs w:val="24"/>
                <w:lang w:val="en-US" w:eastAsia="zh-CN"/>
              </w:rPr>
              <w:t>①</w:t>
            </w:r>
            <w:r>
              <w:rPr>
                <w:rFonts w:hint="eastAsia" w:ascii="宋体" w:hAnsi="宋体" w:eastAsia="宋体" w:cs="宋体"/>
                <w:kern w:val="2"/>
                <w:sz w:val="24"/>
                <w:szCs w:val="24"/>
                <w:lang w:val="en-US" w:eastAsia="zh-CN" w:bidi="ar-SA"/>
              </w:rPr>
              <w:t>项目实施流程</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0.5</w:t>
            </w:r>
            <w:r>
              <w:rPr>
                <w:rFonts w:hint="eastAsia" w:ascii="宋体" w:hAnsi="宋体" w:eastAsia="宋体" w:cs="宋体"/>
                <w:sz w:val="24"/>
                <w:szCs w:val="24"/>
                <w:lang w:val="en-US" w:eastAsia="en-US"/>
              </w:rPr>
              <w:t>分，满分得</w:t>
            </w:r>
            <w:r>
              <w:rPr>
                <w:rFonts w:hint="eastAsia" w:ascii="宋体" w:hAnsi="宋体" w:eastAsia="宋体" w:cs="宋体"/>
                <w:sz w:val="24"/>
                <w:szCs w:val="24"/>
                <w:lang w:val="en-US" w:eastAsia="zh-CN"/>
              </w:rPr>
              <w:t>1.5</w:t>
            </w:r>
            <w:r>
              <w:rPr>
                <w:rFonts w:hint="eastAsia" w:ascii="宋体" w:hAnsi="宋体" w:eastAsia="宋体" w:cs="宋体"/>
                <w:sz w:val="24"/>
                <w:szCs w:val="24"/>
                <w:lang w:val="en-US" w:eastAsia="en-US"/>
              </w:rPr>
              <w:t>分；</w:t>
            </w:r>
          </w:p>
          <w:p w14:paraId="288BA66D">
            <w:pPr>
              <w:keepNext w:val="0"/>
              <w:keepLines w:val="0"/>
              <w:pageBreakBefore w:val="0"/>
              <w:kinsoku/>
              <w:wordWrap/>
              <w:overflowPunct/>
              <w:topLinePunct w:val="0"/>
              <w:autoSpaceDE/>
              <w:autoSpaceDN/>
              <w:bidi w:val="0"/>
              <w:snapToGrid/>
              <w:spacing w:before="26" w:afterAutospacing="0" w:line="240" w:lineRule="auto"/>
              <w:ind w:left="109"/>
              <w:jc w:val="both"/>
              <w:textAlignment w:val="auto"/>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②实施进度计划</w:t>
            </w:r>
            <w:r>
              <w:rPr>
                <w:rFonts w:hint="eastAsia" w:ascii="宋体" w:hAnsi="宋体" w:eastAsia="宋体" w:cs="宋体"/>
                <w:sz w:val="24"/>
                <w:szCs w:val="24"/>
                <w:lang w:val="en-US" w:eastAsia="en-US"/>
              </w:rPr>
              <w:t>：每完全满足1项评审标准得</w:t>
            </w:r>
            <w:r>
              <w:rPr>
                <w:rFonts w:hint="eastAsia" w:ascii="宋体" w:hAnsi="宋体" w:eastAsia="宋体" w:cs="宋体"/>
                <w:sz w:val="24"/>
                <w:szCs w:val="24"/>
                <w:lang w:val="en-US" w:eastAsia="zh-CN"/>
              </w:rPr>
              <w:t>0.5</w:t>
            </w:r>
            <w:r>
              <w:rPr>
                <w:rFonts w:hint="eastAsia" w:ascii="宋体" w:hAnsi="宋体" w:eastAsia="宋体" w:cs="宋体"/>
                <w:sz w:val="24"/>
                <w:szCs w:val="24"/>
                <w:lang w:val="en-US" w:eastAsia="en-US"/>
              </w:rPr>
              <w:t>分，满分得</w:t>
            </w:r>
            <w:r>
              <w:rPr>
                <w:rFonts w:hint="eastAsia" w:ascii="宋体" w:hAnsi="宋体" w:eastAsia="宋体" w:cs="宋体"/>
                <w:sz w:val="24"/>
                <w:szCs w:val="24"/>
                <w:lang w:val="en-US" w:eastAsia="zh-CN"/>
              </w:rPr>
              <w:t>1.5</w:t>
            </w:r>
            <w:r>
              <w:rPr>
                <w:rFonts w:hint="eastAsia" w:ascii="宋体" w:hAnsi="宋体" w:eastAsia="宋体" w:cs="宋体"/>
                <w:sz w:val="24"/>
                <w:szCs w:val="24"/>
                <w:lang w:val="en-US" w:eastAsia="en-US"/>
              </w:rPr>
              <w:t>分；</w:t>
            </w:r>
          </w:p>
          <w:p w14:paraId="0B533BF9">
            <w:pPr>
              <w:keepNext w:val="0"/>
              <w:keepLines w:val="0"/>
              <w:pageBreakBefore w:val="0"/>
              <w:kinsoku/>
              <w:wordWrap/>
              <w:overflowPunct/>
              <w:topLinePunct w:val="0"/>
              <w:autoSpaceDE/>
              <w:autoSpaceDN/>
              <w:bidi w:val="0"/>
              <w:snapToGrid/>
              <w:spacing w:before="26" w:afterAutospacing="0" w:line="240" w:lineRule="auto"/>
              <w:ind w:left="109"/>
              <w:jc w:val="both"/>
              <w:textAlignment w:val="auto"/>
              <w:rPr>
                <w:rFonts w:hint="eastAsia" w:ascii="宋体" w:hAnsi="宋体" w:eastAsia="宋体" w:cs="宋体"/>
                <w:sz w:val="24"/>
                <w:szCs w:val="24"/>
                <w:lang w:val="en-US" w:eastAsia="en-US"/>
              </w:rPr>
            </w:pPr>
            <w:r>
              <w:rPr>
                <w:rFonts w:hint="eastAsia" w:ascii="宋体" w:hAnsi="宋体" w:eastAsia="宋体" w:cs="宋体"/>
                <w:sz w:val="24"/>
                <w:szCs w:val="24"/>
                <w:lang w:val="en-US" w:eastAsia="zh-CN"/>
              </w:rPr>
              <w:t>③质量保证措施</w:t>
            </w:r>
            <w:r>
              <w:rPr>
                <w:rFonts w:hint="eastAsia" w:ascii="宋体" w:hAnsi="宋体" w:eastAsia="宋体" w:cs="宋体"/>
                <w:sz w:val="24"/>
                <w:szCs w:val="24"/>
                <w:lang w:val="en-US" w:eastAsia="en-US"/>
              </w:rPr>
              <w:t>：每完全满足1项评审标准得</w:t>
            </w:r>
            <w:r>
              <w:rPr>
                <w:rFonts w:hint="eastAsia" w:ascii="宋体" w:hAnsi="宋体" w:eastAsia="宋体" w:cs="宋体"/>
                <w:sz w:val="24"/>
                <w:szCs w:val="24"/>
                <w:lang w:val="en-US" w:eastAsia="zh-CN"/>
              </w:rPr>
              <w:t>0.5</w:t>
            </w:r>
            <w:r>
              <w:rPr>
                <w:rFonts w:hint="eastAsia" w:ascii="宋体" w:hAnsi="宋体" w:eastAsia="宋体" w:cs="宋体"/>
                <w:sz w:val="24"/>
                <w:szCs w:val="24"/>
                <w:lang w:val="en-US" w:eastAsia="en-US"/>
              </w:rPr>
              <w:t>分，满分得</w:t>
            </w:r>
            <w:r>
              <w:rPr>
                <w:rFonts w:hint="eastAsia" w:ascii="宋体" w:hAnsi="宋体" w:eastAsia="宋体" w:cs="宋体"/>
                <w:sz w:val="24"/>
                <w:szCs w:val="24"/>
                <w:lang w:val="en-US" w:eastAsia="zh-CN"/>
              </w:rPr>
              <w:t>1.5</w:t>
            </w:r>
            <w:r>
              <w:rPr>
                <w:rFonts w:hint="eastAsia" w:ascii="宋体" w:hAnsi="宋体" w:eastAsia="宋体" w:cs="宋体"/>
                <w:sz w:val="24"/>
                <w:szCs w:val="24"/>
                <w:lang w:val="en-US" w:eastAsia="en-US"/>
              </w:rPr>
              <w:t>分；</w:t>
            </w:r>
          </w:p>
          <w:p w14:paraId="0E3090AB">
            <w:pPr>
              <w:keepNext w:val="0"/>
              <w:keepLines w:val="0"/>
              <w:pageBreakBefore w:val="0"/>
              <w:kinsoku/>
              <w:wordWrap/>
              <w:overflowPunct/>
              <w:topLinePunct w:val="0"/>
              <w:autoSpaceDE/>
              <w:autoSpaceDN/>
              <w:bidi w:val="0"/>
              <w:snapToGrid/>
              <w:spacing w:before="26" w:afterAutospacing="0" w:line="240" w:lineRule="auto"/>
              <w:ind w:left="109"/>
              <w:jc w:val="both"/>
              <w:textAlignment w:val="auto"/>
              <w:rPr>
                <w:rFonts w:hint="eastAsia" w:ascii="宋体" w:hAnsi="宋体" w:eastAsia="宋体" w:cs="宋体"/>
                <w:spacing w:val="-8"/>
                <w:sz w:val="24"/>
                <w:szCs w:val="24"/>
              </w:rPr>
            </w:pPr>
            <w:r>
              <w:rPr>
                <w:rFonts w:hint="eastAsia" w:ascii="宋体" w:hAnsi="宋体" w:eastAsia="宋体" w:cs="宋体"/>
                <w:sz w:val="24"/>
                <w:szCs w:val="24"/>
                <w:lang w:val="en-US" w:eastAsia="zh-CN"/>
              </w:rPr>
              <w:t>④应急保障措施：每完全满足1项评审标准得0.5分，满分得1.5分；</w:t>
            </w:r>
          </w:p>
        </w:tc>
      </w:tr>
      <w:tr w14:paraId="7462D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14:paraId="66739C26">
            <w:pPr>
              <w:adjustRightInd w:val="0"/>
              <w:snapToGrid w:val="0"/>
              <w:spacing w:line="360" w:lineRule="auto"/>
              <w:contextualSpacing/>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售后服务方案</w:t>
            </w:r>
          </w:p>
        </w:tc>
        <w:tc>
          <w:tcPr>
            <w:tcW w:w="972" w:type="dxa"/>
            <w:noWrap w:val="0"/>
            <w:vAlign w:val="center"/>
          </w:tcPr>
          <w:p w14:paraId="66BB405E">
            <w:pPr>
              <w:adjustRightInd w:val="0"/>
              <w:snapToGrid w:val="0"/>
              <w:spacing w:line="360" w:lineRule="auto"/>
              <w:contextualSpacing/>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rPr>
              <w:t>6</w:t>
            </w:r>
            <w:r>
              <w:rPr>
                <w:rFonts w:hint="eastAsia" w:ascii="宋体" w:hAnsi="宋体" w:eastAsia="宋体" w:cs="宋体"/>
                <w:b/>
                <w:bCs/>
                <w:sz w:val="24"/>
                <w:szCs w:val="24"/>
                <w:lang w:val="en-US" w:eastAsia="zh-CN"/>
              </w:rPr>
              <w:t>分</w:t>
            </w:r>
          </w:p>
        </w:tc>
        <w:tc>
          <w:tcPr>
            <w:tcW w:w="960" w:type="dxa"/>
            <w:noWrap w:val="0"/>
            <w:vAlign w:val="center"/>
          </w:tcPr>
          <w:p w14:paraId="2EF68D0A">
            <w:pPr>
              <w:adjustRightInd w:val="0"/>
              <w:snapToGrid w:val="0"/>
              <w:spacing w:line="360" w:lineRule="auto"/>
              <w:contextualSpacing/>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主观</w:t>
            </w:r>
          </w:p>
        </w:tc>
        <w:tc>
          <w:tcPr>
            <w:tcW w:w="5817" w:type="dxa"/>
            <w:noWrap w:val="0"/>
            <w:vAlign w:val="top"/>
          </w:tcPr>
          <w:p w14:paraId="783DC96E">
            <w:pPr>
              <w:pStyle w:val="48"/>
              <w:keepNext w:val="0"/>
              <w:keepLines w:val="0"/>
              <w:pageBreakBefore w:val="0"/>
              <w:kinsoku/>
              <w:wordWrap/>
              <w:overflowPunct/>
              <w:topLinePunct w:val="0"/>
              <w:autoSpaceDE/>
              <w:autoSpaceDN/>
              <w:bidi w:val="0"/>
              <w:snapToGrid/>
              <w:spacing w:before="36" w:afterAutospacing="0" w:line="240" w:lineRule="auto"/>
              <w:ind w:left="117"/>
              <w:jc w:val="both"/>
              <w:textAlignment w:val="auto"/>
              <w:rPr>
                <w:rFonts w:hint="eastAsia" w:ascii="宋体" w:hAnsi="宋体" w:eastAsia="宋体" w:cs="宋体"/>
                <w:sz w:val="24"/>
                <w:szCs w:val="24"/>
              </w:rPr>
            </w:pPr>
            <w:r>
              <w:rPr>
                <w:rFonts w:hint="eastAsia" w:ascii="宋体" w:hAnsi="宋体" w:eastAsia="宋体" w:cs="宋体"/>
                <w:b/>
                <w:bCs/>
                <w:spacing w:val="-4"/>
                <w:sz w:val="24"/>
                <w:szCs w:val="24"/>
              </w:rPr>
              <w:t>一、评审内容</w:t>
            </w:r>
          </w:p>
          <w:p w14:paraId="2FB9631F">
            <w:pPr>
              <w:keepNext w:val="0"/>
              <w:keepLines w:val="0"/>
              <w:pageBreakBefore w:val="0"/>
              <w:kinsoku/>
              <w:wordWrap/>
              <w:overflowPunct/>
              <w:topLinePunct w:val="0"/>
              <w:autoSpaceDE/>
              <w:autoSpaceDN/>
              <w:bidi w:val="0"/>
              <w:snapToGrid/>
              <w:spacing w:before="24" w:afterAutospacing="0" w:line="240" w:lineRule="auto"/>
              <w:ind w:left="120" w:firstLine="476" w:firstLineChars="200"/>
              <w:jc w:val="both"/>
              <w:textAlignment w:val="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供应商</w:t>
            </w:r>
            <w:r>
              <w:rPr>
                <w:rFonts w:hint="eastAsia" w:ascii="宋体" w:hAnsi="宋体" w:eastAsia="宋体" w:cs="宋体"/>
                <w:spacing w:val="-1"/>
                <w:sz w:val="24"/>
                <w:szCs w:val="24"/>
              </w:rPr>
              <w:t>须结合本项目实际需求，提供完整</w:t>
            </w:r>
            <w:r>
              <w:rPr>
                <w:rFonts w:hint="eastAsia" w:ascii="宋体" w:hAnsi="宋体" w:eastAsia="宋体" w:cs="宋体"/>
                <w:spacing w:val="-1"/>
                <w:sz w:val="24"/>
                <w:szCs w:val="24"/>
                <w:lang w:val="en-US" w:eastAsia="zh-CN"/>
              </w:rPr>
              <w:t>的售后服务方案</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包括但不限于：①售后服务承诺；</w:t>
            </w:r>
            <w:r>
              <w:rPr>
                <w:rFonts w:hint="eastAsia" w:ascii="宋体" w:hAnsi="宋体" w:eastAsia="宋体" w:cs="宋体"/>
                <w:color w:val="auto"/>
                <w:sz w:val="24"/>
                <w:szCs w:val="24"/>
                <w:highlight w:val="none"/>
                <w:lang w:val="en-US" w:eastAsia="zh-CN"/>
              </w:rPr>
              <w:t>②</w:t>
            </w:r>
            <w:r>
              <w:rPr>
                <w:rFonts w:hint="eastAsia" w:ascii="宋体" w:hAnsi="宋体" w:eastAsia="宋体" w:cs="宋体"/>
                <w:spacing w:val="-1"/>
                <w:sz w:val="24"/>
                <w:szCs w:val="24"/>
                <w:lang w:val="en-US" w:eastAsia="zh-CN"/>
              </w:rPr>
              <w:t>售后服务人员配置；</w:t>
            </w:r>
            <w:r>
              <w:rPr>
                <w:rFonts w:hint="eastAsia" w:ascii="宋体" w:hAnsi="宋体" w:eastAsia="宋体" w:cs="宋体"/>
                <w:color w:val="auto"/>
                <w:sz w:val="24"/>
                <w:szCs w:val="24"/>
                <w:highlight w:val="none"/>
                <w:lang w:val="en-US" w:eastAsia="zh-CN"/>
              </w:rPr>
              <w:t>③</w:t>
            </w:r>
            <w:r>
              <w:rPr>
                <w:rFonts w:hint="eastAsia" w:ascii="宋体" w:hAnsi="宋体" w:eastAsia="宋体" w:cs="宋体"/>
                <w:spacing w:val="-1"/>
                <w:sz w:val="24"/>
                <w:szCs w:val="24"/>
                <w:lang w:val="en-US" w:eastAsia="zh-CN"/>
              </w:rPr>
              <w:t>服务响应时间；</w:t>
            </w:r>
            <w:r>
              <w:rPr>
                <w:rFonts w:hint="eastAsia" w:ascii="宋体" w:hAnsi="宋体" w:eastAsia="宋体" w:cs="宋体"/>
                <w:color w:val="auto"/>
                <w:sz w:val="24"/>
                <w:szCs w:val="24"/>
                <w:highlight w:val="none"/>
                <w:lang w:val="en-US" w:eastAsia="zh-CN"/>
              </w:rPr>
              <w:t>④</w:t>
            </w:r>
            <w:r>
              <w:rPr>
                <w:rFonts w:hint="eastAsia" w:ascii="宋体" w:hAnsi="宋体" w:eastAsia="宋体" w:cs="宋体"/>
                <w:spacing w:val="-1"/>
                <w:sz w:val="24"/>
                <w:szCs w:val="24"/>
                <w:lang w:val="en-US" w:eastAsia="zh-CN"/>
              </w:rPr>
              <w:t>故障处理机制。</w:t>
            </w:r>
          </w:p>
          <w:p w14:paraId="7AB3C9EF">
            <w:pPr>
              <w:pStyle w:val="48"/>
              <w:keepNext w:val="0"/>
              <w:keepLines w:val="0"/>
              <w:pageBreakBefore w:val="0"/>
              <w:kinsoku/>
              <w:wordWrap/>
              <w:overflowPunct/>
              <w:topLinePunct w:val="0"/>
              <w:autoSpaceDE/>
              <w:autoSpaceDN/>
              <w:bidi w:val="0"/>
              <w:snapToGrid/>
              <w:spacing w:afterAutospacing="0" w:line="240" w:lineRule="auto"/>
              <w:ind w:left="117"/>
              <w:jc w:val="both"/>
              <w:textAlignment w:val="auto"/>
              <w:rPr>
                <w:rFonts w:hint="eastAsia" w:ascii="宋体" w:hAnsi="宋体" w:eastAsia="宋体" w:cs="宋体"/>
                <w:sz w:val="24"/>
                <w:szCs w:val="24"/>
              </w:rPr>
            </w:pPr>
            <w:r>
              <w:rPr>
                <w:rFonts w:hint="eastAsia" w:ascii="宋体" w:hAnsi="宋体" w:eastAsia="宋体" w:cs="宋体"/>
                <w:b/>
                <w:bCs/>
                <w:spacing w:val="-4"/>
                <w:sz w:val="24"/>
                <w:szCs w:val="24"/>
              </w:rPr>
              <w:t>二、评审标准</w:t>
            </w:r>
          </w:p>
          <w:p w14:paraId="223B835C">
            <w:pPr>
              <w:keepNext w:val="0"/>
              <w:keepLines w:val="0"/>
              <w:pageBreakBefore w:val="0"/>
              <w:kinsoku/>
              <w:wordWrap/>
              <w:overflowPunct/>
              <w:topLinePunct w:val="0"/>
              <w:autoSpaceDE/>
              <w:autoSpaceDN/>
              <w:bidi w:val="0"/>
              <w:snapToGrid/>
              <w:spacing w:before="26" w:afterAutospacing="0" w:line="240" w:lineRule="auto"/>
              <w:ind w:left="132"/>
              <w:jc w:val="both"/>
              <w:textAlignment w:val="auto"/>
              <w:rPr>
                <w:rFonts w:hint="eastAsia" w:ascii="宋体" w:hAnsi="宋体" w:eastAsia="宋体" w:cs="宋体"/>
                <w:sz w:val="24"/>
                <w:szCs w:val="24"/>
                <w:lang w:eastAsia="zh-CN"/>
              </w:rPr>
            </w:pPr>
            <w:r>
              <w:rPr>
                <w:rFonts w:hint="eastAsia" w:ascii="宋体" w:hAnsi="宋体" w:eastAsia="宋体" w:cs="宋体"/>
                <w:spacing w:val="-5"/>
                <w:sz w:val="24"/>
                <w:szCs w:val="24"/>
              </w:rPr>
              <w:t>1.完整性：</w:t>
            </w:r>
            <w:r>
              <w:rPr>
                <w:rFonts w:hint="eastAsia" w:ascii="宋体" w:hAnsi="宋体" w:eastAsia="宋体" w:cs="宋体"/>
                <w:spacing w:val="-5"/>
                <w:sz w:val="24"/>
                <w:szCs w:val="24"/>
                <w:lang w:val="en-US" w:eastAsia="zh-CN"/>
              </w:rPr>
              <w:t>方案必须全面，对评审内容中的各项要求详细描述</w:t>
            </w:r>
            <w:r>
              <w:rPr>
                <w:rFonts w:hint="eastAsia" w:ascii="宋体" w:hAnsi="宋体" w:eastAsia="宋体" w:cs="宋体"/>
                <w:spacing w:val="-5"/>
                <w:sz w:val="24"/>
                <w:szCs w:val="24"/>
                <w:lang w:eastAsia="zh-CN"/>
              </w:rPr>
              <w:t>。</w:t>
            </w:r>
          </w:p>
          <w:p w14:paraId="6E20EE48">
            <w:pPr>
              <w:keepNext w:val="0"/>
              <w:keepLines w:val="0"/>
              <w:pageBreakBefore w:val="0"/>
              <w:kinsoku/>
              <w:wordWrap/>
              <w:overflowPunct/>
              <w:topLinePunct w:val="0"/>
              <w:autoSpaceDE/>
              <w:autoSpaceDN/>
              <w:bidi w:val="0"/>
              <w:snapToGrid/>
              <w:spacing w:before="26" w:afterAutospacing="0" w:line="240" w:lineRule="auto"/>
              <w:ind w:left="109"/>
              <w:jc w:val="both"/>
              <w:textAlignment w:val="auto"/>
              <w:rPr>
                <w:rFonts w:hint="eastAsia" w:ascii="宋体" w:hAnsi="宋体" w:eastAsia="宋体" w:cs="宋体"/>
                <w:spacing w:val="-1"/>
                <w:sz w:val="24"/>
                <w:szCs w:val="24"/>
              </w:rPr>
            </w:pPr>
            <w:r>
              <w:rPr>
                <w:rFonts w:hint="eastAsia" w:ascii="宋体" w:hAnsi="宋体" w:eastAsia="宋体" w:cs="宋体"/>
                <w:sz w:val="24"/>
                <w:szCs w:val="24"/>
              </w:rPr>
              <w:t>2.针对性：方案能够紧扣项目实际情况，</w:t>
            </w:r>
            <w:r>
              <w:rPr>
                <w:rFonts w:hint="eastAsia" w:ascii="宋体" w:hAnsi="宋体" w:eastAsia="宋体" w:cs="宋体"/>
                <w:spacing w:val="-1"/>
                <w:sz w:val="24"/>
                <w:szCs w:val="24"/>
              </w:rPr>
              <w:t>内容科学合理。</w:t>
            </w:r>
          </w:p>
          <w:p w14:paraId="6A087462">
            <w:pPr>
              <w:pStyle w:val="48"/>
              <w:keepNext w:val="0"/>
              <w:keepLines w:val="0"/>
              <w:pageBreakBefore w:val="0"/>
              <w:kinsoku/>
              <w:wordWrap/>
              <w:overflowPunct/>
              <w:topLinePunct w:val="0"/>
              <w:autoSpaceDE/>
              <w:autoSpaceDN/>
              <w:bidi w:val="0"/>
              <w:snapToGrid/>
              <w:spacing w:before="23" w:afterAutospacing="0" w:line="240" w:lineRule="auto"/>
              <w:ind w:left="113"/>
              <w:jc w:val="both"/>
              <w:textAlignment w:val="auto"/>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3.可实施性：切合本项目实际情况，提出步骤清晰、合理的方案；</w:t>
            </w:r>
          </w:p>
          <w:p w14:paraId="168DA8E4">
            <w:pPr>
              <w:pStyle w:val="48"/>
              <w:keepNext w:val="0"/>
              <w:keepLines w:val="0"/>
              <w:pageBreakBefore w:val="0"/>
              <w:kinsoku/>
              <w:wordWrap/>
              <w:overflowPunct/>
              <w:topLinePunct w:val="0"/>
              <w:autoSpaceDE/>
              <w:autoSpaceDN/>
              <w:bidi w:val="0"/>
              <w:snapToGrid/>
              <w:spacing w:before="23" w:afterAutospacing="0" w:line="240" w:lineRule="auto"/>
              <w:ind w:left="113"/>
              <w:jc w:val="both"/>
              <w:textAlignment w:val="auto"/>
              <w:rPr>
                <w:rFonts w:hint="eastAsia" w:ascii="宋体" w:hAnsi="宋体" w:eastAsia="宋体" w:cs="宋体"/>
                <w:sz w:val="24"/>
                <w:szCs w:val="24"/>
              </w:rPr>
            </w:pPr>
            <w:r>
              <w:rPr>
                <w:rFonts w:hint="eastAsia" w:ascii="宋体" w:hAnsi="宋体" w:eastAsia="宋体" w:cs="宋体"/>
                <w:b/>
                <w:bCs/>
                <w:spacing w:val="-4"/>
                <w:sz w:val="24"/>
                <w:szCs w:val="24"/>
              </w:rPr>
              <w:t>三、赋分标准（满分</w:t>
            </w:r>
            <w:r>
              <w:rPr>
                <w:rFonts w:hint="eastAsia" w:ascii="宋体" w:hAnsi="宋体" w:eastAsia="宋体" w:cs="宋体"/>
                <w:b/>
                <w:bCs/>
                <w:spacing w:val="-4"/>
                <w:sz w:val="24"/>
                <w:szCs w:val="24"/>
                <w:lang w:val="en-US" w:eastAsia="zh-CN"/>
              </w:rPr>
              <w:t>6</w:t>
            </w:r>
            <w:r>
              <w:rPr>
                <w:rFonts w:hint="eastAsia" w:ascii="宋体" w:hAnsi="宋体" w:eastAsia="宋体" w:cs="宋体"/>
                <w:b/>
                <w:bCs/>
                <w:spacing w:val="-4"/>
                <w:sz w:val="24"/>
                <w:szCs w:val="24"/>
              </w:rPr>
              <w:t>分）</w:t>
            </w:r>
          </w:p>
          <w:p w14:paraId="5C172607">
            <w:pPr>
              <w:pStyle w:val="48"/>
              <w:keepNext w:val="0"/>
              <w:keepLines w:val="0"/>
              <w:pageBreakBefore w:val="0"/>
              <w:kinsoku/>
              <w:wordWrap/>
              <w:overflowPunct/>
              <w:topLinePunct w:val="0"/>
              <w:autoSpaceDE/>
              <w:autoSpaceDN/>
              <w:bidi w:val="0"/>
              <w:snapToGrid/>
              <w:spacing w:before="21" w:afterAutospacing="0" w:line="240" w:lineRule="auto"/>
              <w:jc w:val="both"/>
              <w:textAlignment w:val="auto"/>
              <w:rPr>
                <w:rFonts w:hint="eastAsia" w:ascii="宋体" w:hAnsi="宋体" w:eastAsia="宋体" w:cs="宋体"/>
                <w:spacing w:val="-1"/>
                <w:sz w:val="24"/>
                <w:szCs w:val="24"/>
                <w:lang w:val="en-US" w:eastAsia="en-US"/>
              </w:rPr>
            </w:pPr>
            <w:r>
              <w:rPr>
                <w:rFonts w:hint="eastAsia" w:ascii="宋体" w:hAnsi="宋体" w:eastAsia="宋体" w:cs="宋体"/>
                <w:spacing w:val="-1"/>
                <w:sz w:val="24"/>
                <w:szCs w:val="24"/>
                <w:lang w:val="en-US" w:eastAsia="zh-CN"/>
              </w:rPr>
              <w:t>①售后服务承诺</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0.5</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1.5</w:t>
            </w:r>
            <w:r>
              <w:rPr>
                <w:rFonts w:hint="eastAsia" w:ascii="宋体" w:hAnsi="宋体" w:eastAsia="宋体" w:cs="宋体"/>
                <w:spacing w:val="-1"/>
                <w:sz w:val="24"/>
                <w:szCs w:val="24"/>
                <w:lang w:val="en-US" w:eastAsia="en-US"/>
              </w:rPr>
              <w:t>分；</w:t>
            </w:r>
          </w:p>
          <w:p w14:paraId="02417DF6">
            <w:pPr>
              <w:pStyle w:val="48"/>
              <w:keepNext w:val="0"/>
              <w:keepLines w:val="0"/>
              <w:pageBreakBefore w:val="0"/>
              <w:kinsoku/>
              <w:wordWrap/>
              <w:overflowPunct/>
              <w:topLinePunct w:val="0"/>
              <w:autoSpaceDE/>
              <w:autoSpaceDN/>
              <w:bidi w:val="0"/>
              <w:snapToGrid/>
              <w:spacing w:before="21" w:afterAutospacing="0" w:line="240" w:lineRule="auto"/>
              <w:jc w:val="both"/>
              <w:textAlignment w:val="auto"/>
              <w:rPr>
                <w:rFonts w:hint="eastAsia" w:ascii="宋体" w:hAnsi="宋体" w:eastAsia="宋体" w:cs="宋体"/>
                <w:spacing w:val="-1"/>
                <w:sz w:val="24"/>
                <w:szCs w:val="24"/>
                <w:lang w:val="en-US" w:eastAsia="en-US"/>
              </w:rPr>
            </w:pPr>
            <w:r>
              <w:rPr>
                <w:rFonts w:hint="eastAsia" w:ascii="宋体" w:hAnsi="宋体" w:eastAsia="宋体" w:cs="宋体"/>
                <w:spacing w:val="-1"/>
                <w:sz w:val="24"/>
                <w:szCs w:val="24"/>
                <w:lang w:val="en-US" w:eastAsia="zh-CN"/>
              </w:rPr>
              <w:t>②售后服务人员配置</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0.5</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1.5</w:t>
            </w:r>
            <w:r>
              <w:rPr>
                <w:rFonts w:hint="eastAsia" w:ascii="宋体" w:hAnsi="宋体" w:eastAsia="宋体" w:cs="宋体"/>
                <w:spacing w:val="-1"/>
                <w:sz w:val="24"/>
                <w:szCs w:val="24"/>
                <w:lang w:val="en-US" w:eastAsia="en-US"/>
              </w:rPr>
              <w:t>分；</w:t>
            </w:r>
          </w:p>
          <w:p w14:paraId="6458417F">
            <w:pPr>
              <w:pStyle w:val="48"/>
              <w:keepNext w:val="0"/>
              <w:keepLines w:val="0"/>
              <w:pageBreakBefore w:val="0"/>
              <w:kinsoku/>
              <w:wordWrap/>
              <w:overflowPunct/>
              <w:topLinePunct w:val="0"/>
              <w:autoSpaceDE/>
              <w:autoSpaceDN/>
              <w:bidi w:val="0"/>
              <w:snapToGrid/>
              <w:spacing w:before="21" w:afterAutospacing="0" w:line="240" w:lineRule="auto"/>
              <w:jc w:val="both"/>
              <w:textAlignment w:val="auto"/>
              <w:rPr>
                <w:rFonts w:hint="eastAsia" w:ascii="宋体" w:hAnsi="宋体" w:eastAsia="宋体" w:cs="宋体"/>
                <w:spacing w:val="-1"/>
                <w:sz w:val="24"/>
                <w:szCs w:val="24"/>
                <w:lang w:val="en-US" w:eastAsia="en-US"/>
              </w:rPr>
            </w:pPr>
            <w:r>
              <w:rPr>
                <w:rFonts w:hint="eastAsia" w:ascii="宋体" w:hAnsi="宋体" w:eastAsia="宋体" w:cs="宋体"/>
                <w:spacing w:val="-1"/>
                <w:sz w:val="24"/>
                <w:szCs w:val="24"/>
                <w:lang w:val="en-US" w:eastAsia="zh-CN"/>
              </w:rPr>
              <w:t>③服务响应时间</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0.5</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1.5</w:t>
            </w:r>
            <w:r>
              <w:rPr>
                <w:rFonts w:hint="eastAsia" w:ascii="宋体" w:hAnsi="宋体" w:eastAsia="宋体" w:cs="宋体"/>
                <w:spacing w:val="-1"/>
                <w:sz w:val="24"/>
                <w:szCs w:val="24"/>
                <w:lang w:val="en-US" w:eastAsia="en-US"/>
              </w:rPr>
              <w:t>分；</w:t>
            </w:r>
          </w:p>
          <w:p w14:paraId="0D65BC5F">
            <w:pPr>
              <w:pStyle w:val="48"/>
              <w:keepNext w:val="0"/>
              <w:keepLines w:val="0"/>
              <w:pageBreakBefore w:val="0"/>
              <w:kinsoku/>
              <w:wordWrap/>
              <w:overflowPunct/>
              <w:topLinePunct w:val="0"/>
              <w:autoSpaceDE/>
              <w:autoSpaceDN/>
              <w:bidi w:val="0"/>
              <w:snapToGrid/>
              <w:spacing w:before="21" w:afterAutospacing="0" w:line="240" w:lineRule="auto"/>
              <w:jc w:val="both"/>
              <w:textAlignment w:val="auto"/>
              <w:rPr>
                <w:rFonts w:hint="eastAsia" w:ascii="宋体" w:hAnsi="宋体" w:eastAsia="宋体" w:cs="宋体"/>
                <w:sz w:val="24"/>
                <w:szCs w:val="24"/>
                <w:lang w:val="en-US" w:eastAsia="zh-CN"/>
              </w:rPr>
            </w:pPr>
            <w:r>
              <w:rPr>
                <w:rFonts w:hint="eastAsia" w:ascii="宋体" w:hAnsi="宋体" w:eastAsia="宋体" w:cs="宋体"/>
                <w:spacing w:val="-1"/>
                <w:sz w:val="24"/>
                <w:szCs w:val="24"/>
                <w:lang w:val="en-US" w:eastAsia="zh-CN"/>
              </w:rPr>
              <w:t>④故障处理机制</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0.5</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1.5</w:t>
            </w:r>
            <w:r>
              <w:rPr>
                <w:rFonts w:hint="eastAsia" w:ascii="宋体" w:hAnsi="宋体" w:eastAsia="宋体" w:cs="宋体"/>
                <w:spacing w:val="-1"/>
                <w:sz w:val="24"/>
                <w:szCs w:val="24"/>
                <w:lang w:val="en-US" w:eastAsia="en-US"/>
              </w:rPr>
              <w:t>分；</w:t>
            </w:r>
          </w:p>
        </w:tc>
      </w:tr>
      <w:tr w14:paraId="047A3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14:paraId="184000A1">
            <w:pPr>
              <w:adjustRightInd w:val="0"/>
              <w:snapToGrid w:val="0"/>
              <w:spacing w:line="360" w:lineRule="auto"/>
              <w:contextualSpacing/>
              <w:jc w:val="center"/>
              <w:rPr>
                <w:rFonts w:hint="eastAsia" w:ascii="宋体" w:hAnsi="宋体" w:eastAsia="宋体" w:cs="宋体"/>
                <w:b/>
                <w:bCs/>
                <w:sz w:val="24"/>
                <w:szCs w:val="24"/>
              </w:rPr>
            </w:pPr>
            <w:r>
              <w:rPr>
                <w:rFonts w:hint="eastAsia" w:ascii="宋体" w:hAnsi="宋体" w:eastAsia="宋体" w:cs="宋体"/>
                <w:b/>
                <w:bCs/>
                <w:sz w:val="24"/>
                <w:szCs w:val="24"/>
              </w:rPr>
              <w:t>培训服务方案</w:t>
            </w:r>
          </w:p>
        </w:tc>
        <w:tc>
          <w:tcPr>
            <w:tcW w:w="972" w:type="dxa"/>
            <w:noWrap w:val="0"/>
            <w:vAlign w:val="center"/>
          </w:tcPr>
          <w:p w14:paraId="07719924">
            <w:pPr>
              <w:adjustRightInd w:val="0"/>
              <w:snapToGrid w:val="0"/>
              <w:spacing w:line="360" w:lineRule="auto"/>
              <w:contextualSpacing/>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rPr>
              <w:t>6</w:t>
            </w:r>
            <w:r>
              <w:rPr>
                <w:rFonts w:hint="eastAsia" w:ascii="宋体" w:hAnsi="宋体" w:eastAsia="宋体" w:cs="宋体"/>
                <w:b/>
                <w:bCs/>
                <w:sz w:val="24"/>
                <w:szCs w:val="24"/>
                <w:lang w:val="en-US" w:eastAsia="zh-CN"/>
              </w:rPr>
              <w:t>分</w:t>
            </w:r>
          </w:p>
        </w:tc>
        <w:tc>
          <w:tcPr>
            <w:tcW w:w="960" w:type="dxa"/>
            <w:noWrap w:val="0"/>
            <w:vAlign w:val="center"/>
          </w:tcPr>
          <w:p w14:paraId="58F87EDA">
            <w:pPr>
              <w:adjustRightInd w:val="0"/>
              <w:snapToGrid w:val="0"/>
              <w:spacing w:line="360" w:lineRule="auto"/>
              <w:contextualSpacing/>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主观</w:t>
            </w:r>
          </w:p>
        </w:tc>
        <w:tc>
          <w:tcPr>
            <w:tcW w:w="5817" w:type="dxa"/>
            <w:noWrap w:val="0"/>
            <w:vAlign w:val="top"/>
          </w:tcPr>
          <w:p w14:paraId="1B892187">
            <w:pPr>
              <w:pStyle w:val="48"/>
              <w:keepNext w:val="0"/>
              <w:keepLines w:val="0"/>
              <w:pageBreakBefore w:val="0"/>
              <w:kinsoku/>
              <w:wordWrap/>
              <w:overflowPunct/>
              <w:topLinePunct w:val="0"/>
              <w:autoSpaceDE/>
              <w:autoSpaceDN/>
              <w:bidi w:val="0"/>
              <w:snapToGrid/>
              <w:spacing w:before="39" w:afterAutospacing="0" w:line="240" w:lineRule="auto"/>
              <w:ind w:left="122"/>
              <w:jc w:val="both"/>
              <w:textAlignment w:val="auto"/>
              <w:rPr>
                <w:rFonts w:hint="eastAsia" w:ascii="宋体" w:hAnsi="宋体" w:eastAsia="宋体" w:cs="宋体"/>
                <w:sz w:val="24"/>
                <w:szCs w:val="24"/>
              </w:rPr>
            </w:pPr>
            <w:r>
              <w:rPr>
                <w:rFonts w:hint="eastAsia" w:ascii="宋体" w:hAnsi="宋体" w:eastAsia="宋体" w:cs="宋体"/>
                <w:b/>
                <w:bCs/>
                <w:spacing w:val="-4"/>
                <w:sz w:val="24"/>
                <w:szCs w:val="24"/>
              </w:rPr>
              <w:t>一、评审内容</w:t>
            </w:r>
          </w:p>
          <w:p w14:paraId="5FB0825B">
            <w:pPr>
              <w:keepNext w:val="0"/>
              <w:keepLines w:val="0"/>
              <w:pageBreakBefore w:val="0"/>
              <w:kinsoku/>
              <w:wordWrap/>
              <w:overflowPunct/>
              <w:topLinePunct w:val="0"/>
              <w:autoSpaceDE/>
              <w:autoSpaceDN/>
              <w:bidi w:val="0"/>
              <w:snapToGrid/>
              <w:spacing w:before="24" w:afterAutospacing="0" w:line="240" w:lineRule="auto"/>
              <w:ind w:left="120" w:firstLine="476" w:firstLineChars="200"/>
              <w:jc w:val="both"/>
              <w:textAlignment w:val="auto"/>
              <w:rPr>
                <w:rFonts w:hint="eastAsia" w:ascii="宋体" w:hAnsi="宋体" w:eastAsia="宋体" w:cs="宋体"/>
                <w:sz w:val="24"/>
                <w:szCs w:val="24"/>
              </w:rPr>
            </w:pPr>
            <w:r>
              <w:rPr>
                <w:rFonts w:hint="eastAsia" w:ascii="宋体" w:hAnsi="宋体" w:eastAsia="宋体" w:cs="宋体"/>
                <w:spacing w:val="-1"/>
                <w:sz w:val="24"/>
                <w:szCs w:val="24"/>
                <w:lang w:val="en-US" w:eastAsia="zh-CN"/>
              </w:rPr>
              <w:t>供应商</w:t>
            </w:r>
            <w:r>
              <w:rPr>
                <w:rFonts w:hint="eastAsia" w:ascii="宋体" w:hAnsi="宋体" w:eastAsia="宋体" w:cs="宋体"/>
                <w:spacing w:val="-1"/>
                <w:sz w:val="24"/>
                <w:szCs w:val="24"/>
              </w:rPr>
              <w:t>须结合本项目实际需求，提供</w:t>
            </w:r>
            <w:r>
              <w:rPr>
                <w:rFonts w:hint="eastAsia" w:ascii="宋体" w:hAnsi="宋体" w:eastAsia="宋体" w:cs="宋体"/>
                <w:spacing w:val="-1"/>
                <w:sz w:val="24"/>
                <w:szCs w:val="24"/>
                <w:lang w:val="en-US" w:eastAsia="zh-CN"/>
              </w:rPr>
              <w:t>详细的培训服务方案</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包括但不限于：①培训目标</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②培训计划；③培训方式</w:t>
            </w:r>
            <w:r>
              <w:rPr>
                <w:rFonts w:hint="eastAsia" w:ascii="宋体" w:hAnsi="宋体" w:eastAsia="宋体" w:cs="宋体"/>
                <w:spacing w:val="-1"/>
                <w:sz w:val="24"/>
                <w:szCs w:val="24"/>
                <w:lang w:eastAsia="zh-CN"/>
              </w:rPr>
              <w:t>；</w:t>
            </w:r>
            <w:r>
              <w:rPr>
                <w:rFonts w:hint="eastAsia" w:ascii="宋体" w:hAnsi="宋体" w:eastAsia="宋体" w:cs="宋体"/>
                <w:spacing w:val="-1"/>
                <w:sz w:val="24"/>
                <w:szCs w:val="24"/>
                <w:lang w:val="en-US" w:eastAsia="zh-CN"/>
              </w:rPr>
              <w:t>④培训保障</w:t>
            </w:r>
            <w:r>
              <w:rPr>
                <w:rFonts w:hint="eastAsia" w:ascii="宋体" w:hAnsi="宋体" w:eastAsia="宋体" w:cs="宋体"/>
                <w:spacing w:val="-1"/>
                <w:sz w:val="24"/>
                <w:szCs w:val="24"/>
              </w:rPr>
              <w:t>。</w:t>
            </w:r>
          </w:p>
          <w:p w14:paraId="48DA7A66">
            <w:pPr>
              <w:pStyle w:val="48"/>
              <w:keepNext w:val="0"/>
              <w:keepLines w:val="0"/>
              <w:pageBreakBefore w:val="0"/>
              <w:kinsoku/>
              <w:wordWrap/>
              <w:overflowPunct/>
              <w:topLinePunct w:val="0"/>
              <w:autoSpaceDE/>
              <w:autoSpaceDN/>
              <w:bidi w:val="0"/>
              <w:snapToGrid/>
              <w:spacing w:before="22" w:afterAutospacing="0" w:line="240" w:lineRule="auto"/>
              <w:ind w:left="122"/>
              <w:jc w:val="both"/>
              <w:textAlignment w:val="auto"/>
              <w:rPr>
                <w:rFonts w:hint="eastAsia" w:ascii="宋体" w:hAnsi="宋体" w:eastAsia="宋体" w:cs="宋体"/>
                <w:sz w:val="24"/>
                <w:szCs w:val="24"/>
              </w:rPr>
            </w:pPr>
            <w:r>
              <w:rPr>
                <w:rFonts w:hint="eastAsia" w:ascii="宋体" w:hAnsi="宋体" w:eastAsia="宋体" w:cs="宋体"/>
                <w:b/>
                <w:bCs/>
                <w:spacing w:val="-4"/>
                <w:sz w:val="24"/>
                <w:szCs w:val="24"/>
              </w:rPr>
              <w:t>二、评审标准</w:t>
            </w:r>
          </w:p>
          <w:p w14:paraId="2228A1EE">
            <w:pPr>
              <w:keepNext w:val="0"/>
              <w:keepLines w:val="0"/>
              <w:pageBreakBefore w:val="0"/>
              <w:kinsoku/>
              <w:wordWrap/>
              <w:overflowPunct/>
              <w:topLinePunct w:val="0"/>
              <w:autoSpaceDE/>
              <w:autoSpaceDN/>
              <w:bidi w:val="0"/>
              <w:snapToGrid/>
              <w:spacing w:before="26" w:afterAutospacing="0" w:line="240" w:lineRule="auto"/>
              <w:ind w:left="132"/>
              <w:jc w:val="both"/>
              <w:textAlignment w:val="auto"/>
              <w:rPr>
                <w:rFonts w:hint="eastAsia" w:ascii="宋体" w:hAnsi="宋体" w:eastAsia="宋体" w:cs="宋体"/>
                <w:sz w:val="24"/>
                <w:szCs w:val="24"/>
                <w:lang w:eastAsia="zh-CN"/>
              </w:rPr>
            </w:pPr>
            <w:r>
              <w:rPr>
                <w:rFonts w:hint="eastAsia" w:ascii="宋体" w:hAnsi="宋体" w:eastAsia="宋体" w:cs="宋体"/>
                <w:spacing w:val="-5"/>
                <w:sz w:val="24"/>
                <w:szCs w:val="24"/>
              </w:rPr>
              <w:t>1.完整性：</w:t>
            </w:r>
            <w:r>
              <w:rPr>
                <w:rFonts w:hint="eastAsia" w:ascii="宋体" w:hAnsi="宋体" w:eastAsia="宋体" w:cs="宋体"/>
                <w:spacing w:val="-5"/>
                <w:sz w:val="24"/>
                <w:szCs w:val="24"/>
                <w:lang w:val="en-US" w:eastAsia="zh-CN"/>
              </w:rPr>
              <w:t>方案必须全面，对评审内容中的各项要求详细描述</w:t>
            </w:r>
            <w:r>
              <w:rPr>
                <w:rFonts w:hint="eastAsia" w:ascii="宋体" w:hAnsi="宋体" w:eastAsia="宋体" w:cs="宋体"/>
                <w:spacing w:val="-5"/>
                <w:sz w:val="24"/>
                <w:szCs w:val="24"/>
                <w:lang w:eastAsia="zh-CN"/>
              </w:rPr>
              <w:t>。</w:t>
            </w:r>
          </w:p>
          <w:p w14:paraId="7FA3EB4B">
            <w:pPr>
              <w:keepNext w:val="0"/>
              <w:keepLines w:val="0"/>
              <w:pageBreakBefore w:val="0"/>
              <w:kinsoku/>
              <w:wordWrap/>
              <w:overflowPunct/>
              <w:topLinePunct w:val="0"/>
              <w:autoSpaceDE/>
              <w:autoSpaceDN/>
              <w:bidi w:val="0"/>
              <w:snapToGrid/>
              <w:spacing w:before="26" w:afterAutospacing="0" w:line="240" w:lineRule="auto"/>
              <w:ind w:left="109"/>
              <w:jc w:val="both"/>
              <w:textAlignment w:val="auto"/>
              <w:rPr>
                <w:rFonts w:hint="eastAsia" w:ascii="宋体" w:hAnsi="宋体" w:eastAsia="宋体" w:cs="宋体"/>
                <w:spacing w:val="-1"/>
                <w:sz w:val="24"/>
                <w:szCs w:val="24"/>
              </w:rPr>
            </w:pPr>
            <w:r>
              <w:rPr>
                <w:rFonts w:hint="eastAsia" w:ascii="宋体" w:hAnsi="宋体" w:eastAsia="宋体" w:cs="宋体"/>
                <w:sz w:val="24"/>
                <w:szCs w:val="24"/>
              </w:rPr>
              <w:t>2.针对性：方案能够紧扣项目实际情况，</w:t>
            </w:r>
            <w:r>
              <w:rPr>
                <w:rFonts w:hint="eastAsia" w:ascii="宋体" w:hAnsi="宋体" w:eastAsia="宋体" w:cs="宋体"/>
                <w:spacing w:val="-1"/>
                <w:sz w:val="24"/>
                <w:szCs w:val="24"/>
              </w:rPr>
              <w:t>内容科学合理。</w:t>
            </w:r>
          </w:p>
          <w:p w14:paraId="05645E30">
            <w:pPr>
              <w:keepNext w:val="0"/>
              <w:keepLines w:val="0"/>
              <w:pageBreakBefore w:val="0"/>
              <w:kinsoku/>
              <w:wordWrap/>
              <w:overflowPunct/>
              <w:topLinePunct w:val="0"/>
              <w:autoSpaceDE/>
              <w:autoSpaceDN/>
              <w:bidi w:val="0"/>
              <w:snapToGrid/>
              <w:spacing w:before="26" w:afterAutospacing="0" w:line="240" w:lineRule="auto"/>
              <w:ind w:left="114"/>
              <w:jc w:val="both"/>
              <w:textAlignment w:val="auto"/>
              <w:rPr>
                <w:rFonts w:hint="eastAsia" w:ascii="宋体" w:hAnsi="宋体" w:eastAsia="宋体" w:cs="宋体"/>
                <w:sz w:val="24"/>
                <w:szCs w:val="24"/>
              </w:rPr>
            </w:pPr>
            <w:r>
              <w:rPr>
                <w:rFonts w:hint="eastAsia" w:ascii="宋体" w:hAnsi="宋体" w:eastAsia="宋体" w:cs="宋体"/>
                <w:spacing w:val="-1"/>
                <w:sz w:val="24"/>
                <w:szCs w:val="24"/>
                <w:lang w:val="en-US" w:eastAsia="zh-CN"/>
              </w:rPr>
              <w:t>3.可实施性：切合本项目实际情况，提出步骤清晰、合理的方案；</w:t>
            </w:r>
          </w:p>
          <w:p w14:paraId="28FD54CE">
            <w:pPr>
              <w:pStyle w:val="48"/>
              <w:keepNext w:val="0"/>
              <w:keepLines w:val="0"/>
              <w:pageBreakBefore w:val="0"/>
              <w:kinsoku/>
              <w:wordWrap/>
              <w:overflowPunct/>
              <w:topLinePunct w:val="0"/>
              <w:autoSpaceDE/>
              <w:autoSpaceDN/>
              <w:bidi w:val="0"/>
              <w:snapToGrid/>
              <w:spacing w:before="26" w:afterAutospacing="0" w:line="240" w:lineRule="auto"/>
              <w:ind w:left="118"/>
              <w:jc w:val="both"/>
              <w:textAlignment w:val="auto"/>
              <w:rPr>
                <w:rFonts w:hint="eastAsia" w:ascii="宋体" w:hAnsi="宋体" w:eastAsia="宋体" w:cs="宋体"/>
                <w:sz w:val="24"/>
                <w:szCs w:val="24"/>
              </w:rPr>
            </w:pPr>
            <w:r>
              <w:rPr>
                <w:rFonts w:hint="eastAsia" w:ascii="宋体" w:hAnsi="宋体" w:eastAsia="宋体" w:cs="宋体"/>
                <w:b/>
                <w:bCs/>
                <w:spacing w:val="-3"/>
                <w:sz w:val="24"/>
                <w:szCs w:val="24"/>
              </w:rPr>
              <w:t>三、赋分标准（满分</w:t>
            </w:r>
            <w:r>
              <w:rPr>
                <w:rFonts w:hint="eastAsia" w:ascii="宋体" w:hAnsi="宋体" w:eastAsia="宋体" w:cs="宋体"/>
                <w:b/>
                <w:bCs/>
                <w:spacing w:val="-3"/>
                <w:sz w:val="24"/>
                <w:szCs w:val="24"/>
                <w:lang w:val="en-US" w:eastAsia="zh-CN"/>
              </w:rPr>
              <w:t>6</w:t>
            </w:r>
            <w:r>
              <w:rPr>
                <w:rFonts w:hint="eastAsia" w:ascii="宋体" w:hAnsi="宋体" w:eastAsia="宋体" w:cs="宋体"/>
                <w:b/>
                <w:bCs/>
                <w:spacing w:val="-3"/>
                <w:sz w:val="24"/>
                <w:szCs w:val="24"/>
              </w:rPr>
              <w:t>分）</w:t>
            </w:r>
          </w:p>
          <w:p w14:paraId="6D4296B7">
            <w:pPr>
              <w:keepNext w:val="0"/>
              <w:keepLines w:val="0"/>
              <w:pageBreakBefore w:val="0"/>
              <w:kinsoku/>
              <w:wordWrap/>
              <w:overflowPunct/>
              <w:topLinePunct w:val="0"/>
              <w:autoSpaceDE/>
              <w:autoSpaceDN/>
              <w:bidi w:val="0"/>
              <w:snapToGrid/>
              <w:spacing w:before="24" w:afterAutospacing="0" w:line="240" w:lineRule="auto"/>
              <w:ind w:left="120"/>
              <w:jc w:val="both"/>
              <w:textAlignment w:val="auto"/>
              <w:rPr>
                <w:rFonts w:hint="eastAsia" w:ascii="宋体" w:hAnsi="宋体" w:eastAsia="宋体" w:cs="宋体"/>
                <w:spacing w:val="-1"/>
                <w:sz w:val="24"/>
                <w:szCs w:val="24"/>
                <w:lang w:val="en-US" w:eastAsia="en-US"/>
              </w:rPr>
            </w:pPr>
            <w:r>
              <w:rPr>
                <w:rFonts w:hint="eastAsia" w:ascii="宋体" w:hAnsi="宋体" w:eastAsia="宋体" w:cs="宋体"/>
                <w:spacing w:val="-1"/>
                <w:sz w:val="24"/>
                <w:szCs w:val="24"/>
                <w:lang w:val="en-US" w:eastAsia="zh-CN"/>
              </w:rPr>
              <w:t>①培训目标</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0.5</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1.5</w:t>
            </w:r>
            <w:r>
              <w:rPr>
                <w:rFonts w:hint="eastAsia" w:ascii="宋体" w:hAnsi="宋体" w:eastAsia="宋体" w:cs="宋体"/>
                <w:spacing w:val="-1"/>
                <w:sz w:val="24"/>
                <w:szCs w:val="24"/>
                <w:lang w:val="en-US" w:eastAsia="en-US"/>
              </w:rPr>
              <w:t>分；</w:t>
            </w:r>
          </w:p>
          <w:p w14:paraId="4C4D7F51">
            <w:pPr>
              <w:keepNext w:val="0"/>
              <w:keepLines w:val="0"/>
              <w:pageBreakBefore w:val="0"/>
              <w:kinsoku/>
              <w:wordWrap/>
              <w:overflowPunct/>
              <w:topLinePunct w:val="0"/>
              <w:autoSpaceDE/>
              <w:autoSpaceDN/>
              <w:bidi w:val="0"/>
              <w:snapToGrid/>
              <w:spacing w:before="24" w:afterAutospacing="0" w:line="240" w:lineRule="auto"/>
              <w:ind w:left="120"/>
              <w:jc w:val="both"/>
              <w:textAlignment w:val="auto"/>
              <w:rPr>
                <w:rFonts w:hint="eastAsia" w:ascii="宋体" w:hAnsi="宋体" w:eastAsia="宋体" w:cs="宋体"/>
                <w:spacing w:val="-1"/>
                <w:sz w:val="24"/>
                <w:szCs w:val="24"/>
                <w:lang w:val="en-US" w:eastAsia="en-US"/>
              </w:rPr>
            </w:pPr>
            <w:r>
              <w:rPr>
                <w:rFonts w:hint="eastAsia" w:ascii="宋体" w:hAnsi="宋体" w:eastAsia="宋体" w:cs="宋体"/>
                <w:spacing w:val="-1"/>
                <w:sz w:val="24"/>
                <w:szCs w:val="24"/>
                <w:lang w:val="en-US" w:eastAsia="zh-CN"/>
              </w:rPr>
              <w:t>②培训计划</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0.5</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1.5</w:t>
            </w:r>
            <w:r>
              <w:rPr>
                <w:rFonts w:hint="eastAsia" w:ascii="宋体" w:hAnsi="宋体" w:eastAsia="宋体" w:cs="宋体"/>
                <w:spacing w:val="-1"/>
                <w:sz w:val="24"/>
                <w:szCs w:val="24"/>
                <w:lang w:val="en-US" w:eastAsia="en-US"/>
              </w:rPr>
              <w:t>分；</w:t>
            </w:r>
          </w:p>
          <w:p w14:paraId="4560E680">
            <w:pPr>
              <w:keepNext w:val="0"/>
              <w:keepLines w:val="0"/>
              <w:pageBreakBefore w:val="0"/>
              <w:kinsoku/>
              <w:wordWrap/>
              <w:overflowPunct/>
              <w:topLinePunct w:val="0"/>
              <w:autoSpaceDE/>
              <w:autoSpaceDN/>
              <w:bidi w:val="0"/>
              <w:snapToGrid/>
              <w:spacing w:before="24" w:afterAutospacing="0" w:line="240" w:lineRule="auto"/>
              <w:ind w:left="120"/>
              <w:jc w:val="both"/>
              <w:textAlignment w:val="auto"/>
              <w:rPr>
                <w:rFonts w:hint="eastAsia" w:ascii="宋体" w:hAnsi="宋体" w:eastAsia="宋体" w:cs="宋体"/>
                <w:spacing w:val="-1"/>
                <w:sz w:val="24"/>
                <w:szCs w:val="24"/>
                <w:lang w:val="en-US" w:eastAsia="en-US"/>
              </w:rPr>
            </w:pPr>
            <w:r>
              <w:rPr>
                <w:rFonts w:hint="eastAsia" w:ascii="宋体" w:hAnsi="宋体" w:eastAsia="宋体" w:cs="宋体"/>
                <w:spacing w:val="-1"/>
                <w:sz w:val="24"/>
                <w:szCs w:val="24"/>
                <w:lang w:val="en-US" w:eastAsia="zh-CN"/>
              </w:rPr>
              <w:t>③培训方式</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0.5</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1.5</w:t>
            </w:r>
            <w:r>
              <w:rPr>
                <w:rFonts w:hint="eastAsia" w:ascii="宋体" w:hAnsi="宋体" w:eastAsia="宋体" w:cs="宋体"/>
                <w:spacing w:val="-1"/>
                <w:sz w:val="24"/>
                <w:szCs w:val="24"/>
                <w:lang w:val="en-US" w:eastAsia="en-US"/>
              </w:rPr>
              <w:t>分；</w:t>
            </w:r>
          </w:p>
          <w:p w14:paraId="6BEA63F2">
            <w:pPr>
              <w:keepNext w:val="0"/>
              <w:keepLines w:val="0"/>
              <w:pageBreakBefore w:val="0"/>
              <w:kinsoku/>
              <w:wordWrap/>
              <w:overflowPunct/>
              <w:topLinePunct w:val="0"/>
              <w:autoSpaceDE/>
              <w:autoSpaceDN/>
              <w:bidi w:val="0"/>
              <w:snapToGrid/>
              <w:spacing w:before="24" w:afterAutospacing="0" w:line="240" w:lineRule="auto"/>
              <w:ind w:left="120"/>
              <w:jc w:val="both"/>
              <w:textAlignment w:val="auto"/>
              <w:rPr>
                <w:rFonts w:hint="eastAsia" w:ascii="宋体" w:hAnsi="宋体" w:eastAsia="宋体" w:cs="宋体"/>
                <w:spacing w:val="-8"/>
                <w:sz w:val="24"/>
                <w:szCs w:val="24"/>
              </w:rPr>
            </w:pPr>
            <w:r>
              <w:rPr>
                <w:rFonts w:hint="eastAsia" w:ascii="宋体" w:hAnsi="宋体" w:eastAsia="宋体" w:cs="宋体"/>
                <w:spacing w:val="-1"/>
                <w:sz w:val="24"/>
                <w:szCs w:val="24"/>
                <w:lang w:val="en-US" w:eastAsia="zh-CN"/>
              </w:rPr>
              <w:t>④培训保障</w:t>
            </w:r>
            <w:r>
              <w:rPr>
                <w:rFonts w:hint="eastAsia" w:ascii="宋体" w:hAnsi="宋体" w:eastAsia="宋体" w:cs="宋体"/>
                <w:spacing w:val="-1"/>
                <w:sz w:val="24"/>
                <w:szCs w:val="24"/>
                <w:lang w:val="en-US" w:eastAsia="en-US"/>
              </w:rPr>
              <w:t>：每完全满足1项评审标准得</w:t>
            </w:r>
            <w:r>
              <w:rPr>
                <w:rFonts w:hint="eastAsia" w:ascii="宋体" w:hAnsi="宋体" w:eastAsia="宋体" w:cs="宋体"/>
                <w:spacing w:val="-1"/>
                <w:sz w:val="24"/>
                <w:szCs w:val="24"/>
                <w:lang w:val="en-US" w:eastAsia="zh-CN"/>
              </w:rPr>
              <w:t>0.5</w:t>
            </w:r>
            <w:r>
              <w:rPr>
                <w:rFonts w:hint="eastAsia" w:ascii="宋体" w:hAnsi="宋体" w:eastAsia="宋体" w:cs="宋体"/>
                <w:spacing w:val="-1"/>
                <w:sz w:val="24"/>
                <w:szCs w:val="24"/>
                <w:lang w:val="en-US" w:eastAsia="en-US"/>
              </w:rPr>
              <w:t>分，满分得</w:t>
            </w:r>
            <w:r>
              <w:rPr>
                <w:rFonts w:hint="eastAsia" w:ascii="宋体" w:hAnsi="宋体" w:eastAsia="宋体" w:cs="宋体"/>
                <w:spacing w:val="-1"/>
                <w:sz w:val="24"/>
                <w:szCs w:val="24"/>
                <w:lang w:val="en-US" w:eastAsia="zh-CN"/>
              </w:rPr>
              <w:t>1.5</w:t>
            </w:r>
            <w:r>
              <w:rPr>
                <w:rFonts w:hint="eastAsia" w:ascii="宋体" w:hAnsi="宋体" w:eastAsia="宋体" w:cs="宋体"/>
                <w:spacing w:val="-1"/>
                <w:sz w:val="24"/>
                <w:szCs w:val="24"/>
                <w:lang w:val="en-US" w:eastAsia="en-US"/>
              </w:rPr>
              <w:t>分；</w:t>
            </w:r>
          </w:p>
        </w:tc>
      </w:tr>
      <w:tr w14:paraId="1478B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14:paraId="2E3AABC6">
            <w:pPr>
              <w:adjustRightInd w:val="0"/>
              <w:snapToGrid w:val="0"/>
              <w:spacing w:line="360" w:lineRule="auto"/>
              <w:contextualSpacing/>
              <w:jc w:val="center"/>
              <w:rPr>
                <w:rFonts w:hint="eastAsia" w:ascii="宋体" w:hAnsi="宋体" w:eastAsia="宋体" w:cs="宋体"/>
                <w:b/>
                <w:bCs/>
                <w:sz w:val="24"/>
                <w:szCs w:val="24"/>
              </w:rPr>
            </w:pPr>
            <w:r>
              <w:rPr>
                <w:rFonts w:hint="eastAsia" w:ascii="宋体" w:hAnsi="宋体" w:eastAsia="宋体" w:cs="宋体"/>
                <w:b/>
                <w:bCs/>
                <w:sz w:val="24"/>
                <w:szCs w:val="24"/>
              </w:rPr>
              <w:t>现场</w:t>
            </w:r>
          </w:p>
          <w:p w14:paraId="1FA181A5">
            <w:pPr>
              <w:adjustRightInd w:val="0"/>
              <w:snapToGrid w:val="0"/>
              <w:spacing w:line="360" w:lineRule="auto"/>
              <w:contextualSpacing/>
              <w:jc w:val="center"/>
              <w:rPr>
                <w:rFonts w:hint="eastAsia" w:ascii="宋体" w:hAnsi="宋体" w:eastAsia="宋体" w:cs="宋体"/>
                <w:b/>
                <w:bCs/>
                <w:sz w:val="24"/>
                <w:szCs w:val="24"/>
              </w:rPr>
            </w:pPr>
            <w:r>
              <w:rPr>
                <w:rFonts w:hint="eastAsia" w:ascii="宋体" w:hAnsi="宋体" w:eastAsia="宋体" w:cs="宋体"/>
                <w:b/>
                <w:bCs/>
                <w:sz w:val="24"/>
                <w:szCs w:val="24"/>
              </w:rPr>
              <w:t>演示</w:t>
            </w:r>
          </w:p>
        </w:tc>
        <w:tc>
          <w:tcPr>
            <w:tcW w:w="972" w:type="dxa"/>
            <w:noWrap w:val="0"/>
            <w:vAlign w:val="center"/>
          </w:tcPr>
          <w:p w14:paraId="4E7D3205">
            <w:pPr>
              <w:adjustRightInd w:val="0"/>
              <w:snapToGrid w:val="0"/>
              <w:spacing w:line="360" w:lineRule="auto"/>
              <w:contextualSpacing/>
              <w:jc w:val="center"/>
              <w:rPr>
                <w:rFonts w:hint="default" w:ascii="宋体" w:hAnsi="宋体" w:eastAsia="宋体" w:cs="宋体"/>
                <w:b/>
                <w:bCs/>
                <w:sz w:val="24"/>
                <w:szCs w:val="24"/>
                <w:lang w:val="en-US"/>
              </w:rPr>
            </w:pPr>
            <w:r>
              <w:rPr>
                <w:rFonts w:hint="eastAsia" w:ascii="宋体" w:hAnsi="宋体" w:eastAsia="宋体" w:cs="宋体"/>
                <w:b/>
                <w:bCs/>
                <w:sz w:val="24"/>
                <w:szCs w:val="24"/>
                <w:lang w:val="en-US" w:eastAsia="zh-CN"/>
              </w:rPr>
              <w:t>20分</w:t>
            </w:r>
          </w:p>
        </w:tc>
        <w:tc>
          <w:tcPr>
            <w:tcW w:w="960" w:type="dxa"/>
            <w:noWrap w:val="0"/>
            <w:vAlign w:val="center"/>
          </w:tcPr>
          <w:p w14:paraId="1FD044F0">
            <w:pPr>
              <w:adjustRightInd w:val="0"/>
              <w:snapToGrid w:val="0"/>
              <w:spacing w:line="360" w:lineRule="auto"/>
              <w:contextualSpacing/>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客观</w:t>
            </w:r>
          </w:p>
        </w:tc>
        <w:tc>
          <w:tcPr>
            <w:tcW w:w="5817" w:type="dxa"/>
            <w:noWrap w:val="0"/>
            <w:vAlign w:val="top"/>
          </w:tcPr>
          <w:p w14:paraId="64D38FAD">
            <w:pPr>
              <w:keepNext w:val="0"/>
              <w:keepLines w:val="0"/>
              <w:pageBreakBefore w:val="0"/>
              <w:widowControl/>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演示必须是真实系统，原型或PPT、视频等替代不得分，本项演示最高得20分，每一条最高得2分，评标委员会可根据各投标人演示的各项功能进行横向对比综合评审。</w:t>
            </w:r>
          </w:p>
          <w:p w14:paraId="716D1F10">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zh-CN" w:eastAsia="zh-CN" w:bidi="ar-SA"/>
              </w:rPr>
              <w:t>演示设备：</w:t>
            </w:r>
            <w:r>
              <w:rPr>
                <w:rFonts w:hint="eastAsia" w:ascii="宋体" w:hAnsi="宋体" w:eastAsia="宋体" w:cs="宋体"/>
                <w:kern w:val="2"/>
                <w:sz w:val="24"/>
                <w:szCs w:val="24"/>
                <w:lang w:val="en-US" w:eastAsia="zh-CN" w:bidi="ar-SA"/>
              </w:rPr>
              <w:t>演示所需设备由投标人自行准备。</w:t>
            </w:r>
          </w:p>
          <w:p w14:paraId="5A101E3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zh-CN" w:eastAsia="zh-CN" w:bidi="ar-SA"/>
              </w:rPr>
              <w:t>演示时间：每个投标人演示开始前的调试准备时间不超过1</w:t>
            </w:r>
            <w:r>
              <w:rPr>
                <w:rFonts w:hint="eastAsia" w:ascii="宋体" w:hAnsi="宋体" w:eastAsia="宋体" w:cs="宋体"/>
                <w:kern w:val="2"/>
                <w:sz w:val="24"/>
                <w:szCs w:val="24"/>
                <w:lang w:val="en-US" w:eastAsia="zh-CN" w:bidi="ar-SA"/>
              </w:rPr>
              <w:t>0</w:t>
            </w:r>
            <w:r>
              <w:rPr>
                <w:rFonts w:hint="eastAsia" w:ascii="宋体" w:hAnsi="宋体" w:eastAsia="宋体" w:cs="宋体"/>
                <w:kern w:val="2"/>
                <w:sz w:val="24"/>
                <w:szCs w:val="24"/>
                <w:lang w:val="zh-CN" w:eastAsia="zh-CN" w:bidi="ar-SA"/>
              </w:rPr>
              <w:t>分钟，演示时间不超过</w:t>
            </w:r>
            <w:r>
              <w:rPr>
                <w:rFonts w:hint="eastAsia" w:ascii="宋体" w:hAnsi="宋体" w:eastAsia="宋体" w:cs="宋体"/>
                <w:kern w:val="2"/>
                <w:sz w:val="24"/>
                <w:szCs w:val="24"/>
                <w:lang w:val="en-US" w:eastAsia="zh-CN" w:bidi="ar-SA"/>
              </w:rPr>
              <w:t>20</w:t>
            </w:r>
            <w:r>
              <w:rPr>
                <w:rFonts w:hint="eastAsia" w:ascii="宋体" w:hAnsi="宋体" w:eastAsia="宋体" w:cs="宋体"/>
                <w:kern w:val="2"/>
                <w:sz w:val="24"/>
                <w:szCs w:val="24"/>
                <w:lang w:val="zh-CN" w:eastAsia="zh-CN" w:bidi="ar-SA"/>
              </w:rPr>
              <w:t>分钟，</w:t>
            </w:r>
            <w:r>
              <w:rPr>
                <w:rFonts w:hint="eastAsia" w:ascii="宋体" w:hAnsi="宋体" w:eastAsia="宋体" w:cs="宋体"/>
                <w:kern w:val="2"/>
                <w:sz w:val="24"/>
                <w:szCs w:val="24"/>
                <w:lang w:val="en-US" w:eastAsia="zh-CN" w:bidi="ar-SA"/>
              </w:rPr>
              <w:t>不包含评委提问解答时间。</w:t>
            </w:r>
          </w:p>
          <w:p w14:paraId="633FDE0F">
            <w:pPr>
              <w:numPr>
                <w:ilvl w:val="0"/>
                <w:numId w:val="3"/>
              </w:numPr>
              <w:adjustRightInd w:val="0"/>
              <w:snapToGrid w:val="0"/>
              <w:spacing w:line="360" w:lineRule="auto"/>
              <w:ind w:left="0" w:leftChars="0" w:firstLine="480" w:firstLineChars="200"/>
              <w:contextualSpacing/>
              <w:rPr>
                <w:rFonts w:hint="eastAsia" w:ascii="宋体" w:hAnsi="宋体" w:eastAsia="宋体" w:cs="宋体"/>
                <w:sz w:val="24"/>
                <w:szCs w:val="24"/>
              </w:rPr>
            </w:pPr>
            <w:r>
              <w:rPr>
                <w:rFonts w:hint="eastAsia" w:ascii="宋体" w:hAnsi="宋体" w:eastAsia="宋体" w:cs="宋体"/>
                <w:sz w:val="24"/>
                <w:szCs w:val="24"/>
              </w:rPr>
              <w:t>页面支持用户自定义模块布局，支持拖拽式调整同一模块内不同栏目的位置，支持用户自定义对页面背景、音乐、主题色及简体或繁体字的转换设置。每一个模块内的数据来源均支持人工培植；可以是外部数据接入，直接复用已有接口，也可以直接从数据中心抽调</w:t>
            </w:r>
            <w:r>
              <w:rPr>
                <w:rFonts w:hint="eastAsia" w:ascii="宋体" w:hAnsi="宋体" w:eastAsia="宋体" w:cs="宋体"/>
                <w:sz w:val="24"/>
                <w:szCs w:val="24"/>
                <w:lang w:eastAsia="zh-CN"/>
              </w:rPr>
              <w:t>。</w:t>
            </w:r>
            <w:r>
              <w:rPr>
                <w:rFonts w:hint="eastAsia" w:ascii="宋体" w:hAnsi="宋体" w:eastAsia="宋体" w:cs="宋体"/>
                <w:sz w:val="24"/>
                <w:szCs w:val="24"/>
              </w:rPr>
              <w:t>（满足此项得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30E22B9A">
            <w:pPr>
              <w:numPr>
                <w:ilvl w:val="0"/>
                <w:numId w:val="3"/>
              </w:numPr>
              <w:adjustRightInd w:val="0"/>
              <w:snapToGrid w:val="0"/>
              <w:spacing w:line="360" w:lineRule="auto"/>
              <w:ind w:left="0" w:leftChars="0" w:firstLine="480" w:firstLineChars="200"/>
              <w:contextualSpacing/>
              <w:rPr>
                <w:rFonts w:hint="eastAsia" w:ascii="宋体" w:hAnsi="宋体" w:eastAsia="宋体" w:cs="宋体"/>
                <w:sz w:val="24"/>
                <w:szCs w:val="24"/>
              </w:rPr>
            </w:pPr>
            <w:r>
              <w:rPr>
                <w:rFonts w:hint="eastAsia" w:ascii="宋体" w:hAnsi="宋体" w:eastAsia="宋体" w:cs="宋体"/>
                <w:sz w:val="24"/>
                <w:szCs w:val="24"/>
              </w:rPr>
              <w:t>支持系统对移动端APP的门户进行配置，配置操作需要简单明了。模拟手机界面采用可视化拖拽的形式添加如图片、检索、推荐、功能等。并能根据我校不同身份的用户配置不同的移动端APP门户界面</w:t>
            </w:r>
            <w:r>
              <w:rPr>
                <w:rFonts w:hint="eastAsia" w:ascii="宋体" w:hAnsi="宋体" w:eastAsia="宋体" w:cs="宋体"/>
                <w:sz w:val="24"/>
                <w:szCs w:val="24"/>
                <w:lang w:eastAsia="zh-CN"/>
              </w:rPr>
              <w:t>。</w:t>
            </w:r>
            <w:r>
              <w:rPr>
                <w:rFonts w:hint="eastAsia" w:ascii="宋体" w:hAnsi="宋体" w:eastAsia="宋体" w:cs="宋体"/>
                <w:sz w:val="24"/>
                <w:szCs w:val="24"/>
              </w:rPr>
              <w:t>（满足此项得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4377D669">
            <w:pPr>
              <w:numPr>
                <w:ilvl w:val="0"/>
                <w:numId w:val="3"/>
              </w:numPr>
              <w:adjustRightInd w:val="0"/>
              <w:snapToGrid w:val="0"/>
              <w:spacing w:line="360" w:lineRule="auto"/>
              <w:ind w:left="0" w:leftChars="0" w:firstLine="480" w:firstLineChars="200"/>
              <w:contextualSpacing/>
              <w:rPr>
                <w:rFonts w:hint="eastAsia" w:ascii="宋体" w:hAnsi="宋体" w:eastAsia="宋体" w:cs="宋体"/>
                <w:sz w:val="24"/>
                <w:szCs w:val="24"/>
              </w:rPr>
            </w:pPr>
            <w:r>
              <w:rPr>
                <w:rFonts w:hint="eastAsia" w:ascii="宋体" w:hAnsi="宋体" w:eastAsia="宋体" w:cs="宋体"/>
                <w:sz w:val="24"/>
                <w:szCs w:val="24"/>
              </w:rPr>
              <w:t>支持知识点拓展阅读功能，可以根据一个关键词自动生成相关知识点的知识树，</w:t>
            </w:r>
            <w:r>
              <w:rPr>
                <w:rFonts w:hint="eastAsia" w:ascii="宋体" w:hAnsi="宋体" w:eastAsia="宋体" w:cs="宋体"/>
                <w:sz w:val="24"/>
                <w:szCs w:val="24"/>
                <w:lang w:eastAsia="zh-CN"/>
              </w:rPr>
              <w:t>插入</w:t>
            </w:r>
            <w:r>
              <w:rPr>
                <w:rFonts w:hint="eastAsia" w:ascii="宋体" w:hAnsi="宋体" w:eastAsia="宋体" w:cs="宋体"/>
                <w:sz w:val="24"/>
                <w:szCs w:val="24"/>
              </w:rPr>
              <w:t>课程单元中，并自动推送知识点相关的图书、期刊、</w:t>
            </w:r>
            <w:r>
              <w:rPr>
                <w:rFonts w:hint="eastAsia" w:ascii="宋体" w:hAnsi="宋体" w:eastAsia="宋体" w:cs="宋体"/>
                <w:sz w:val="24"/>
                <w:szCs w:val="24"/>
                <w:lang w:val="en-US" w:eastAsia="zh-CN"/>
              </w:rPr>
              <w:t>报纸</w:t>
            </w:r>
            <w:r>
              <w:rPr>
                <w:rFonts w:hint="eastAsia" w:ascii="宋体" w:hAnsi="宋体" w:eastAsia="宋体" w:cs="宋体"/>
                <w:sz w:val="24"/>
                <w:szCs w:val="24"/>
              </w:rPr>
              <w:t>等资料。（满足此项得2分）</w:t>
            </w:r>
          </w:p>
          <w:p w14:paraId="1DCEF406">
            <w:pPr>
              <w:numPr>
                <w:ilvl w:val="0"/>
                <w:numId w:val="3"/>
              </w:numPr>
              <w:adjustRightInd w:val="0"/>
              <w:snapToGrid w:val="0"/>
              <w:spacing w:line="360" w:lineRule="auto"/>
              <w:ind w:left="0" w:leftChars="0" w:firstLine="480" w:firstLineChars="200"/>
              <w:contextualSpacing/>
              <w:rPr>
                <w:rFonts w:hint="eastAsia" w:ascii="宋体" w:hAnsi="宋体" w:eastAsia="宋体" w:cs="宋体"/>
                <w:sz w:val="24"/>
                <w:szCs w:val="24"/>
              </w:rPr>
            </w:pPr>
            <w:r>
              <w:rPr>
                <w:rFonts w:hint="eastAsia" w:ascii="宋体" w:hAnsi="宋体" w:eastAsia="宋体" w:cs="宋体"/>
                <w:sz w:val="24"/>
                <w:szCs w:val="24"/>
              </w:rPr>
              <w:t>通知：可以在移动客户端选择给指定的人发送通知，并统计已读和未读名单。并与pc端无缝对接。针对未读通知，支持短信提醒、电话提醒、微信提醒等提醒方式，需要演示现场发起电话提醒，并收到提醒电话为有效。（满足此项得2分）</w:t>
            </w:r>
          </w:p>
          <w:p w14:paraId="150FDE5A">
            <w:pPr>
              <w:numPr>
                <w:ilvl w:val="0"/>
                <w:numId w:val="3"/>
              </w:numPr>
              <w:adjustRightInd w:val="0"/>
              <w:snapToGrid w:val="0"/>
              <w:spacing w:line="360" w:lineRule="auto"/>
              <w:ind w:left="0" w:leftChars="0" w:firstLine="480" w:firstLineChars="200"/>
              <w:contextualSpacing/>
              <w:rPr>
                <w:rFonts w:hint="eastAsia" w:ascii="宋体" w:hAnsi="宋体" w:eastAsia="宋体" w:cs="宋体"/>
                <w:sz w:val="24"/>
                <w:szCs w:val="24"/>
              </w:rPr>
            </w:pPr>
            <w:r>
              <w:rPr>
                <w:rFonts w:hint="eastAsia" w:ascii="宋体" w:hAnsi="宋体" w:eastAsia="宋体" w:cs="宋体"/>
                <w:sz w:val="24"/>
                <w:szCs w:val="24"/>
              </w:rPr>
              <w:t>教学大数据展示实时展示日常监控、教学监控、学情分析、签到监控、资源监控等，支持调用ai能力生成相关数据报表并下载（满足此项得2分）</w:t>
            </w:r>
          </w:p>
          <w:p w14:paraId="2358A31E">
            <w:pPr>
              <w:numPr>
                <w:ilvl w:val="0"/>
                <w:numId w:val="3"/>
              </w:numPr>
              <w:adjustRightInd w:val="0"/>
              <w:snapToGrid w:val="0"/>
              <w:spacing w:line="360" w:lineRule="auto"/>
              <w:ind w:left="0" w:leftChars="0" w:firstLine="480" w:firstLineChars="200"/>
              <w:contextualSpacing/>
              <w:rPr>
                <w:rFonts w:hint="eastAsia" w:ascii="宋体" w:hAnsi="宋体" w:eastAsia="宋体" w:cs="宋体"/>
                <w:sz w:val="24"/>
                <w:szCs w:val="24"/>
              </w:rPr>
            </w:pPr>
            <w:r>
              <w:rPr>
                <w:rFonts w:hint="eastAsia" w:ascii="宋体" w:hAnsi="宋体" w:eastAsia="宋体" w:cs="宋体"/>
                <w:sz w:val="24"/>
                <w:szCs w:val="24"/>
              </w:rPr>
              <w:t>对课程建设系统中的视频进行智能分析，自动匹配课程中的知识点，并在视频对应的时间点进行自动打点，同时基于人工智能技术生成知识点词云分析并展示；视频播放时学生可以定位到时间点观看对应知识点的视频讲解。（满足此项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23D6990C">
            <w:pPr>
              <w:numPr>
                <w:ilvl w:val="0"/>
                <w:numId w:val="3"/>
              </w:numPr>
              <w:adjustRightInd w:val="0"/>
              <w:snapToGrid w:val="0"/>
              <w:spacing w:line="360" w:lineRule="auto"/>
              <w:ind w:left="0" w:leftChars="0" w:firstLine="480" w:firstLineChars="200"/>
              <w:contextualSpacing/>
              <w:rPr>
                <w:rFonts w:hint="eastAsia" w:ascii="宋体" w:hAnsi="宋体" w:eastAsia="宋体" w:cs="宋体"/>
                <w:sz w:val="24"/>
                <w:szCs w:val="24"/>
              </w:rPr>
            </w:pPr>
            <w:r>
              <w:rPr>
                <w:rFonts w:hint="eastAsia" w:ascii="宋体" w:hAnsi="宋体" w:eastAsia="宋体" w:cs="宋体"/>
                <w:sz w:val="24"/>
                <w:szCs w:val="24"/>
              </w:rPr>
              <w:t>支持教师查看学生平均完成率、平均掌握率，并通过详情查看每个学生对知识点的完成与掌握情况。包括学生知识点的完成情况、掌握情况、知识点关联的学习任务完成详情等以及查看此知识点的课程资源和系统推荐的图书、期刊、报纸、课程等拓展资源。（满足此项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p w14:paraId="5A5D8314">
            <w:pPr>
              <w:numPr>
                <w:ilvl w:val="0"/>
                <w:numId w:val="3"/>
              </w:numPr>
              <w:adjustRightInd w:val="0"/>
              <w:snapToGrid w:val="0"/>
              <w:spacing w:line="360" w:lineRule="auto"/>
              <w:ind w:left="0" w:leftChars="0" w:firstLine="480" w:firstLineChars="200"/>
              <w:contextualSpacing/>
              <w:rPr>
                <w:rFonts w:hint="eastAsia" w:ascii="宋体" w:hAnsi="宋体" w:eastAsia="宋体" w:cs="宋体"/>
                <w:sz w:val="24"/>
                <w:szCs w:val="24"/>
              </w:rPr>
            </w:pPr>
            <w:r>
              <w:rPr>
                <w:rFonts w:hint="eastAsia" w:ascii="宋体" w:hAnsi="宋体" w:eastAsia="宋体" w:cs="宋体"/>
                <w:sz w:val="24"/>
                <w:szCs w:val="24"/>
              </w:rPr>
              <w:t>业务问答支持关联微应用，支持关联本单位的已有应用与自建应用（满足此项得2分）</w:t>
            </w:r>
          </w:p>
          <w:p w14:paraId="67DC8B42">
            <w:pPr>
              <w:numPr>
                <w:ilvl w:val="0"/>
                <w:numId w:val="3"/>
              </w:numPr>
              <w:adjustRightInd w:val="0"/>
              <w:snapToGrid w:val="0"/>
              <w:spacing w:line="360" w:lineRule="auto"/>
              <w:ind w:left="0" w:leftChars="0" w:firstLine="480" w:firstLineChars="200"/>
              <w:contextualSpacing/>
              <w:rPr>
                <w:rFonts w:hint="eastAsia" w:ascii="宋体" w:hAnsi="宋体" w:eastAsia="宋体" w:cs="宋体"/>
                <w:sz w:val="24"/>
                <w:szCs w:val="24"/>
              </w:rPr>
            </w:pPr>
            <w:r>
              <w:rPr>
                <w:rFonts w:hint="eastAsia" w:ascii="宋体" w:hAnsi="宋体" w:eastAsia="宋体" w:cs="宋体"/>
                <w:sz w:val="24"/>
                <w:szCs w:val="24"/>
              </w:rPr>
              <w:t>任务引擎工具，支持切换标签页跳转任务设计页面，添加分组，添加任务点和设置闯关达标条件，创建任务支持拉取任务点类型包括：视频，文档（笔记），线上课堂，AI实践，作业，自测，问卷，审批，自定义等类型。学习页面提供不少于五种模式，学生可通过地图页面、3D小岛虚拟展厅模式进行闯关打卡学习，支持跳转至任务点详情页面进行学习。（满足此项得2分）</w:t>
            </w:r>
          </w:p>
          <w:p w14:paraId="2E8A5DC5">
            <w:pPr>
              <w:numPr>
                <w:ilvl w:val="0"/>
                <w:numId w:val="3"/>
              </w:numPr>
              <w:adjustRightInd w:val="0"/>
              <w:snapToGrid w:val="0"/>
              <w:spacing w:line="360" w:lineRule="auto"/>
              <w:ind w:left="0" w:leftChars="0" w:firstLine="480" w:firstLineChars="200"/>
              <w:contextualSpacing/>
              <w:rPr>
                <w:rFonts w:hint="eastAsia" w:ascii="宋体" w:hAnsi="宋体" w:eastAsia="宋体" w:cs="宋体"/>
                <w:spacing w:val="-8"/>
                <w:sz w:val="24"/>
                <w:szCs w:val="24"/>
              </w:rPr>
            </w:pPr>
            <w:r>
              <w:rPr>
                <w:rFonts w:hint="eastAsia" w:ascii="宋体" w:hAnsi="宋体" w:eastAsia="宋体" w:cs="宋体"/>
                <w:sz w:val="24"/>
                <w:szCs w:val="24"/>
              </w:rPr>
              <w:t>支持简答题作业查重，支持学生提交作业与正确答案对比，为阅卷教师提供参考。支持班级内学生与学生之间的简答题作业答案重复率的对比。支持老师在批改简答题时通过相似度查询系统，跟海量资源库文档内容进行比对，得出查重率，也可以给出查重报告，给老师提供作业打分依据。（满足此项得</w:t>
            </w:r>
            <w:r>
              <w:rPr>
                <w:rFonts w:hint="eastAsia" w:ascii="宋体" w:hAnsi="宋体" w:eastAsia="宋体" w:cs="宋体"/>
                <w:sz w:val="24"/>
                <w:szCs w:val="24"/>
                <w:lang w:val="en-US" w:eastAsia="zh-CN"/>
              </w:rPr>
              <w:t>2</w:t>
            </w:r>
            <w:r>
              <w:rPr>
                <w:rFonts w:hint="eastAsia" w:ascii="宋体" w:hAnsi="宋体" w:eastAsia="宋体" w:cs="宋体"/>
                <w:sz w:val="24"/>
                <w:szCs w:val="24"/>
              </w:rPr>
              <w:t>分）</w:t>
            </w:r>
          </w:p>
        </w:tc>
      </w:tr>
    </w:tbl>
    <w:p w14:paraId="449128C2">
      <w:pPr>
        <w:spacing w:line="360" w:lineRule="auto"/>
        <w:ind w:firstLine="482" w:firstLineChars="200"/>
        <w:rPr>
          <w:rFonts w:hint="eastAsia" w:ascii="宋体" w:hAnsi="宋体" w:eastAsia="宋体" w:cs="宋体"/>
          <w:b/>
          <w:bCs/>
          <w:sz w:val="24"/>
          <w:szCs w:val="24"/>
          <w:highlight w:val="none"/>
        </w:rPr>
      </w:pPr>
    </w:p>
    <w:p w14:paraId="16B9CB3A">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5．定标</w:t>
      </w:r>
    </w:p>
    <w:p w14:paraId="50D19EB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采购代理机构应当在磋商结束后2个工作日内将磋商报告送采购人。</w:t>
      </w:r>
    </w:p>
    <w:p w14:paraId="67C3E180">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采购人应当在收到磋商报告后5个工作日内，按照磋商报告中推荐的中标候选供应商顺序确定成交供应商；也可以事先授权磋商小组直接确定成交供应商（具体确定方式以采购人在《政府采购项目委托代理协议书》中选择的确定成交供应商的方式为准）。</w:t>
      </w:r>
    </w:p>
    <w:p w14:paraId="0FD8F5FA">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由采购代理机构向成交供应商发送“成交通知书”，成交供应商按“成交通知书”规定的时间、地点和要求与采购人签订采购合同。</w:t>
      </w:r>
    </w:p>
    <w:p w14:paraId="3D1FFA65">
      <w:pPr>
        <w:pStyle w:val="3"/>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rPr>
        <w:t>七．签订合同</w:t>
      </w:r>
    </w:p>
    <w:p w14:paraId="35408D82">
      <w:pP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1、定标后，</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人在收到</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通知书后</w:t>
      </w:r>
      <w:r>
        <w:rPr>
          <w:rFonts w:hint="eastAsia" w:ascii="宋体" w:hAnsi="宋体" w:eastAsia="宋体" w:cs="宋体"/>
          <w:sz w:val="24"/>
          <w:szCs w:val="24"/>
          <w:highlight w:val="none"/>
          <w:lang w:val="en-US" w:eastAsia="zh-CN"/>
        </w:rPr>
        <w:t>十五</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）个日历日内，应按</w:t>
      </w:r>
      <w:r>
        <w:rPr>
          <w:rFonts w:hint="eastAsia" w:ascii="宋体" w:hAnsi="宋体" w:eastAsia="宋体" w:cs="宋体"/>
          <w:sz w:val="24"/>
          <w:szCs w:val="24"/>
          <w:highlight w:val="none"/>
          <w:lang w:val="en-US" w:eastAsia="zh-CN"/>
        </w:rPr>
        <w:t>竞争性磋商</w:t>
      </w:r>
      <w:r>
        <w:rPr>
          <w:rFonts w:hint="eastAsia" w:ascii="宋体" w:hAnsi="宋体" w:eastAsia="宋体" w:cs="宋体"/>
          <w:sz w:val="24"/>
          <w:szCs w:val="24"/>
          <w:highlight w:val="none"/>
        </w:rPr>
        <w:t>文件的要求与采购人洽谈合同条款，并签订</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rPr>
        <w:t>合同，</w:t>
      </w:r>
      <w:r>
        <w:rPr>
          <w:rFonts w:hint="eastAsia" w:ascii="宋体" w:hAnsi="宋体" w:eastAsia="宋体" w:cs="宋体"/>
          <w:sz w:val="24"/>
          <w:szCs w:val="24"/>
          <w:highlight w:val="none"/>
          <w:lang w:val="en-US" w:eastAsia="zh-CN"/>
        </w:rPr>
        <w:t>竞争性磋商</w:t>
      </w:r>
      <w:r>
        <w:rPr>
          <w:rFonts w:hint="eastAsia" w:ascii="宋体" w:hAnsi="宋体" w:eastAsia="宋体" w:cs="宋体"/>
          <w:sz w:val="24"/>
          <w:szCs w:val="24"/>
          <w:highlight w:val="none"/>
        </w:rPr>
        <w:t>文件及</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人</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文件均作为合同的组成部分；</w:t>
      </w:r>
    </w:p>
    <w:p w14:paraId="410EC64D">
      <w:pP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2、政府采购合同履行中，采购人需追加与合同标的相同的货物、工程或者服务的，在不改变合同其他条款的前提下，可以与</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人协商签订补充合同，但所有补充合同的采购金额不得超过原合同采购金额的百分之十；</w:t>
      </w:r>
    </w:p>
    <w:p w14:paraId="3E01F5B0">
      <w:pP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3、根据需要，采购代理机构可会同采购人负责监督、协调和处理履约过程中出现的问题；</w:t>
      </w:r>
    </w:p>
    <w:p w14:paraId="6C0496FA">
      <w:pP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4、政府采购管理部门在合同履行期间以及履行期后，可以随时检查项目的执行情况，对采购标准、采购内容进行调查核实，并对发现的问题进行处理。</w:t>
      </w:r>
    </w:p>
    <w:p w14:paraId="7A593C96">
      <w:pPr>
        <w:pStyle w:val="3"/>
        <w:ind w:firstLine="643" w:firstLineChars="200"/>
        <w:jc w:val="center"/>
        <w:rPr>
          <w:rFonts w:hint="eastAsia" w:ascii="宋体" w:hAnsi="宋体" w:eastAsia="宋体" w:cs="宋体"/>
          <w:sz w:val="32"/>
          <w:szCs w:val="32"/>
          <w:highlight w:val="none"/>
        </w:rPr>
      </w:pPr>
      <w:r>
        <w:rPr>
          <w:rFonts w:hint="eastAsia" w:ascii="宋体" w:hAnsi="宋体" w:eastAsia="宋体" w:cs="宋体"/>
          <w:sz w:val="32"/>
          <w:szCs w:val="32"/>
          <w:highlight w:val="none"/>
          <w:lang w:val="en-US" w:eastAsia="zh-CN"/>
        </w:rPr>
        <w:t>八．</w:t>
      </w:r>
      <w:r>
        <w:rPr>
          <w:rFonts w:hint="eastAsia" w:ascii="宋体" w:hAnsi="宋体" w:eastAsia="宋体" w:cs="宋体"/>
          <w:sz w:val="32"/>
          <w:szCs w:val="32"/>
          <w:highlight w:val="none"/>
        </w:rPr>
        <w:t>质疑与投诉</w:t>
      </w:r>
    </w:p>
    <w:p w14:paraId="75C9FF25">
      <w:pP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 质疑函应当包括以下内容：被质疑项目名称、项目编号、包号、</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公告、成交公告发布时间、质疑事项、证据材料、法律依据（具体条款）、质疑人有效联系方式等。</w:t>
      </w:r>
    </w:p>
    <w:p w14:paraId="6B922FFA">
      <w:pP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4D659C9E">
      <w:pP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采购代理机构或采购人将在收到书面质疑后7个工作日内做出答复，并以书面形式通知质疑人。</w:t>
      </w:r>
    </w:p>
    <w:p w14:paraId="1CAF3716">
      <w:pP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质疑人对采购代理机构或采购人的答复不满意，以及采购代理机构或采购人未在规定时间内做出答复的，可以在答复期满后15个工作日内向政府采购监管机构提出投诉。</w:t>
      </w:r>
    </w:p>
    <w:p w14:paraId="72C213E7">
      <w:pP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供应商投诉的事项不得超出已质疑事项的范围。</w:t>
      </w:r>
    </w:p>
    <w:p w14:paraId="6C74FE3C">
      <w:pPr>
        <w:adjustRightInd w:val="0"/>
        <w:snapToGrid w:val="0"/>
        <w:spacing w:before="218" w:beforeLines="50" w:after="218" w:afterLines="50" w:line="360" w:lineRule="auto"/>
        <w:ind w:firstLine="352" w:firstLineChars="147"/>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对于捏造事实、提供虚假材料进行质疑、投诉的行为将予以上报财政部门，由财政部门按照相关法律法规进行处理。</w:t>
      </w:r>
    </w:p>
    <w:p w14:paraId="1870E0BF">
      <w:pPr>
        <w:pStyle w:val="3"/>
        <w:ind w:firstLine="643" w:firstLineChars="200"/>
        <w:rPr>
          <w:rFonts w:hint="eastAsia" w:ascii="宋体" w:hAnsi="宋体" w:eastAsia="宋体" w:cs="宋体"/>
          <w:sz w:val="32"/>
          <w:szCs w:val="32"/>
          <w:highlight w:val="none"/>
        </w:rPr>
      </w:pPr>
      <w:r>
        <w:rPr>
          <w:rFonts w:hint="eastAsia" w:ascii="宋体" w:hAnsi="宋体" w:eastAsia="宋体" w:cs="宋体"/>
          <w:sz w:val="32"/>
          <w:szCs w:val="32"/>
          <w:highlight w:val="none"/>
          <w:lang w:eastAsia="zh-CN"/>
        </w:rPr>
        <w:t>九</w:t>
      </w:r>
      <w:r>
        <w:rPr>
          <w:rFonts w:hint="eastAsia" w:ascii="宋体" w:hAnsi="宋体" w:eastAsia="宋体" w:cs="宋体"/>
          <w:sz w:val="32"/>
          <w:szCs w:val="32"/>
          <w:highlight w:val="none"/>
        </w:rPr>
        <w:t>．其它事项</w:t>
      </w:r>
    </w:p>
    <w:p w14:paraId="71DFA4F1">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1、落实政府采购政策文件具体如下：</w:t>
      </w:r>
    </w:p>
    <w:p w14:paraId="2649498B">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5B90D41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740311B6">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094B7F94">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提高至4%-6%。政府采购工程的价格评审优惠按照财库〔2020〕46号文件的规定执行。</w:t>
      </w:r>
    </w:p>
    <w:p w14:paraId="41A6482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w:t>
      </w:r>
      <w:r>
        <w:rPr>
          <w:rFonts w:hint="eastAsia" w:ascii="宋体" w:hAnsi="宋体" w:cs="宋体"/>
          <w:b w:val="0"/>
          <w:bCs w:val="0"/>
          <w:color w:val="auto"/>
          <w:sz w:val="24"/>
          <w:szCs w:val="24"/>
          <w:highlight w:val="none"/>
          <w:lang w:val="en-US" w:eastAsia="zh-CN"/>
        </w:rPr>
        <w:t>中小</w:t>
      </w:r>
      <w:r>
        <w:rPr>
          <w:rFonts w:hint="eastAsia" w:ascii="宋体" w:hAnsi="宋体" w:eastAsia="宋体" w:cs="宋体"/>
          <w:b w:val="0"/>
          <w:bCs w:val="0"/>
          <w:color w:val="auto"/>
          <w:sz w:val="24"/>
          <w:szCs w:val="24"/>
          <w:highlight w:val="none"/>
          <w:lang w:val="en-US" w:eastAsia="zh-CN"/>
        </w:rPr>
        <w:t>企业应提供《</w:t>
      </w:r>
      <w:r>
        <w:rPr>
          <w:rFonts w:hint="eastAsia" w:ascii="宋体" w:hAnsi="宋体" w:cs="宋体"/>
          <w:b w:val="0"/>
          <w:bCs w:val="0"/>
          <w:color w:val="auto"/>
          <w:sz w:val="24"/>
          <w:szCs w:val="24"/>
          <w:highlight w:val="none"/>
          <w:lang w:val="en-US" w:eastAsia="zh-CN"/>
        </w:rPr>
        <w:t>中小企业声明函</w:t>
      </w:r>
      <w:r>
        <w:rPr>
          <w:rFonts w:hint="eastAsia" w:ascii="宋体" w:hAnsi="宋体" w:eastAsia="宋体" w:cs="宋体"/>
          <w:b w:val="0"/>
          <w:bCs w:val="0"/>
          <w:color w:val="auto"/>
          <w:sz w:val="24"/>
          <w:szCs w:val="24"/>
          <w:highlight w:val="none"/>
          <w:lang w:val="en-US" w:eastAsia="zh-CN"/>
        </w:rPr>
        <w:t>》原件。未提供上述声明函原件的，则投标文件无效。</w:t>
      </w:r>
    </w:p>
    <w:p w14:paraId="6B3C1317">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p>
    <w:p w14:paraId="3078A88F">
      <w:pPr>
        <w:spacing w:line="360" w:lineRule="auto"/>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中小企业划分标准参照《中小企业划型标准规定》（工信部联企业〔2011〕300号）执行。</w:t>
      </w:r>
    </w:p>
    <w:p w14:paraId="198D3C5A">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、本项目属性为：服务类；采购标的所属行业为：其他未列明行业。</w:t>
      </w:r>
    </w:p>
    <w:p w14:paraId="33AAA119">
      <w:pPr>
        <w:spacing w:line="360" w:lineRule="auto"/>
        <w:ind w:firstLine="482" w:firstLineChars="200"/>
        <w:rPr>
          <w:rFonts w:hint="eastAsia"/>
          <w:lang w:val="en-US" w:eastAsia="zh-CN"/>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、本项目专门面向中小企业采购，不执行价格分扣除。</w:t>
      </w:r>
    </w:p>
    <w:p w14:paraId="78AC6280">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52140F1B">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3BC48FCA">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参加政府采购活动的残疾人単位应提供《残疾人福利性单位声明函》原件。未提供上述声明函原件的，则投标文件无效。</w:t>
      </w:r>
    </w:p>
    <w:p w14:paraId="16E3513E">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01589CD6">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7F5FD8FE">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503097D">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2541827B">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6239FBB3">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71C598BC">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7C1168FB">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05F3401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77EFADC1">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129ECD2D">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03153EE8">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（15）成交供应商确定后，成交供应商无正当理由拖延或拒签合同的，采购人有权取消其成交资格，并按评审顺序重新确定成交单位。同时报请监督机构予以通报，禁止其进入政府采购市场，并没收其保证金。</w:t>
      </w:r>
    </w:p>
    <w:p w14:paraId="2FF08651">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（16）招标代理服务费</w:t>
      </w:r>
    </w:p>
    <w:p w14:paraId="1A80AD03">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16.</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采购代理机构根据《国家发展改革委关于进一步放开建设项目专业服务价格的通知》发改价格〔2015〕299号文件的规定，参照原国家计委颁布的《招标代理服务收费管理暂行办法》（计价格[2002]1980号）及发改办价格[2003]857号文件的规定下浮20%</w:t>
      </w:r>
      <w:r>
        <w:rPr>
          <w:rFonts w:hint="eastAsia" w:ascii="宋体" w:hAnsi="宋体" w:cs="宋体"/>
          <w:b w:val="0"/>
          <w:bCs w:val="0"/>
          <w:color w:val="auto"/>
          <w:sz w:val="24"/>
          <w:szCs w:val="24"/>
          <w:highlight w:val="none"/>
          <w:lang w:val="en-US" w:eastAsia="zh-CN"/>
        </w:rPr>
        <w:t>收取</w:t>
      </w:r>
      <w:r>
        <w:rPr>
          <w:rFonts w:hint="eastAsia" w:ascii="宋体" w:hAnsi="宋体" w:eastAsia="宋体" w:cs="宋体"/>
          <w:b w:val="0"/>
          <w:bCs w:val="0"/>
          <w:color w:val="auto"/>
          <w:sz w:val="24"/>
          <w:szCs w:val="24"/>
          <w:highlight w:val="none"/>
          <w:lang w:val="en-US" w:eastAsia="zh-CN"/>
        </w:rPr>
        <w:t>，代理费用不足3500元，则按3500元收取。供应商可将此费用考虑在磋商总报价中，采购人不再单独支付。</w:t>
      </w:r>
    </w:p>
    <w:tbl>
      <w:tblPr>
        <w:tblStyle w:val="23"/>
        <w:tblW w:w="9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2"/>
        <w:gridCol w:w="2076"/>
        <w:gridCol w:w="2370"/>
        <w:gridCol w:w="2370"/>
      </w:tblGrid>
      <w:tr w14:paraId="5C302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662" w:type="dxa"/>
            <w:tcBorders>
              <w:top w:val="single" w:color="auto" w:sz="4" w:space="0"/>
              <w:left w:val="single" w:color="auto" w:sz="4" w:space="0"/>
              <w:bottom w:val="single" w:color="auto" w:sz="4" w:space="0"/>
              <w:right w:val="single" w:color="auto" w:sz="4" w:space="0"/>
            </w:tcBorders>
            <w:noWrap w:val="0"/>
            <w:vAlign w:val="center"/>
          </w:tcPr>
          <w:p w14:paraId="7CEECDB5">
            <w:pPr>
              <w:pStyle w:val="19"/>
              <w:spacing w:before="0" w:beforeAutospacing="0" w:after="0" w:afterAutospacing="0" w:line="480" w:lineRule="exact"/>
              <w:ind w:firstLine="422"/>
              <w:jc w:val="center"/>
              <w:rPr>
                <w:rFonts w:hint="eastAsia"/>
              </w:rPr>
            </w:pPr>
            <w:r>
              <w:rPr>
                <w:rFonts w:hint="eastAsia"/>
                <w:b/>
              </w:rPr>
              <w:t>中标金额（万元）</w:t>
            </w:r>
          </w:p>
        </w:tc>
        <w:tc>
          <w:tcPr>
            <w:tcW w:w="2076" w:type="dxa"/>
            <w:tcBorders>
              <w:top w:val="single" w:color="auto" w:sz="4" w:space="0"/>
              <w:left w:val="single" w:color="auto" w:sz="4" w:space="0"/>
              <w:bottom w:val="single" w:color="auto" w:sz="4" w:space="0"/>
              <w:right w:val="single" w:color="auto" w:sz="4" w:space="0"/>
            </w:tcBorders>
            <w:noWrap w:val="0"/>
            <w:vAlign w:val="center"/>
          </w:tcPr>
          <w:p w14:paraId="222E7BE4">
            <w:pPr>
              <w:pStyle w:val="19"/>
              <w:spacing w:before="0" w:beforeAutospacing="0" w:after="0" w:afterAutospacing="0" w:line="480" w:lineRule="exact"/>
              <w:ind w:firstLine="422"/>
              <w:jc w:val="center"/>
              <w:rPr>
                <w:rFonts w:hint="eastAsia"/>
              </w:rPr>
            </w:pPr>
            <w:r>
              <w:rPr>
                <w:rFonts w:hint="eastAsia"/>
                <w:b/>
              </w:rPr>
              <w:t>货物招标</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9EB9D64">
            <w:pPr>
              <w:pStyle w:val="19"/>
              <w:spacing w:before="0" w:beforeAutospacing="0" w:after="0" w:afterAutospacing="0" w:line="480" w:lineRule="exact"/>
              <w:ind w:firstLine="422"/>
              <w:jc w:val="center"/>
              <w:rPr>
                <w:rFonts w:hint="eastAsia"/>
              </w:rPr>
            </w:pPr>
            <w:r>
              <w:rPr>
                <w:rFonts w:hint="eastAsia"/>
                <w:b/>
              </w:rPr>
              <w:t>服务招标</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5DB70B46">
            <w:pPr>
              <w:pStyle w:val="19"/>
              <w:spacing w:before="0" w:beforeAutospacing="0" w:after="0" w:afterAutospacing="0" w:line="480" w:lineRule="exact"/>
              <w:ind w:firstLine="422"/>
              <w:jc w:val="center"/>
              <w:rPr>
                <w:rFonts w:hint="eastAsia"/>
              </w:rPr>
            </w:pPr>
            <w:r>
              <w:rPr>
                <w:rFonts w:hint="eastAsia"/>
                <w:b/>
              </w:rPr>
              <w:t>工程招标</w:t>
            </w:r>
          </w:p>
        </w:tc>
      </w:tr>
      <w:tr w14:paraId="6E12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662" w:type="dxa"/>
            <w:tcBorders>
              <w:top w:val="single" w:color="auto" w:sz="4" w:space="0"/>
              <w:left w:val="single" w:color="auto" w:sz="4" w:space="0"/>
              <w:bottom w:val="single" w:color="auto" w:sz="4" w:space="0"/>
              <w:right w:val="single" w:color="auto" w:sz="4" w:space="0"/>
            </w:tcBorders>
            <w:noWrap w:val="0"/>
            <w:vAlign w:val="center"/>
          </w:tcPr>
          <w:p w14:paraId="52D893C6">
            <w:pPr>
              <w:pStyle w:val="19"/>
              <w:spacing w:before="0" w:beforeAutospacing="0" w:after="0" w:afterAutospacing="0" w:line="480" w:lineRule="exact"/>
              <w:jc w:val="both"/>
              <w:rPr>
                <w:rFonts w:hint="eastAsia"/>
              </w:rPr>
            </w:pPr>
            <w:r>
              <w:rPr>
                <w:rFonts w:hint="eastAsia"/>
              </w:rPr>
              <w:t>100以下</w:t>
            </w:r>
          </w:p>
        </w:tc>
        <w:tc>
          <w:tcPr>
            <w:tcW w:w="2076" w:type="dxa"/>
            <w:tcBorders>
              <w:top w:val="single" w:color="auto" w:sz="4" w:space="0"/>
              <w:left w:val="single" w:color="auto" w:sz="4" w:space="0"/>
              <w:bottom w:val="single" w:color="auto" w:sz="4" w:space="0"/>
              <w:right w:val="single" w:color="auto" w:sz="4" w:space="0"/>
            </w:tcBorders>
            <w:noWrap w:val="0"/>
            <w:vAlign w:val="center"/>
          </w:tcPr>
          <w:p w14:paraId="01BB02D8">
            <w:pPr>
              <w:pStyle w:val="19"/>
              <w:spacing w:before="0" w:beforeAutospacing="0" w:after="0" w:afterAutospacing="0" w:line="480" w:lineRule="exact"/>
              <w:jc w:val="center"/>
              <w:rPr>
                <w:rFonts w:hint="eastAsia"/>
              </w:rPr>
            </w:pPr>
            <w:r>
              <w:rPr>
                <w:rFonts w:hint="eastAsia"/>
              </w:rPr>
              <w:t>1.5%</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6BAA8345">
            <w:pPr>
              <w:pStyle w:val="19"/>
              <w:spacing w:before="0" w:beforeAutospacing="0" w:after="0" w:afterAutospacing="0" w:line="480" w:lineRule="exact"/>
              <w:jc w:val="center"/>
              <w:rPr>
                <w:rFonts w:hint="eastAsia"/>
              </w:rPr>
            </w:pPr>
            <w:r>
              <w:rPr>
                <w:rFonts w:hint="eastAsia"/>
              </w:rPr>
              <w:t>1.5%</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48ADBA16">
            <w:pPr>
              <w:pStyle w:val="19"/>
              <w:spacing w:before="0" w:beforeAutospacing="0" w:after="0" w:afterAutospacing="0" w:line="480" w:lineRule="exact"/>
              <w:jc w:val="center"/>
              <w:rPr>
                <w:rFonts w:hint="eastAsia"/>
              </w:rPr>
            </w:pPr>
            <w:r>
              <w:rPr>
                <w:rFonts w:hint="eastAsia"/>
              </w:rPr>
              <w:t>1.0%</w:t>
            </w:r>
          </w:p>
        </w:tc>
      </w:tr>
      <w:tr w14:paraId="18B0C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662" w:type="dxa"/>
            <w:tcBorders>
              <w:top w:val="single" w:color="auto" w:sz="4" w:space="0"/>
              <w:left w:val="single" w:color="auto" w:sz="4" w:space="0"/>
              <w:bottom w:val="single" w:color="auto" w:sz="4" w:space="0"/>
              <w:right w:val="single" w:color="auto" w:sz="4" w:space="0"/>
            </w:tcBorders>
            <w:noWrap w:val="0"/>
            <w:vAlign w:val="center"/>
          </w:tcPr>
          <w:p w14:paraId="342DCCF2">
            <w:pPr>
              <w:spacing w:line="480" w:lineRule="exact"/>
              <w:rPr>
                <w:rFonts w:hint="eastAsia" w:ascii="宋体" w:hAnsi="宋体" w:cs="宋体"/>
                <w:b/>
                <w:sz w:val="24"/>
              </w:rPr>
            </w:pPr>
            <w:r>
              <w:rPr>
                <w:rFonts w:hint="eastAsia" w:ascii="宋体" w:hAnsi="宋体" w:cs="宋体"/>
                <w:sz w:val="24"/>
              </w:rPr>
              <w:t>100-500</w:t>
            </w:r>
          </w:p>
        </w:tc>
        <w:tc>
          <w:tcPr>
            <w:tcW w:w="2076" w:type="dxa"/>
            <w:tcBorders>
              <w:top w:val="single" w:color="auto" w:sz="4" w:space="0"/>
              <w:left w:val="single" w:color="auto" w:sz="4" w:space="0"/>
              <w:bottom w:val="single" w:color="auto" w:sz="4" w:space="0"/>
              <w:right w:val="single" w:color="auto" w:sz="4" w:space="0"/>
            </w:tcBorders>
            <w:noWrap w:val="0"/>
            <w:vAlign w:val="center"/>
          </w:tcPr>
          <w:p w14:paraId="3FA9AB3A">
            <w:pPr>
              <w:spacing w:line="480" w:lineRule="exact"/>
              <w:jc w:val="center"/>
              <w:rPr>
                <w:rFonts w:hint="eastAsia" w:ascii="宋体" w:hAnsi="宋体" w:cs="宋体"/>
                <w:b/>
                <w:sz w:val="24"/>
              </w:rPr>
            </w:pPr>
            <w:r>
              <w:rPr>
                <w:rFonts w:hint="eastAsia" w:ascii="宋体" w:hAnsi="宋体" w:cs="宋体"/>
                <w:sz w:val="24"/>
              </w:rPr>
              <w:t>1.1%</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1772A335">
            <w:pPr>
              <w:spacing w:line="480" w:lineRule="exact"/>
              <w:jc w:val="center"/>
              <w:rPr>
                <w:rFonts w:hint="eastAsia" w:ascii="宋体" w:hAnsi="宋体" w:cs="宋体"/>
                <w:b/>
                <w:sz w:val="24"/>
              </w:rPr>
            </w:pPr>
            <w:r>
              <w:rPr>
                <w:rFonts w:hint="eastAsia" w:ascii="宋体" w:hAnsi="宋体" w:cs="宋体"/>
                <w:sz w:val="24"/>
              </w:rPr>
              <w:t>0.8%</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34AC715">
            <w:pPr>
              <w:pStyle w:val="19"/>
              <w:spacing w:before="0" w:beforeAutospacing="0" w:after="0" w:afterAutospacing="0" w:line="480" w:lineRule="exact"/>
              <w:jc w:val="center"/>
              <w:rPr>
                <w:rFonts w:hint="eastAsia"/>
              </w:rPr>
            </w:pPr>
            <w:r>
              <w:rPr>
                <w:rFonts w:hint="eastAsia"/>
              </w:rPr>
              <w:t>0.7%</w:t>
            </w:r>
          </w:p>
        </w:tc>
      </w:tr>
      <w:tr w14:paraId="501EA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662" w:type="dxa"/>
            <w:tcBorders>
              <w:top w:val="single" w:color="auto" w:sz="4" w:space="0"/>
              <w:left w:val="single" w:color="auto" w:sz="4" w:space="0"/>
              <w:bottom w:val="single" w:color="auto" w:sz="4" w:space="0"/>
              <w:right w:val="single" w:color="auto" w:sz="4" w:space="0"/>
            </w:tcBorders>
            <w:noWrap w:val="0"/>
            <w:vAlign w:val="center"/>
          </w:tcPr>
          <w:p w14:paraId="70605DD3">
            <w:pPr>
              <w:spacing w:line="480" w:lineRule="exact"/>
              <w:rPr>
                <w:rFonts w:hint="eastAsia" w:ascii="宋体" w:hAnsi="宋体" w:cs="宋体"/>
                <w:b/>
                <w:sz w:val="24"/>
              </w:rPr>
            </w:pPr>
            <w:r>
              <w:rPr>
                <w:rFonts w:hint="eastAsia" w:ascii="宋体" w:hAnsi="宋体" w:cs="宋体"/>
                <w:sz w:val="24"/>
              </w:rPr>
              <w:t>500-1000</w:t>
            </w:r>
          </w:p>
        </w:tc>
        <w:tc>
          <w:tcPr>
            <w:tcW w:w="2076" w:type="dxa"/>
            <w:tcBorders>
              <w:top w:val="single" w:color="auto" w:sz="4" w:space="0"/>
              <w:left w:val="single" w:color="auto" w:sz="4" w:space="0"/>
              <w:bottom w:val="single" w:color="auto" w:sz="4" w:space="0"/>
              <w:right w:val="single" w:color="auto" w:sz="4" w:space="0"/>
            </w:tcBorders>
            <w:noWrap w:val="0"/>
            <w:vAlign w:val="center"/>
          </w:tcPr>
          <w:p w14:paraId="35764280">
            <w:pPr>
              <w:spacing w:line="480" w:lineRule="exact"/>
              <w:jc w:val="center"/>
              <w:rPr>
                <w:rFonts w:hint="eastAsia" w:ascii="宋体" w:hAnsi="宋体" w:cs="宋体"/>
                <w:b/>
                <w:sz w:val="24"/>
              </w:rPr>
            </w:pPr>
            <w:r>
              <w:rPr>
                <w:rFonts w:hint="eastAsia" w:ascii="宋体" w:hAnsi="宋体" w:cs="宋体"/>
                <w:sz w:val="24"/>
              </w:rPr>
              <w:t>0.8%</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591A5302">
            <w:pPr>
              <w:spacing w:line="480" w:lineRule="exact"/>
              <w:jc w:val="center"/>
              <w:rPr>
                <w:rFonts w:hint="eastAsia" w:ascii="宋体" w:hAnsi="宋体" w:cs="宋体"/>
                <w:b/>
                <w:sz w:val="24"/>
              </w:rPr>
            </w:pPr>
            <w:r>
              <w:rPr>
                <w:rFonts w:hint="eastAsia" w:ascii="宋体" w:hAnsi="宋体" w:cs="宋体"/>
                <w:sz w:val="24"/>
              </w:rPr>
              <w:t>0.45%</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5C6E0F54">
            <w:pPr>
              <w:spacing w:line="480" w:lineRule="exact"/>
              <w:jc w:val="center"/>
              <w:rPr>
                <w:rFonts w:hint="eastAsia" w:ascii="宋体" w:hAnsi="宋体" w:cs="宋体"/>
                <w:b/>
                <w:sz w:val="24"/>
              </w:rPr>
            </w:pPr>
            <w:r>
              <w:rPr>
                <w:rFonts w:hint="eastAsia" w:ascii="宋体" w:hAnsi="宋体" w:cs="宋体"/>
                <w:sz w:val="24"/>
              </w:rPr>
              <w:t>0.55%</w:t>
            </w:r>
          </w:p>
        </w:tc>
      </w:tr>
      <w:tr w14:paraId="5D175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662" w:type="dxa"/>
            <w:tcBorders>
              <w:top w:val="single" w:color="auto" w:sz="4" w:space="0"/>
              <w:left w:val="single" w:color="auto" w:sz="4" w:space="0"/>
              <w:bottom w:val="single" w:color="auto" w:sz="4" w:space="0"/>
              <w:right w:val="single" w:color="auto" w:sz="4" w:space="0"/>
            </w:tcBorders>
            <w:noWrap w:val="0"/>
            <w:vAlign w:val="center"/>
          </w:tcPr>
          <w:p w14:paraId="2CEC1865">
            <w:pPr>
              <w:spacing w:line="480" w:lineRule="exact"/>
              <w:rPr>
                <w:rFonts w:hint="eastAsia" w:ascii="宋体" w:hAnsi="宋体" w:cs="宋体"/>
                <w:b/>
                <w:sz w:val="24"/>
              </w:rPr>
            </w:pPr>
            <w:r>
              <w:rPr>
                <w:rFonts w:hint="eastAsia" w:ascii="宋体" w:hAnsi="宋体" w:cs="宋体"/>
                <w:sz w:val="24"/>
              </w:rPr>
              <w:t>1000-5000</w:t>
            </w:r>
          </w:p>
        </w:tc>
        <w:tc>
          <w:tcPr>
            <w:tcW w:w="2076" w:type="dxa"/>
            <w:tcBorders>
              <w:top w:val="single" w:color="auto" w:sz="4" w:space="0"/>
              <w:left w:val="single" w:color="auto" w:sz="4" w:space="0"/>
              <w:bottom w:val="single" w:color="auto" w:sz="4" w:space="0"/>
              <w:right w:val="single" w:color="auto" w:sz="4" w:space="0"/>
            </w:tcBorders>
            <w:noWrap w:val="0"/>
            <w:vAlign w:val="center"/>
          </w:tcPr>
          <w:p w14:paraId="503F8F1A">
            <w:pPr>
              <w:spacing w:line="480" w:lineRule="exact"/>
              <w:jc w:val="center"/>
              <w:rPr>
                <w:rFonts w:hint="eastAsia" w:ascii="宋体" w:hAnsi="宋体" w:cs="宋体"/>
                <w:b/>
                <w:sz w:val="24"/>
              </w:rPr>
            </w:pPr>
            <w:r>
              <w:rPr>
                <w:rFonts w:hint="eastAsia" w:ascii="宋体" w:hAnsi="宋体" w:cs="宋体"/>
                <w:sz w:val="24"/>
              </w:rPr>
              <w:t>0.5%</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41943AEA">
            <w:pPr>
              <w:spacing w:line="480" w:lineRule="exact"/>
              <w:jc w:val="center"/>
              <w:rPr>
                <w:rFonts w:hint="eastAsia" w:ascii="宋体" w:hAnsi="宋体" w:cs="宋体"/>
                <w:b/>
                <w:sz w:val="24"/>
              </w:rPr>
            </w:pPr>
            <w:r>
              <w:rPr>
                <w:rFonts w:hint="eastAsia" w:ascii="宋体" w:hAnsi="宋体" w:cs="宋体"/>
                <w:sz w:val="24"/>
              </w:rPr>
              <w:t>0.25%</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357E18EB">
            <w:pPr>
              <w:pStyle w:val="19"/>
              <w:spacing w:before="0" w:beforeAutospacing="0" w:after="0" w:afterAutospacing="0" w:line="480" w:lineRule="exact"/>
              <w:jc w:val="center"/>
              <w:rPr>
                <w:rFonts w:hint="eastAsia"/>
              </w:rPr>
            </w:pPr>
            <w:r>
              <w:rPr>
                <w:rFonts w:hint="eastAsia"/>
              </w:rPr>
              <w:t>0.35%</w:t>
            </w:r>
          </w:p>
        </w:tc>
      </w:tr>
      <w:tr w14:paraId="01101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662" w:type="dxa"/>
            <w:tcBorders>
              <w:top w:val="single" w:color="auto" w:sz="4" w:space="0"/>
              <w:left w:val="single" w:color="auto" w:sz="4" w:space="0"/>
              <w:bottom w:val="single" w:color="auto" w:sz="4" w:space="0"/>
              <w:right w:val="single" w:color="auto" w:sz="4" w:space="0"/>
            </w:tcBorders>
            <w:noWrap w:val="0"/>
            <w:vAlign w:val="center"/>
          </w:tcPr>
          <w:p w14:paraId="205DBDC3">
            <w:pPr>
              <w:spacing w:line="480" w:lineRule="exact"/>
              <w:rPr>
                <w:rFonts w:hint="eastAsia" w:ascii="宋体" w:hAnsi="宋体" w:cs="宋体"/>
                <w:b/>
                <w:sz w:val="24"/>
              </w:rPr>
            </w:pPr>
            <w:r>
              <w:rPr>
                <w:rFonts w:hint="eastAsia" w:ascii="宋体" w:hAnsi="宋体" w:cs="宋体"/>
                <w:sz w:val="24"/>
              </w:rPr>
              <w:t>5000-10000</w:t>
            </w:r>
          </w:p>
        </w:tc>
        <w:tc>
          <w:tcPr>
            <w:tcW w:w="2076" w:type="dxa"/>
            <w:tcBorders>
              <w:top w:val="single" w:color="auto" w:sz="4" w:space="0"/>
              <w:left w:val="single" w:color="auto" w:sz="4" w:space="0"/>
              <w:bottom w:val="single" w:color="auto" w:sz="4" w:space="0"/>
              <w:right w:val="single" w:color="auto" w:sz="4" w:space="0"/>
            </w:tcBorders>
            <w:noWrap w:val="0"/>
            <w:vAlign w:val="center"/>
          </w:tcPr>
          <w:p w14:paraId="0819AD14">
            <w:pPr>
              <w:spacing w:line="480" w:lineRule="exact"/>
              <w:jc w:val="center"/>
              <w:rPr>
                <w:rFonts w:hint="eastAsia" w:ascii="宋体" w:hAnsi="宋体" w:cs="宋体"/>
                <w:b/>
                <w:sz w:val="24"/>
              </w:rPr>
            </w:pPr>
            <w:r>
              <w:rPr>
                <w:rFonts w:hint="eastAsia" w:ascii="宋体" w:hAnsi="宋体" w:cs="宋体"/>
                <w:sz w:val="24"/>
              </w:rPr>
              <w:t>0.25%</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03895D71">
            <w:pPr>
              <w:spacing w:line="480" w:lineRule="exact"/>
              <w:jc w:val="center"/>
              <w:rPr>
                <w:rFonts w:hint="eastAsia" w:ascii="宋体" w:hAnsi="宋体" w:cs="宋体"/>
                <w:b/>
                <w:sz w:val="24"/>
              </w:rPr>
            </w:pPr>
            <w:r>
              <w:rPr>
                <w:rFonts w:hint="eastAsia" w:ascii="宋体" w:hAnsi="宋体" w:cs="宋体"/>
                <w:sz w:val="24"/>
              </w:rPr>
              <w:t>0.1%</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6ED3891B">
            <w:pPr>
              <w:spacing w:line="480" w:lineRule="exact"/>
              <w:jc w:val="center"/>
              <w:rPr>
                <w:rFonts w:hint="eastAsia" w:ascii="宋体" w:hAnsi="宋体" w:cs="宋体"/>
                <w:b/>
                <w:sz w:val="24"/>
              </w:rPr>
            </w:pPr>
            <w:r>
              <w:rPr>
                <w:rFonts w:hint="eastAsia" w:ascii="宋体" w:hAnsi="宋体" w:cs="宋体"/>
                <w:sz w:val="24"/>
              </w:rPr>
              <w:t>0.2%</w:t>
            </w:r>
          </w:p>
        </w:tc>
      </w:tr>
      <w:tr w14:paraId="4E7F3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662" w:type="dxa"/>
            <w:tcBorders>
              <w:top w:val="single" w:color="auto" w:sz="4" w:space="0"/>
              <w:left w:val="single" w:color="auto" w:sz="4" w:space="0"/>
              <w:bottom w:val="single" w:color="auto" w:sz="4" w:space="0"/>
              <w:right w:val="single" w:color="auto" w:sz="4" w:space="0"/>
            </w:tcBorders>
            <w:noWrap w:val="0"/>
            <w:vAlign w:val="center"/>
          </w:tcPr>
          <w:p w14:paraId="15174B75">
            <w:pPr>
              <w:spacing w:line="480" w:lineRule="exact"/>
              <w:rPr>
                <w:rFonts w:hint="eastAsia" w:ascii="宋体" w:hAnsi="宋体" w:cs="宋体"/>
                <w:b/>
                <w:sz w:val="24"/>
              </w:rPr>
            </w:pPr>
            <w:r>
              <w:rPr>
                <w:rFonts w:hint="eastAsia" w:ascii="宋体" w:hAnsi="宋体" w:cs="宋体"/>
                <w:sz w:val="24"/>
              </w:rPr>
              <w:t>10000-100000</w:t>
            </w:r>
          </w:p>
        </w:tc>
        <w:tc>
          <w:tcPr>
            <w:tcW w:w="2076" w:type="dxa"/>
            <w:tcBorders>
              <w:top w:val="single" w:color="auto" w:sz="4" w:space="0"/>
              <w:left w:val="single" w:color="auto" w:sz="4" w:space="0"/>
              <w:bottom w:val="single" w:color="auto" w:sz="4" w:space="0"/>
              <w:right w:val="single" w:color="auto" w:sz="4" w:space="0"/>
            </w:tcBorders>
            <w:noWrap w:val="0"/>
            <w:vAlign w:val="center"/>
          </w:tcPr>
          <w:p w14:paraId="358A0423">
            <w:pPr>
              <w:spacing w:line="480" w:lineRule="exact"/>
              <w:jc w:val="center"/>
              <w:rPr>
                <w:rFonts w:hint="eastAsia" w:ascii="宋体" w:hAnsi="宋体" w:cs="宋体"/>
                <w:b/>
                <w:sz w:val="24"/>
              </w:rPr>
            </w:pPr>
            <w:r>
              <w:rPr>
                <w:rFonts w:hint="eastAsia" w:ascii="宋体" w:hAnsi="宋体" w:cs="宋体"/>
                <w:sz w:val="24"/>
              </w:rPr>
              <w:t>0.05%</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0BDE2359">
            <w:pPr>
              <w:spacing w:line="480" w:lineRule="exact"/>
              <w:jc w:val="center"/>
              <w:rPr>
                <w:rFonts w:hint="eastAsia" w:ascii="宋体" w:hAnsi="宋体" w:cs="宋体"/>
                <w:b/>
                <w:sz w:val="24"/>
              </w:rPr>
            </w:pPr>
            <w:r>
              <w:rPr>
                <w:rFonts w:hint="eastAsia" w:ascii="宋体" w:hAnsi="宋体" w:cs="宋体"/>
                <w:sz w:val="24"/>
              </w:rPr>
              <w:t>0.05%</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27AC7AC8">
            <w:pPr>
              <w:spacing w:line="480" w:lineRule="exact"/>
              <w:jc w:val="center"/>
              <w:rPr>
                <w:rFonts w:hint="eastAsia" w:ascii="宋体" w:hAnsi="宋体" w:cs="宋体"/>
                <w:b/>
                <w:sz w:val="24"/>
              </w:rPr>
            </w:pPr>
            <w:r>
              <w:rPr>
                <w:rFonts w:hint="eastAsia" w:ascii="宋体" w:hAnsi="宋体" w:cs="宋体"/>
                <w:sz w:val="24"/>
              </w:rPr>
              <w:t>0.05%</w:t>
            </w:r>
          </w:p>
        </w:tc>
      </w:tr>
      <w:tr w14:paraId="66082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662" w:type="dxa"/>
            <w:tcBorders>
              <w:top w:val="single" w:color="auto" w:sz="4" w:space="0"/>
              <w:left w:val="single" w:color="auto" w:sz="4" w:space="0"/>
              <w:bottom w:val="single" w:color="auto" w:sz="4" w:space="0"/>
              <w:right w:val="single" w:color="auto" w:sz="4" w:space="0"/>
            </w:tcBorders>
            <w:noWrap w:val="0"/>
            <w:vAlign w:val="center"/>
          </w:tcPr>
          <w:p w14:paraId="2E620310">
            <w:pPr>
              <w:spacing w:line="480" w:lineRule="exact"/>
              <w:rPr>
                <w:rFonts w:hint="eastAsia" w:ascii="宋体" w:hAnsi="宋体" w:cs="宋体"/>
                <w:b/>
                <w:sz w:val="24"/>
              </w:rPr>
            </w:pPr>
            <w:r>
              <w:rPr>
                <w:rFonts w:hint="eastAsia" w:ascii="宋体" w:hAnsi="宋体" w:cs="宋体"/>
                <w:sz w:val="24"/>
              </w:rPr>
              <w:t>100000以上</w:t>
            </w:r>
          </w:p>
        </w:tc>
        <w:tc>
          <w:tcPr>
            <w:tcW w:w="2076" w:type="dxa"/>
            <w:tcBorders>
              <w:top w:val="single" w:color="auto" w:sz="4" w:space="0"/>
              <w:left w:val="single" w:color="auto" w:sz="4" w:space="0"/>
              <w:bottom w:val="single" w:color="auto" w:sz="4" w:space="0"/>
              <w:right w:val="single" w:color="auto" w:sz="4" w:space="0"/>
            </w:tcBorders>
            <w:noWrap w:val="0"/>
            <w:vAlign w:val="center"/>
          </w:tcPr>
          <w:p w14:paraId="45AA1AFA">
            <w:pPr>
              <w:spacing w:line="480" w:lineRule="exact"/>
              <w:jc w:val="center"/>
              <w:rPr>
                <w:rFonts w:hint="eastAsia" w:ascii="宋体" w:hAnsi="宋体" w:cs="宋体"/>
                <w:b/>
                <w:sz w:val="24"/>
              </w:rPr>
            </w:pPr>
            <w:r>
              <w:rPr>
                <w:rFonts w:hint="eastAsia" w:ascii="宋体" w:hAnsi="宋体" w:cs="宋体"/>
                <w:sz w:val="24"/>
              </w:rPr>
              <w:t>0.01%</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2D08E85D">
            <w:pPr>
              <w:spacing w:line="480" w:lineRule="exact"/>
              <w:jc w:val="center"/>
              <w:rPr>
                <w:rFonts w:hint="eastAsia" w:ascii="宋体" w:hAnsi="宋体" w:cs="宋体"/>
                <w:b/>
                <w:sz w:val="24"/>
              </w:rPr>
            </w:pPr>
            <w:r>
              <w:rPr>
                <w:rFonts w:hint="eastAsia" w:ascii="宋体" w:hAnsi="宋体" w:cs="宋体"/>
                <w:sz w:val="24"/>
              </w:rPr>
              <w:t>0.01%</w:t>
            </w:r>
          </w:p>
        </w:tc>
        <w:tc>
          <w:tcPr>
            <w:tcW w:w="2370" w:type="dxa"/>
            <w:tcBorders>
              <w:top w:val="single" w:color="auto" w:sz="4" w:space="0"/>
              <w:left w:val="single" w:color="auto" w:sz="4" w:space="0"/>
              <w:bottom w:val="single" w:color="auto" w:sz="4" w:space="0"/>
              <w:right w:val="single" w:color="auto" w:sz="4" w:space="0"/>
            </w:tcBorders>
            <w:noWrap w:val="0"/>
            <w:vAlign w:val="center"/>
          </w:tcPr>
          <w:p w14:paraId="7C45505C">
            <w:pPr>
              <w:pStyle w:val="19"/>
              <w:spacing w:before="0" w:beforeAutospacing="0" w:after="0" w:afterAutospacing="0" w:line="480" w:lineRule="exact"/>
              <w:jc w:val="center"/>
              <w:rPr>
                <w:rFonts w:hint="eastAsia"/>
              </w:rPr>
            </w:pPr>
            <w:r>
              <w:rPr>
                <w:rFonts w:hint="eastAsia"/>
              </w:rPr>
              <w:t>0.015%</w:t>
            </w:r>
          </w:p>
        </w:tc>
      </w:tr>
    </w:tbl>
    <w:p w14:paraId="5C4D52CE">
      <w:pPr>
        <w:spacing w:line="360" w:lineRule="auto"/>
        <w:ind w:firstLine="600" w:firstLineChars="250"/>
        <w:rPr>
          <w:rFonts w:hint="eastAsia" w:ascii="宋体" w:hAnsi="宋体" w:cs="宋体"/>
          <w:sz w:val="24"/>
        </w:rPr>
      </w:pPr>
      <w:r>
        <w:rPr>
          <w:rFonts w:hint="eastAsia" w:ascii="宋体" w:hAnsi="宋体" w:cs="宋体"/>
          <w:sz w:val="24"/>
          <w:lang w:val="en-US" w:eastAsia="zh-CN"/>
        </w:rPr>
        <w:t>16</w:t>
      </w:r>
      <w:r>
        <w:rPr>
          <w:rFonts w:hint="eastAsia" w:ascii="宋体" w:hAnsi="宋体" w:cs="宋体"/>
          <w:sz w:val="24"/>
        </w:rPr>
        <w:t>.2 成交人在取得成交通知书时，向采购代理机构一次性缴付招标代理服务费。</w:t>
      </w:r>
    </w:p>
    <w:p w14:paraId="4FB49CB2">
      <w:pPr>
        <w:spacing w:line="360" w:lineRule="auto"/>
        <w:ind w:firstLine="600" w:firstLineChars="250"/>
        <w:rPr>
          <w:rFonts w:hint="eastAsia" w:ascii="宋体" w:hAnsi="宋体" w:cs="宋体"/>
          <w:sz w:val="24"/>
        </w:rPr>
      </w:pPr>
      <w:r>
        <w:rPr>
          <w:rFonts w:hint="eastAsia" w:ascii="宋体" w:hAnsi="宋体" w:cs="宋体"/>
          <w:sz w:val="24"/>
          <w:lang w:val="en-US" w:eastAsia="zh-CN"/>
        </w:rPr>
        <w:t>16</w:t>
      </w:r>
      <w:r>
        <w:rPr>
          <w:rFonts w:hint="eastAsia" w:ascii="宋体" w:hAnsi="宋体" w:cs="宋体"/>
          <w:sz w:val="24"/>
        </w:rPr>
        <w:t>.3 招标代理服务费以电汇或现金形式缴纳。</w:t>
      </w:r>
    </w:p>
    <w:p w14:paraId="25CA0ACD">
      <w:pPr>
        <w:numPr>
          <w:ilvl w:val="0"/>
          <w:numId w:val="0"/>
        </w:numPr>
        <w:spacing w:line="480" w:lineRule="auto"/>
        <w:rPr>
          <w:rFonts w:hint="eastAsia" w:ascii="宋体" w:hAnsi="宋体" w:eastAsia="宋体" w:cs="宋体"/>
          <w:color w:val="auto"/>
          <w:sz w:val="24"/>
        </w:rPr>
      </w:pPr>
    </w:p>
    <w:p w14:paraId="1182DAEA">
      <w:pPr>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br w:type="page"/>
      </w:r>
    </w:p>
    <w:p w14:paraId="67B72298">
      <w:pPr>
        <w:numPr>
          <w:ilvl w:val="0"/>
          <w:numId w:val="4"/>
        </w:numPr>
        <w:spacing w:line="360" w:lineRule="auto"/>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rPr>
        <w:t>磋商内容</w:t>
      </w:r>
      <w:r>
        <w:rPr>
          <w:rFonts w:hint="eastAsia" w:ascii="宋体" w:hAnsi="宋体" w:cs="宋体"/>
          <w:b/>
          <w:sz w:val="32"/>
          <w:szCs w:val="32"/>
          <w:highlight w:val="none"/>
          <w:lang w:val="en-US" w:eastAsia="zh-CN"/>
        </w:rPr>
        <w:t>及要求</w:t>
      </w:r>
    </w:p>
    <w:p w14:paraId="3BE5E47C">
      <w:pPr>
        <w:pStyle w:val="21"/>
        <w:numPr>
          <w:ilvl w:val="0"/>
          <w:numId w:val="5"/>
        </w:numPr>
        <w:snapToGrid w:val="0"/>
        <w:spacing w:before="0" w:beforeAutospacing="0" w:after="0" w:afterAutospacing="0" w:line="360" w:lineRule="auto"/>
        <w:ind w:firstLine="420" w:firstLineChars="0"/>
        <w:jc w:val="both"/>
        <w:textAlignment w:val="baseline"/>
        <w:rPr>
          <w:rFonts w:hint="eastAsia" w:ascii="宋体" w:hAnsi="宋体" w:eastAsia="宋体" w:cs="宋体"/>
          <w:b/>
          <w:bCs/>
          <w:i w:val="0"/>
          <w:caps w:val="0"/>
          <w:color w:val="000000" w:themeColor="text1"/>
          <w:spacing w:val="0"/>
          <w:w w:val="100"/>
          <w:sz w:val="24"/>
          <w:szCs w:val="24"/>
          <w:highlight w:val="none"/>
          <w:lang w:val="en-US" w:eastAsia="zh-CN"/>
          <w14:textFill>
            <w14:solidFill>
              <w14:schemeClr w14:val="tx1"/>
            </w14:solidFill>
          </w14:textFill>
        </w:rPr>
      </w:pPr>
      <w:r>
        <w:rPr>
          <w:rFonts w:hint="eastAsia" w:ascii="宋体" w:hAnsi="宋体" w:eastAsia="宋体" w:cs="宋体"/>
          <w:b/>
          <w:bCs/>
          <w:i w:val="0"/>
          <w:caps w:val="0"/>
          <w:color w:val="000000" w:themeColor="text1"/>
          <w:spacing w:val="0"/>
          <w:w w:val="100"/>
          <w:sz w:val="24"/>
          <w:szCs w:val="24"/>
          <w:highlight w:val="none"/>
          <w:lang w:val="en-US" w:eastAsia="zh-CN"/>
          <w14:textFill>
            <w14:solidFill>
              <w14:schemeClr w14:val="tx1"/>
            </w14:solidFill>
          </w14:textFill>
        </w:rPr>
        <w:t>项目名称：延安职业技术学院2026年度数字化教学资源建设与运行服务项目</w:t>
      </w:r>
      <w:r>
        <w:rPr>
          <w:rFonts w:hint="eastAsia" w:ascii="宋体" w:hAnsi="宋体" w:cs="宋体"/>
          <w:b/>
          <w:bCs/>
          <w:i w:val="0"/>
          <w:caps w:val="0"/>
          <w:color w:val="000000" w:themeColor="text1"/>
          <w:spacing w:val="0"/>
          <w:w w:val="100"/>
          <w:sz w:val="24"/>
          <w:szCs w:val="24"/>
          <w:highlight w:val="none"/>
          <w:lang w:val="en-US" w:eastAsia="zh-CN"/>
          <w14:textFill>
            <w14:solidFill>
              <w14:schemeClr w14:val="tx1"/>
            </w14:solidFill>
          </w14:textFill>
        </w:rPr>
        <w:t>（二标包）</w:t>
      </w:r>
    </w:p>
    <w:p w14:paraId="28219323">
      <w:pPr>
        <w:pStyle w:val="21"/>
        <w:numPr>
          <w:ilvl w:val="0"/>
          <w:numId w:val="5"/>
        </w:numPr>
        <w:snapToGrid w:val="0"/>
        <w:spacing w:before="0" w:beforeAutospacing="0" w:after="0" w:afterAutospacing="0" w:line="360" w:lineRule="auto"/>
        <w:ind w:firstLine="420" w:firstLineChars="0"/>
        <w:jc w:val="both"/>
        <w:textAlignment w:val="baseline"/>
        <w:rPr>
          <w:rFonts w:hint="eastAsia" w:ascii="宋体" w:hAnsi="宋体" w:eastAsia="宋体" w:cs="宋体"/>
          <w:b/>
          <w:bCs/>
          <w:i w:val="0"/>
          <w:caps w:val="0"/>
          <w:color w:val="000000" w:themeColor="text1"/>
          <w:spacing w:val="0"/>
          <w:w w:val="100"/>
          <w:sz w:val="24"/>
          <w:szCs w:val="24"/>
          <w:highlight w:val="none"/>
          <w:lang w:val="en-US" w:eastAsia="zh-CN"/>
          <w14:textFill>
            <w14:solidFill>
              <w14:schemeClr w14:val="tx1"/>
            </w14:solidFill>
          </w14:textFill>
        </w:rPr>
      </w:pPr>
      <w:r>
        <w:rPr>
          <w:rFonts w:hint="eastAsia" w:ascii="宋体" w:hAnsi="宋体" w:eastAsia="宋体" w:cs="宋体"/>
          <w:b/>
          <w:bCs/>
          <w:i w:val="0"/>
          <w:caps w:val="0"/>
          <w:color w:val="000000" w:themeColor="text1"/>
          <w:spacing w:val="0"/>
          <w:w w:val="100"/>
          <w:sz w:val="24"/>
          <w:szCs w:val="24"/>
          <w:highlight w:val="none"/>
          <w:lang w:val="en-US" w:eastAsia="zh-CN"/>
          <w14:textFill>
            <w14:solidFill>
              <w14:schemeClr w14:val="tx1"/>
            </w14:solidFill>
          </w14:textFill>
        </w:rPr>
        <w:t xml:space="preserve">服务期：自签订合同之日起36个月 </w:t>
      </w:r>
    </w:p>
    <w:p w14:paraId="66537CA4">
      <w:pPr>
        <w:pStyle w:val="21"/>
        <w:numPr>
          <w:ilvl w:val="0"/>
          <w:numId w:val="5"/>
        </w:numPr>
        <w:snapToGrid w:val="0"/>
        <w:spacing w:before="0" w:beforeAutospacing="0" w:after="0" w:afterAutospacing="0" w:line="360" w:lineRule="auto"/>
        <w:ind w:firstLine="420" w:firstLineChars="0"/>
        <w:jc w:val="both"/>
        <w:textAlignment w:val="baseline"/>
        <w:rPr>
          <w:rFonts w:hint="eastAsia" w:ascii="宋体" w:hAnsi="宋体" w:eastAsia="宋体" w:cs="宋体"/>
          <w:b/>
          <w:bCs/>
          <w:i w:val="0"/>
          <w:caps w:val="0"/>
          <w:color w:val="000000" w:themeColor="text1"/>
          <w:spacing w:val="0"/>
          <w:w w:val="100"/>
          <w:sz w:val="24"/>
          <w:szCs w:val="24"/>
          <w:highlight w:val="none"/>
          <w:lang w:val="en-US" w:eastAsia="zh-CN"/>
          <w14:textFill>
            <w14:solidFill>
              <w14:schemeClr w14:val="tx1"/>
            </w14:solidFill>
          </w14:textFill>
        </w:rPr>
      </w:pPr>
      <w:r>
        <w:rPr>
          <w:rFonts w:hint="eastAsia" w:ascii="宋体" w:hAnsi="宋体" w:eastAsia="宋体" w:cs="宋体"/>
          <w:b/>
          <w:bCs/>
          <w:i w:val="0"/>
          <w:caps w:val="0"/>
          <w:color w:val="000000" w:themeColor="text1"/>
          <w:spacing w:val="0"/>
          <w:w w:val="100"/>
          <w:sz w:val="24"/>
          <w:szCs w:val="24"/>
          <w:highlight w:val="none"/>
          <w:lang w:val="en-US" w:eastAsia="zh-CN"/>
          <w14:textFill>
            <w14:solidFill>
              <w14:schemeClr w14:val="tx1"/>
            </w14:solidFill>
          </w14:textFill>
        </w:rPr>
        <w:t>质量目标：合格。</w:t>
      </w:r>
    </w:p>
    <w:p w14:paraId="459FD1DC">
      <w:pPr>
        <w:pStyle w:val="21"/>
        <w:numPr>
          <w:ilvl w:val="0"/>
          <w:numId w:val="5"/>
        </w:numPr>
        <w:snapToGrid w:val="0"/>
        <w:spacing w:before="0" w:beforeAutospacing="0" w:after="0" w:afterAutospacing="0" w:line="360" w:lineRule="auto"/>
        <w:ind w:firstLine="420" w:firstLineChars="0"/>
        <w:jc w:val="both"/>
        <w:textAlignment w:val="baseline"/>
        <w:rPr>
          <w:rFonts w:hint="default" w:ascii="宋体" w:hAnsi="宋体" w:eastAsia="宋体" w:cs="宋体"/>
          <w:b/>
          <w:bCs/>
          <w:i w:val="0"/>
          <w:caps w:val="0"/>
          <w:color w:val="000000" w:themeColor="text1"/>
          <w:spacing w:val="0"/>
          <w:w w:val="100"/>
          <w:sz w:val="24"/>
          <w:szCs w:val="24"/>
          <w:highlight w:val="none"/>
          <w:lang w:val="en-US" w:eastAsia="zh-CN"/>
          <w14:textFill>
            <w14:solidFill>
              <w14:schemeClr w14:val="tx1"/>
            </w14:solidFill>
          </w14:textFill>
        </w:rPr>
      </w:pPr>
      <w:r>
        <w:rPr>
          <w:rFonts w:hint="default" w:ascii="宋体" w:hAnsi="宋体" w:eastAsia="宋体" w:cs="宋体"/>
          <w:b/>
          <w:bCs/>
          <w:i w:val="0"/>
          <w:caps w:val="0"/>
          <w:color w:val="000000" w:themeColor="text1"/>
          <w:spacing w:val="0"/>
          <w:w w:val="100"/>
          <w:sz w:val="24"/>
          <w:szCs w:val="24"/>
          <w:highlight w:val="none"/>
          <w:lang w:val="en-US" w:eastAsia="zh-CN"/>
          <w14:textFill>
            <w14:solidFill>
              <w14:schemeClr w14:val="tx1"/>
            </w14:solidFill>
          </w14:textFill>
        </w:rPr>
        <w:t>采购项目内容及限价</w:t>
      </w:r>
    </w:p>
    <w:p w14:paraId="56D3855F">
      <w:pPr>
        <w:spacing w:line="560" w:lineRule="exact"/>
        <w:ind w:firstLine="480" w:firstLineChars="200"/>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（一）项目内容</w:t>
      </w:r>
    </w:p>
    <w:tbl>
      <w:tblPr>
        <w:tblStyle w:val="23"/>
        <w:tblW w:w="9437"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3055"/>
        <w:gridCol w:w="2766"/>
        <w:gridCol w:w="2805"/>
      </w:tblGrid>
      <w:tr w14:paraId="1A681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811" w:type="dxa"/>
            <w:noWrap w:val="0"/>
            <w:vAlign w:val="center"/>
          </w:tcPr>
          <w:p w14:paraId="61163B2B">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序号</w:t>
            </w:r>
          </w:p>
        </w:tc>
        <w:tc>
          <w:tcPr>
            <w:tcW w:w="3055" w:type="dxa"/>
            <w:noWrap w:val="0"/>
            <w:vAlign w:val="center"/>
          </w:tcPr>
          <w:p w14:paraId="7D2E76BE">
            <w:pPr>
              <w:widowControl/>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2766" w:type="dxa"/>
            <w:noWrap w:val="0"/>
            <w:vAlign w:val="center"/>
          </w:tcPr>
          <w:p w14:paraId="4527686B">
            <w:pPr>
              <w:widowControl/>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项目内容</w:t>
            </w:r>
          </w:p>
        </w:tc>
        <w:tc>
          <w:tcPr>
            <w:tcW w:w="2805" w:type="dxa"/>
            <w:noWrap w:val="0"/>
            <w:vAlign w:val="center"/>
          </w:tcPr>
          <w:p w14:paraId="03BB7A25">
            <w:pPr>
              <w:widowControl/>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1517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trPr>
        <w:tc>
          <w:tcPr>
            <w:tcW w:w="811" w:type="dxa"/>
            <w:noWrap w:val="0"/>
            <w:vAlign w:val="center"/>
          </w:tcPr>
          <w:p w14:paraId="13EB3BDF">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w:t>
            </w:r>
          </w:p>
        </w:tc>
        <w:tc>
          <w:tcPr>
            <w:tcW w:w="3055" w:type="dxa"/>
            <w:noWrap w:val="0"/>
            <w:vAlign w:val="center"/>
          </w:tcPr>
          <w:p w14:paraId="34D379DE">
            <w:pPr>
              <w:pStyle w:val="2"/>
              <w:keepLines w:val="0"/>
              <w:pageBreakBefore w:val="0"/>
              <w:kinsoku/>
              <w:bidi w:val="0"/>
              <w:spacing w:line="560" w:lineRule="exact"/>
              <w:ind w:left="0"/>
              <w:jc w:val="center"/>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智慧课程平台服务项目</w:t>
            </w:r>
          </w:p>
          <w:p w14:paraId="0FA06E9E">
            <w:pPr>
              <w:widowControl/>
              <w:spacing w:line="400" w:lineRule="exact"/>
              <w:jc w:val="center"/>
              <w:rPr>
                <w:rFonts w:hint="eastAsia" w:ascii="宋体" w:hAnsi="宋体" w:eastAsia="宋体" w:cs="宋体"/>
                <w:color w:val="000000"/>
                <w:sz w:val="24"/>
                <w:szCs w:val="24"/>
                <w:lang w:val="en-US" w:eastAsia="zh-CN"/>
              </w:rPr>
            </w:pPr>
          </w:p>
        </w:tc>
        <w:tc>
          <w:tcPr>
            <w:tcW w:w="2766" w:type="dxa"/>
            <w:noWrap w:val="0"/>
            <w:vAlign w:val="center"/>
          </w:tcPr>
          <w:p w14:paraId="11C17783">
            <w:pPr>
              <w:keepNext w:val="0"/>
              <w:keepLines w:val="0"/>
              <w:widowControl/>
              <w:suppressLineNumbers w:val="0"/>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kern w:val="2"/>
                <w:sz w:val="24"/>
                <w:szCs w:val="24"/>
                <w:lang w:val="en-US" w:eastAsia="zh-CN" w:bidi="ar-SA"/>
              </w:rPr>
              <w:t>集合网络教学平台、AI助教、AI教学应用、图谱等功能</w:t>
            </w:r>
          </w:p>
        </w:tc>
        <w:tc>
          <w:tcPr>
            <w:tcW w:w="2805" w:type="dxa"/>
            <w:noWrap w:val="0"/>
            <w:vAlign w:val="center"/>
          </w:tcPr>
          <w:p w14:paraId="20F89349">
            <w:pPr>
              <w:widowControl/>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具体要求及技术、服务指标详见采购项目的技术参数及要求</w:t>
            </w:r>
            <w:r>
              <w:rPr>
                <w:rFonts w:hint="eastAsia" w:ascii="宋体" w:hAnsi="宋体" w:eastAsia="宋体" w:cs="宋体"/>
                <w:color w:val="auto"/>
                <w:sz w:val="24"/>
                <w:szCs w:val="24"/>
                <w:lang w:val="en-US" w:eastAsia="zh-CN"/>
              </w:rPr>
              <w:t>载明内容</w:t>
            </w:r>
          </w:p>
        </w:tc>
      </w:tr>
    </w:tbl>
    <w:p w14:paraId="1EA0DC79">
      <w:pPr>
        <w:spacing w:line="560" w:lineRule="exact"/>
        <w:ind w:firstLine="480" w:firstLineChars="200"/>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（二）采购内容最高限价</w:t>
      </w:r>
    </w:p>
    <w:tbl>
      <w:tblPr>
        <w:tblStyle w:val="23"/>
        <w:tblpPr w:leftFromText="180" w:rightFromText="180" w:vertAnchor="text" w:horzAnchor="page" w:tblpX="1445" w:tblpY="3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5"/>
        <w:gridCol w:w="3424"/>
        <w:gridCol w:w="1487"/>
        <w:gridCol w:w="1381"/>
        <w:gridCol w:w="1508"/>
      </w:tblGrid>
      <w:tr w14:paraId="6436A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625" w:type="dxa"/>
            <w:noWrap w:val="0"/>
            <w:vAlign w:val="center"/>
          </w:tcPr>
          <w:p w14:paraId="1E8ACC96">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序号</w:t>
            </w:r>
          </w:p>
        </w:tc>
        <w:tc>
          <w:tcPr>
            <w:tcW w:w="3424" w:type="dxa"/>
            <w:noWrap w:val="0"/>
            <w:vAlign w:val="center"/>
          </w:tcPr>
          <w:p w14:paraId="4391BF24">
            <w:pPr>
              <w:widowControl/>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1487" w:type="dxa"/>
            <w:noWrap w:val="0"/>
            <w:vAlign w:val="center"/>
          </w:tcPr>
          <w:p w14:paraId="683AF0F2">
            <w:pPr>
              <w:widowControl/>
              <w:spacing w:line="400" w:lineRule="exact"/>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单价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元</w:t>
            </w:r>
            <w:r>
              <w:rPr>
                <w:rFonts w:hint="eastAsia" w:ascii="宋体" w:hAnsi="宋体" w:eastAsia="宋体" w:cs="宋体"/>
                <w:color w:val="000000"/>
                <w:sz w:val="24"/>
                <w:szCs w:val="24"/>
                <w:lang w:eastAsia="zh-CN"/>
              </w:rPr>
              <w:t>）</w:t>
            </w:r>
          </w:p>
        </w:tc>
        <w:tc>
          <w:tcPr>
            <w:tcW w:w="1381" w:type="dxa"/>
            <w:noWrap w:val="0"/>
            <w:vAlign w:val="center"/>
          </w:tcPr>
          <w:p w14:paraId="220CEB33">
            <w:pPr>
              <w:widowControl/>
              <w:spacing w:line="400" w:lineRule="exact"/>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数量</w:t>
            </w:r>
            <w:r>
              <w:rPr>
                <w:rFonts w:hint="eastAsia" w:ascii="宋体" w:hAnsi="宋体" w:cs="宋体"/>
                <w:color w:val="000000"/>
                <w:sz w:val="24"/>
                <w:szCs w:val="24"/>
                <w:lang w:val="en-US" w:eastAsia="zh-CN"/>
              </w:rPr>
              <w:t>/单位</w:t>
            </w:r>
          </w:p>
        </w:tc>
        <w:tc>
          <w:tcPr>
            <w:tcW w:w="1508" w:type="dxa"/>
            <w:noWrap w:val="0"/>
            <w:vAlign w:val="center"/>
          </w:tcPr>
          <w:p w14:paraId="1CB1716A">
            <w:pPr>
              <w:widowControl/>
              <w:spacing w:line="400" w:lineRule="exact"/>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总价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元</w:t>
            </w:r>
            <w:r>
              <w:rPr>
                <w:rFonts w:hint="eastAsia" w:ascii="宋体" w:hAnsi="宋体" w:eastAsia="宋体" w:cs="宋体"/>
                <w:color w:val="000000"/>
                <w:sz w:val="24"/>
                <w:szCs w:val="24"/>
                <w:lang w:eastAsia="zh-CN"/>
              </w:rPr>
              <w:t>）</w:t>
            </w:r>
          </w:p>
        </w:tc>
      </w:tr>
      <w:tr w14:paraId="2AE0A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1625" w:type="dxa"/>
            <w:noWrap w:val="0"/>
            <w:vAlign w:val="center"/>
          </w:tcPr>
          <w:p w14:paraId="53336F44">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w:t>
            </w:r>
          </w:p>
        </w:tc>
        <w:tc>
          <w:tcPr>
            <w:tcW w:w="3424" w:type="dxa"/>
            <w:noWrap w:val="0"/>
            <w:vAlign w:val="center"/>
          </w:tcPr>
          <w:p w14:paraId="723E36AD">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延安职业技术学院2026年度数字化教学资源(</w:t>
            </w:r>
            <w:r>
              <w:rPr>
                <w:rFonts w:hint="eastAsia" w:ascii="宋体" w:hAnsi="宋体" w:eastAsia="宋体" w:cs="宋体"/>
                <w:b w:val="0"/>
                <w:bCs w:val="0"/>
                <w:color w:val="000000"/>
                <w:kern w:val="2"/>
                <w:sz w:val="24"/>
                <w:szCs w:val="24"/>
                <w:lang w:val="en-US" w:eastAsia="zh-CN" w:bidi="ar-SA"/>
              </w:rPr>
              <w:t>智慧课程平台</w:t>
            </w:r>
            <w:r>
              <w:rPr>
                <w:rFonts w:hint="eastAsia" w:ascii="宋体" w:hAnsi="宋体" w:eastAsia="宋体" w:cs="宋体"/>
                <w:color w:val="000000"/>
                <w:sz w:val="24"/>
                <w:szCs w:val="24"/>
                <w:lang w:val="en-US" w:eastAsia="zh-CN"/>
              </w:rPr>
              <w:t>)服务项目</w:t>
            </w:r>
          </w:p>
        </w:tc>
        <w:tc>
          <w:tcPr>
            <w:tcW w:w="1487" w:type="dxa"/>
            <w:noWrap w:val="0"/>
            <w:vAlign w:val="center"/>
          </w:tcPr>
          <w:p w14:paraId="21BF76FC">
            <w:pPr>
              <w:widowControl/>
              <w:spacing w:line="400" w:lineRule="exact"/>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177</w:t>
            </w:r>
            <w:r>
              <w:rPr>
                <w:rFonts w:hint="eastAsia" w:ascii="宋体" w:hAnsi="宋体" w:cs="宋体"/>
                <w:color w:val="000000"/>
                <w:sz w:val="24"/>
                <w:szCs w:val="24"/>
                <w:lang w:val="en-US" w:eastAsia="zh-CN"/>
              </w:rPr>
              <w:t>000.00</w:t>
            </w:r>
          </w:p>
        </w:tc>
        <w:tc>
          <w:tcPr>
            <w:tcW w:w="1381" w:type="dxa"/>
            <w:noWrap w:val="0"/>
            <w:vAlign w:val="center"/>
          </w:tcPr>
          <w:p w14:paraId="7F80813A">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1套</w:t>
            </w:r>
          </w:p>
        </w:tc>
        <w:tc>
          <w:tcPr>
            <w:tcW w:w="1508" w:type="dxa"/>
            <w:noWrap w:val="0"/>
            <w:vAlign w:val="center"/>
          </w:tcPr>
          <w:p w14:paraId="08A605DE">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177</w:t>
            </w:r>
            <w:r>
              <w:rPr>
                <w:rFonts w:hint="eastAsia" w:ascii="宋体" w:hAnsi="宋体" w:cs="宋体"/>
                <w:color w:val="000000"/>
                <w:sz w:val="24"/>
                <w:szCs w:val="24"/>
                <w:lang w:val="en-US" w:eastAsia="zh-CN"/>
              </w:rPr>
              <w:t>000.00</w:t>
            </w:r>
          </w:p>
        </w:tc>
      </w:tr>
    </w:tbl>
    <w:p w14:paraId="1F474E99">
      <w:pPr>
        <w:widowControl/>
        <w:numPr>
          <w:ilvl w:val="0"/>
          <w:numId w:val="0"/>
        </w:numPr>
        <w:spacing w:line="540" w:lineRule="atLeast"/>
        <w:ind w:left="420" w:leftChars="0"/>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五、</w:t>
      </w:r>
      <w:r>
        <w:rPr>
          <w:rFonts w:hint="eastAsia" w:ascii="宋体" w:hAnsi="宋体" w:eastAsia="宋体" w:cs="宋体"/>
          <w:b w:val="0"/>
          <w:bCs/>
          <w:color w:val="000000"/>
          <w:sz w:val="24"/>
          <w:szCs w:val="24"/>
        </w:rPr>
        <w:t>采购项目的技术参数及要求</w:t>
      </w:r>
    </w:p>
    <w:p w14:paraId="060BB44C">
      <w:pPr>
        <w:numPr>
          <w:ilvl w:val="0"/>
          <w:numId w:val="0"/>
        </w:numPr>
        <w:spacing w:line="560" w:lineRule="exact"/>
        <w:ind w:firstLine="241" w:firstLineChars="100"/>
        <w:rPr>
          <w:rFonts w:hint="eastAsia" w:ascii="宋体" w:hAnsi="宋体" w:eastAsia="宋体" w:cs="宋体"/>
          <w:b/>
          <w:color w:val="000000"/>
          <w:kern w:val="2"/>
          <w:sz w:val="24"/>
          <w:szCs w:val="24"/>
          <w:lang w:val="en-US" w:eastAsia="zh-CN" w:bidi="ar-SA"/>
        </w:rPr>
      </w:pPr>
      <w:r>
        <w:rPr>
          <w:rFonts w:hint="eastAsia" w:ascii="宋体" w:hAnsi="宋体" w:eastAsia="宋体" w:cs="宋体"/>
          <w:b/>
          <w:color w:val="000000"/>
          <w:kern w:val="2"/>
          <w:sz w:val="24"/>
          <w:szCs w:val="24"/>
          <w:lang w:val="en-US" w:eastAsia="zh-CN" w:bidi="ar-SA"/>
        </w:rPr>
        <w:t>（</w:t>
      </w:r>
      <w:r>
        <w:rPr>
          <w:rFonts w:hint="eastAsia" w:ascii="宋体" w:hAnsi="宋体" w:cs="宋体"/>
          <w:b/>
          <w:color w:val="000000"/>
          <w:kern w:val="2"/>
          <w:sz w:val="24"/>
          <w:szCs w:val="24"/>
          <w:lang w:val="en-US" w:eastAsia="zh-CN" w:bidi="ar-SA"/>
        </w:rPr>
        <w:t>一</w:t>
      </w:r>
      <w:r>
        <w:rPr>
          <w:rFonts w:hint="eastAsia" w:ascii="宋体" w:hAnsi="宋体" w:eastAsia="宋体" w:cs="宋体"/>
          <w:b/>
          <w:color w:val="000000"/>
          <w:kern w:val="2"/>
          <w:sz w:val="24"/>
          <w:szCs w:val="24"/>
          <w:lang w:val="en-US" w:eastAsia="zh-CN" w:bidi="ar-SA"/>
        </w:rPr>
        <w:t>）智慧课程平台项目</w:t>
      </w:r>
    </w:p>
    <w:p w14:paraId="6CF0CD2F">
      <w:pPr>
        <w:pageBreakBefore w:val="0"/>
        <w:numPr>
          <w:ilvl w:val="0"/>
          <w:numId w:val="0"/>
        </w:numPr>
        <w:tabs>
          <w:tab w:val="left" w:pos="540"/>
        </w:tabs>
        <w:kinsoku/>
        <w:wordWrap/>
        <w:topLinePunct w:val="0"/>
        <w:bidi w:val="0"/>
        <w:snapToGrid w:val="0"/>
        <w:spacing w:line="560" w:lineRule="exact"/>
        <w:ind w:firstLine="480" w:firstLineChars="200"/>
        <w:rPr>
          <w:rFonts w:hint="eastAsia" w:ascii="宋体" w:hAnsi="宋体" w:eastAsia="宋体" w:cs="宋体"/>
          <w:b w:val="0"/>
          <w:bCs w:val="0"/>
          <w:kern w:val="44"/>
          <w:sz w:val="24"/>
          <w:szCs w:val="24"/>
          <w:lang w:val="en-US" w:eastAsia="zh-CN" w:bidi="ar-SA"/>
        </w:rPr>
      </w:pPr>
      <w:r>
        <w:rPr>
          <w:rFonts w:hint="eastAsia" w:ascii="宋体" w:hAnsi="宋体" w:eastAsia="宋体" w:cs="宋体"/>
          <w:b w:val="0"/>
          <w:bCs w:val="0"/>
          <w:kern w:val="44"/>
          <w:sz w:val="24"/>
          <w:szCs w:val="24"/>
          <w:lang w:val="en-US" w:eastAsia="zh-CN" w:bidi="ar-SA"/>
        </w:rPr>
        <w:t>1.采购内容及清单</w:t>
      </w:r>
    </w:p>
    <w:tbl>
      <w:tblPr>
        <w:tblStyle w:val="23"/>
        <w:tblpPr w:leftFromText="180" w:rightFromText="180" w:vertAnchor="text" w:horzAnchor="page" w:tblpX="1341" w:tblpY="3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3600"/>
        <w:gridCol w:w="2400"/>
        <w:gridCol w:w="849"/>
        <w:gridCol w:w="1508"/>
      </w:tblGrid>
      <w:tr w14:paraId="3E87F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1172" w:type="dxa"/>
            <w:noWrap w:val="0"/>
            <w:vAlign w:val="center"/>
          </w:tcPr>
          <w:p w14:paraId="77AE7D9C">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序号</w:t>
            </w:r>
          </w:p>
        </w:tc>
        <w:tc>
          <w:tcPr>
            <w:tcW w:w="3600" w:type="dxa"/>
            <w:noWrap w:val="0"/>
            <w:vAlign w:val="center"/>
          </w:tcPr>
          <w:p w14:paraId="298AA5C3">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项目名称</w:t>
            </w:r>
          </w:p>
        </w:tc>
        <w:tc>
          <w:tcPr>
            <w:tcW w:w="2400" w:type="dxa"/>
            <w:noWrap w:val="0"/>
            <w:vAlign w:val="center"/>
          </w:tcPr>
          <w:p w14:paraId="50D9D9C3">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项目内容</w:t>
            </w:r>
          </w:p>
        </w:tc>
        <w:tc>
          <w:tcPr>
            <w:tcW w:w="849" w:type="dxa"/>
            <w:noWrap w:val="0"/>
            <w:vAlign w:val="center"/>
          </w:tcPr>
          <w:p w14:paraId="6E5AC210">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数量</w:t>
            </w:r>
            <w:r>
              <w:rPr>
                <w:rFonts w:hint="eastAsia" w:ascii="宋体" w:hAnsi="宋体" w:cs="宋体"/>
                <w:color w:val="000000"/>
                <w:sz w:val="24"/>
                <w:szCs w:val="24"/>
                <w:lang w:val="en-US" w:eastAsia="zh-CN"/>
              </w:rPr>
              <w:t>/单位</w:t>
            </w:r>
          </w:p>
        </w:tc>
        <w:tc>
          <w:tcPr>
            <w:tcW w:w="1508" w:type="dxa"/>
            <w:noWrap w:val="0"/>
            <w:vAlign w:val="center"/>
          </w:tcPr>
          <w:p w14:paraId="5DF198DC">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总价</w:t>
            </w:r>
            <w:r>
              <w:rPr>
                <w:rFonts w:hint="eastAsia" w:ascii="宋体" w:hAnsi="宋体" w:cs="宋体"/>
                <w:color w:val="000000"/>
                <w:sz w:val="24"/>
                <w:szCs w:val="24"/>
                <w:lang w:val="en-US" w:eastAsia="zh-CN"/>
              </w:rPr>
              <w:t>（元）</w:t>
            </w:r>
          </w:p>
        </w:tc>
      </w:tr>
      <w:tr w14:paraId="0807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1172" w:type="dxa"/>
            <w:noWrap w:val="0"/>
            <w:vAlign w:val="center"/>
          </w:tcPr>
          <w:p w14:paraId="07E3FF59">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3600" w:type="dxa"/>
            <w:noWrap w:val="0"/>
            <w:vAlign w:val="center"/>
          </w:tcPr>
          <w:p w14:paraId="52A23F6F">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延安职业技术学院2026年度数字化教学资源(</w:t>
            </w:r>
            <w:r>
              <w:rPr>
                <w:rFonts w:hint="eastAsia" w:ascii="宋体" w:hAnsi="宋体" w:eastAsia="宋体" w:cs="宋体"/>
                <w:b w:val="0"/>
                <w:bCs w:val="0"/>
                <w:color w:val="000000"/>
                <w:kern w:val="2"/>
                <w:sz w:val="24"/>
                <w:szCs w:val="24"/>
                <w:lang w:val="en-US" w:eastAsia="zh-CN" w:bidi="ar-SA"/>
              </w:rPr>
              <w:t>智慧课程平台</w:t>
            </w:r>
            <w:r>
              <w:rPr>
                <w:rFonts w:hint="eastAsia" w:ascii="宋体" w:hAnsi="宋体" w:eastAsia="宋体" w:cs="宋体"/>
                <w:color w:val="000000"/>
                <w:sz w:val="24"/>
                <w:szCs w:val="24"/>
                <w:lang w:val="en-US" w:eastAsia="zh-CN"/>
              </w:rPr>
              <w:t>)服务项目</w:t>
            </w:r>
          </w:p>
        </w:tc>
        <w:tc>
          <w:tcPr>
            <w:tcW w:w="2400" w:type="dxa"/>
            <w:noWrap w:val="0"/>
            <w:vAlign w:val="center"/>
          </w:tcPr>
          <w:p w14:paraId="0F4C2172">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集合网络教学平台、AI助教、AI教学应用、图谱等功能</w:t>
            </w:r>
          </w:p>
        </w:tc>
        <w:tc>
          <w:tcPr>
            <w:tcW w:w="849" w:type="dxa"/>
            <w:noWrap w:val="0"/>
            <w:vAlign w:val="center"/>
          </w:tcPr>
          <w:p w14:paraId="7F91399B">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1套</w:t>
            </w:r>
          </w:p>
        </w:tc>
        <w:tc>
          <w:tcPr>
            <w:tcW w:w="1508" w:type="dxa"/>
            <w:noWrap w:val="0"/>
            <w:vAlign w:val="center"/>
          </w:tcPr>
          <w:p w14:paraId="4C321A53">
            <w:pPr>
              <w:widowControl/>
              <w:spacing w:line="400" w:lineRule="exact"/>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177</w:t>
            </w:r>
            <w:r>
              <w:rPr>
                <w:rFonts w:hint="eastAsia" w:ascii="宋体" w:hAnsi="宋体" w:cs="宋体"/>
                <w:color w:val="000000"/>
                <w:sz w:val="24"/>
                <w:szCs w:val="24"/>
                <w:lang w:val="en-US" w:eastAsia="zh-CN"/>
              </w:rPr>
              <w:t>000.00</w:t>
            </w:r>
          </w:p>
        </w:tc>
      </w:tr>
    </w:tbl>
    <w:p w14:paraId="39FB117E">
      <w:pPr>
        <w:pStyle w:val="20"/>
        <w:pageBreakBefore w:val="0"/>
        <w:numPr>
          <w:ilvl w:val="0"/>
          <w:numId w:val="0"/>
        </w:numPr>
        <w:kinsoku/>
        <w:wordWrap/>
        <w:topLinePunct w:val="0"/>
        <w:bidi w:val="0"/>
        <w:spacing w:line="560" w:lineRule="exact"/>
        <w:ind w:leftChars="200"/>
        <w:jc w:val="left"/>
        <w:outlineLvl w:val="1"/>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2.服务要求</w:t>
      </w:r>
    </w:p>
    <w:p w14:paraId="406EEEE1">
      <w:pPr>
        <w:pStyle w:val="20"/>
        <w:keepNext w:val="0"/>
        <w:keepLines w:val="0"/>
        <w:pageBreakBefore w:val="0"/>
        <w:widowControl/>
        <w:numPr>
          <w:ilvl w:val="0"/>
          <w:numId w:val="0"/>
        </w:numPr>
        <w:kinsoku/>
        <w:wordWrap/>
        <w:overflowPunct w:val="0"/>
        <w:topLinePunct w:val="0"/>
        <w:autoSpaceDE w:val="0"/>
        <w:autoSpaceDN w:val="0"/>
        <w:bidi w:val="0"/>
        <w:adjustRightInd w:val="0"/>
        <w:snapToGrid/>
        <w:spacing w:line="560" w:lineRule="exact"/>
        <w:ind w:firstLine="480" w:firstLineChars="200"/>
        <w:jc w:val="left"/>
        <w:textAlignment w:val="baseline"/>
        <w:outlineLvl w:val="1"/>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本项目拟建设延安职业技术学院专属智慧课程平台，涵盖网络教学平台、移动端、教室端、管理端、AI助教、AI智能教学应用、课程知识图谱等模块，并配套运营服务。具体要求如下：</w:t>
      </w:r>
    </w:p>
    <w:p w14:paraId="62581EDD">
      <w:pPr>
        <w:pStyle w:val="20"/>
        <w:keepNext w:val="0"/>
        <w:keepLines w:val="0"/>
        <w:pageBreakBefore w:val="0"/>
        <w:widowControl/>
        <w:numPr>
          <w:ilvl w:val="0"/>
          <w:numId w:val="6"/>
        </w:numPr>
        <w:kinsoku/>
        <w:wordWrap/>
        <w:overflowPunct w:val="0"/>
        <w:topLinePunct w:val="0"/>
        <w:autoSpaceDE w:val="0"/>
        <w:autoSpaceDN w:val="0"/>
        <w:bidi w:val="0"/>
        <w:adjustRightInd w:val="0"/>
        <w:snapToGrid/>
        <w:spacing w:line="560" w:lineRule="exact"/>
        <w:ind w:firstLine="480" w:firstLineChars="200"/>
        <w:jc w:val="left"/>
        <w:textAlignment w:val="baseline"/>
        <w:outlineLvl w:val="1"/>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部署方式</w:t>
      </w:r>
    </w:p>
    <w:p w14:paraId="4E6D4B09">
      <w:pPr>
        <w:pStyle w:val="20"/>
        <w:keepNext w:val="0"/>
        <w:keepLines w:val="0"/>
        <w:pageBreakBefore w:val="0"/>
        <w:widowControl/>
        <w:numPr>
          <w:ilvl w:val="0"/>
          <w:numId w:val="0"/>
        </w:numPr>
        <w:kinsoku/>
        <w:wordWrap/>
        <w:overflowPunct w:val="0"/>
        <w:topLinePunct w:val="0"/>
        <w:autoSpaceDE w:val="0"/>
        <w:autoSpaceDN w:val="0"/>
        <w:bidi w:val="0"/>
        <w:adjustRightInd w:val="0"/>
        <w:snapToGrid/>
        <w:spacing w:line="560" w:lineRule="exact"/>
        <w:ind w:firstLine="480" w:firstLineChars="200"/>
        <w:jc w:val="left"/>
        <w:textAlignment w:val="baseline"/>
        <w:outlineLvl w:val="1"/>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采用云服务模式部署，平台功能及性能须满足学校日常教学、管理、互动、数据分析等需求。提供系统运维及数据备份服务，确保平台稳定运行。</w:t>
      </w:r>
    </w:p>
    <w:p w14:paraId="329C8BF6">
      <w:pPr>
        <w:pStyle w:val="20"/>
        <w:keepNext w:val="0"/>
        <w:keepLines w:val="0"/>
        <w:pageBreakBefore w:val="0"/>
        <w:widowControl/>
        <w:numPr>
          <w:ilvl w:val="0"/>
          <w:numId w:val="6"/>
        </w:numPr>
        <w:kinsoku/>
        <w:wordWrap/>
        <w:overflowPunct w:val="0"/>
        <w:topLinePunct w:val="0"/>
        <w:autoSpaceDE w:val="0"/>
        <w:autoSpaceDN w:val="0"/>
        <w:bidi w:val="0"/>
        <w:adjustRightInd w:val="0"/>
        <w:snapToGrid/>
        <w:spacing w:line="560" w:lineRule="exact"/>
        <w:ind w:left="0" w:leftChars="0" w:firstLine="480" w:firstLineChars="200"/>
        <w:jc w:val="left"/>
        <w:textAlignment w:val="baseline"/>
        <w:outlineLvl w:val="1"/>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系统集成与数据</w:t>
      </w:r>
    </w:p>
    <w:p w14:paraId="0B6C28A2">
      <w:pPr>
        <w:pStyle w:val="20"/>
        <w:keepNext w:val="0"/>
        <w:keepLines w:val="0"/>
        <w:pageBreakBefore w:val="0"/>
        <w:widowControl/>
        <w:numPr>
          <w:ilvl w:val="0"/>
          <w:numId w:val="0"/>
        </w:numPr>
        <w:kinsoku/>
        <w:wordWrap/>
        <w:overflowPunct w:val="0"/>
        <w:topLinePunct w:val="0"/>
        <w:autoSpaceDE w:val="0"/>
        <w:autoSpaceDN w:val="0"/>
        <w:bidi w:val="0"/>
        <w:adjustRightInd w:val="0"/>
        <w:snapToGrid/>
        <w:spacing w:line="560" w:lineRule="exact"/>
        <w:ind w:firstLine="480" w:firstLineChars="200"/>
        <w:jc w:val="left"/>
        <w:textAlignment w:val="baseline"/>
        <w:outlineLvl w:val="1"/>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免费支持与学校统一认证系统对接，实现单点登录。支持与学校信息中心、数据中心、教务系统对接，完成教师、学生、课程、选课、授课等数据的同步。</w:t>
      </w:r>
    </w:p>
    <w:p w14:paraId="7CC9B3EE">
      <w:pPr>
        <w:pStyle w:val="3"/>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480" w:firstLineChars="200"/>
        <w:jc w:val="both"/>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（3）运维保障</w:t>
      </w:r>
    </w:p>
    <w:p w14:paraId="6D080419">
      <w:pPr>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提供系统故障诊断与恢复服务，恢复响应时间＜4小时。提供完整的数据质控体系与智能化运维支撑系统，辅助监控平台运行状态。提供工作日9:00-18:00热线电话技术支持，并提供7×8小时免费服务热线。提供远程技术支持服务（如Internet远程维护、VPN远程登录等）。</w:t>
      </w:r>
    </w:p>
    <w:p w14:paraId="1E616672">
      <w:pPr>
        <w:pageBreakBefore w:val="0"/>
        <w:widowControl w:val="0"/>
        <w:numPr>
          <w:ilvl w:val="0"/>
          <w:numId w:val="0"/>
        </w:numPr>
        <w:kinsoku/>
        <w:wordWrap/>
        <w:overflowPunct/>
        <w:topLinePunct w:val="0"/>
        <w:autoSpaceDE/>
        <w:autoSpaceDN/>
        <w:bidi w:val="0"/>
        <w:adjustRightInd/>
        <w:snapToGrid/>
        <w:spacing w:line="560" w:lineRule="exact"/>
        <w:ind w:leftChars="200"/>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（4）培训服务</w:t>
      </w:r>
    </w:p>
    <w:p w14:paraId="48EF715A">
      <w:pPr>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对学校相关技术人员进行系统维护培训。对教师及管理人员进行系统操作培训，确保能够熟练使用平台各项功能。</w:t>
      </w:r>
    </w:p>
    <w:p w14:paraId="4C300028">
      <w:pPr>
        <w:pStyle w:val="3"/>
        <w:pageBreakBefore w:val="0"/>
        <w:widowControl w:val="0"/>
        <w:kinsoku/>
        <w:wordWrap/>
        <w:overflowPunct/>
        <w:topLinePunct w:val="0"/>
        <w:autoSpaceDE/>
        <w:autoSpaceDN/>
        <w:bidi w:val="0"/>
        <w:adjustRightInd/>
        <w:snapToGrid/>
        <w:spacing w:before="0" w:after="0" w:line="560" w:lineRule="exact"/>
        <w:ind w:left="584" w:leftChars="198" w:hanging="168" w:hangingChars="70"/>
        <w:jc w:val="both"/>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（5）质保与升级</w:t>
      </w:r>
    </w:p>
    <w:p w14:paraId="423B950F">
      <w:pPr>
        <w:pStyle w:val="3"/>
        <w:pageBreakBefore w:val="0"/>
        <w:widowControl w:val="0"/>
        <w:numPr>
          <w:ilvl w:val="0"/>
          <w:numId w:val="0"/>
        </w:numPr>
        <w:kinsoku/>
        <w:wordWrap/>
        <w:overflowPunct/>
        <w:topLinePunct w:val="0"/>
        <w:autoSpaceDE/>
        <w:autoSpaceDN/>
        <w:bidi w:val="0"/>
        <w:adjustRightInd/>
        <w:snapToGrid/>
        <w:spacing w:before="0" w:after="0" w:line="560" w:lineRule="exact"/>
        <w:ind w:leftChars="0" w:firstLine="480" w:firstLineChars="200"/>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运营期内免费提供系统更新与维护服务。现场安装调试及后续服务保障与系统更新维</w:t>
      </w:r>
    </w:p>
    <w:p w14:paraId="68160283">
      <w:pPr>
        <w:pStyle w:val="3"/>
        <w:pageBreakBefore w:val="0"/>
        <w:widowControl w:val="0"/>
        <w:numPr>
          <w:ilvl w:val="0"/>
          <w:numId w:val="0"/>
        </w:numPr>
        <w:kinsoku/>
        <w:wordWrap/>
        <w:overflowPunct/>
        <w:topLinePunct w:val="0"/>
        <w:autoSpaceDE/>
        <w:autoSpaceDN/>
        <w:bidi w:val="0"/>
        <w:adjustRightInd/>
        <w:snapToGrid/>
        <w:spacing w:before="0" w:after="0" w:line="560" w:lineRule="exact"/>
        <w:jc w:val="both"/>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护相关工作由供应商负责。</w:t>
      </w:r>
    </w:p>
    <w:p w14:paraId="54D6B414">
      <w:pPr>
        <w:numPr>
          <w:ilvl w:val="0"/>
          <w:numId w:val="0"/>
        </w:numPr>
        <w:rPr>
          <w:rFonts w:hint="eastAsia" w:ascii="宋体" w:hAnsi="宋体" w:eastAsia="宋体" w:cs="宋体"/>
          <w:lang w:val="en-US" w:eastAsia="zh-CN"/>
        </w:rPr>
      </w:pPr>
    </w:p>
    <w:p w14:paraId="0DDE064B">
      <w:pPr>
        <w:numPr>
          <w:ilvl w:val="0"/>
          <w:numId w:val="0"/>
        </w:numPr>
        <w:ind w:left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3.参数要求</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276"/>
        <w:gridCol w:w="7305"/>
      </w:tblGrid>
      <w:tr w14:paraId="110F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817" w:type="dxa"/>
            <w:noWrap w:val="0"/>
            <w:vAlign w:val="center"/>
          </w:tcPr>
          <w:p w14:paraId="0684A90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功能系统</w:t>
            </w:r>
          </w:p>
        </w:tc>
        <w:tc>
          <w:tcPr>
            <w:tcW w:w="1276" w:type="dxa"/>
            <w:noWrap w:val="0"/>
            <w:vAlign w:val="center"/>
          </w:tcPr>
          <w:p w14:paraId="7E26E508">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模块名称</w:t>
            </w:r>
          </w:p>
        </w:tc>
        <w:tc>
          <w:tcPr>
            <w:tcW w:w="7305" w:type="dxa"/>
            <w:noWrap w:val="0"/>
            <w:vAlign w:val="center"/>
          </w:tcPr>
          <w:p w14:paraId="68E86E23">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功能要求</w:t>
            </w:r>
          </w:p>
        </w:tc>
      </w:tr>
      <w:tr w14:paraId="3B556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14:paraId="42584748">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智慧课程</w:t>
            </w:r>
            <w:r>
              <w:rPr>
                <w:rFonts w:hint="eastAsia" w:ascii="宋体" w:hAnsi="宋体" w:eastAsia="宋体" w:cs="宋体"/>
                <w:sz w:val="21"/>
                <w:szCs w:val="21"/>
                <w:highlight w:val="none"/>
                <w:lang w:val="en-US" w:eastAsia="zh-CN"/>
              </w:rPr>
              <w:t>平台</w:t>
            </w:r>
          </w:p>
        </w:tc>
        <w:tc>
          <w:tcPr>
            <w:tcW w:w="1276" w:type="dxa"/>
            <w:noWrap w:val="0"/>
            <w:vAlign w:val="center"/>
          </w:tcPr>
          <w:p w14:paraId="5BEFECD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系统</w:t>
            </w:r>
            <w:r>
              <w:rPr>
                <w:rFonts w:hint="eastAsia" w:ascii="宋体" w:hAnsi="宋体" w:eastAsia="宋体" w:cs="宋体"/>
                <w:sz w:val="21"/>
                <w:szCs w:val="21"/>
                <w:highlight w:val="none"/>
                <w:lang w:val="en-US" w:eastAsia="zh-CN"/>
              </w:rPr>
              <w:t>免费</w:t>
            </w:r>
            <w:r>
              <w:rPr>
                <w:rFonts w:hint="eastAsia" w:ascii="宋体" w:hAnsi="宋体" w:eastAsia="宋体" w:cs="宋体"/>
                <w:sz w:val="21"/>
                <w:szCs w:val="21"/>
                <w:highlight w:val="none"/>
              </w:rPr>
              <w:t>对接服务</w:t>
            </w:r>
          </w:p>
        </w:tc>
        <w:tc>
          <w:tcPr>
            <w:tcW w:w="7305" w:type="dxa"/>
            <w:noWrap w:val="0"/>
            <w:vAlign w:val="top"/>
          </w:tcPr>
          <w:p w14:paraId="0AFA12BB">
            <w:pPr>
              <w:numPr>
                <w:ilvl w:val="0"/>
                <w:numId w:val="7"/>
              </w:numPr>
              <w:rPr>
                <w:rFonts w:hint="eastAsia" w:ascii="宋体" w:hAnsi="宋体" w:eastAsia="宋体" w:cs="宋体"/>
                <w:sz w:val="21"/>
                <w:szCs w:val="21"/>
                <w:highlight w:val="none"/>
              </w:rPr>
            </w:pPr>
            <w:r>
              <w:rPr>
                <w:rFonts w:hint="eastAsia" w:ascii="宋体" w:hAnsi="宋体" w:eastAsia="宋体" w:cs="宋体"/>
                <w:sz w:val="21"/>
                <w:szCs w:val="21"/>
                <w:highlight w:val="none"/>
              </w:rPr>
              <w:t>需</w:t>
            </w:r>
            <w:r>
              <w:rPr>
                <w:rFonts w:hint="eastAsia" w:ascii="宋体" w:hAnsi="宋体" w:eastAsia="宋体" w:cs="宋体"/>
                <w:sz w:val="21"/>
                <w:szCs w:val="21"/>
                <w:highlight w:val="none"/>
                <w:lang w:val="en-US" w:eastAsia="zh-CN"/>
              </w:rPr>
              <w:t>免费</w:t>
            </w:r>
            <w:r>
              <w:rPr>
                <w:rFonts w:hint="eastAsia" w:ascii="宋体" w:hAnsi="宋体" w:eastAsia="宋体" w:cs="宋体"/>
                <w:sz w:val="21"/>
                <w:szCs w:val="21"/>
                <w:highlight w:val="none"/>
              </w:rPr>
              <w:t>支持对接学校统一身份认证系统，实现用户信息统一管理。</w:t>
            </w:r>
          </w:p>
          <w:p w14:paraId="3C77D0CA">
            <w:pPr>
              <w:numPr>
                <w:ilvl w:val="0"/>
                <w:numId w:val="7"/>
              </w:numPr>
              <w:rPr>
                <w:rFonts w:hint="eastAsia" w:ascii="宋体" w:hAnsi="宋体" w:eastAsia="宋体" w:cs="宋体"/>
                <w:sz w:val="21"/>
                <w:szCs w:val="21"/>
                <w:highlight w:val="none"/>
              </w:rPr>
            </w:pPr>
            <w:r>
              <w:rPr>
                <w:rFonts w:hint="eastAsia" w:ascii="宋体" w:hAnsi="宋体" w:eastAsia="宋体" w:cs="宋体"/>
                <w:sz w:val="21"/>
                <w:szCs w:val="21"/>
                <w:highlight w:val="none"/>
              </w:rPr>
              <w:t>需</w:t>
            </w:r>
            <w:r>
              <w:rPr>
                <w:rFonts w:hint="eastAsia" w:ascii="宋体" w:hAnsi="宋体" w:eastAsia="宋体" w:cs="宋体"/>
                <w:sz w:val="21"/>
                <w:szCs w:val="21"/>
                <w:highlight w:val="none"/>
                <w:lang w:val="en-US" w:eastAsia="zh-CN"/>
              </w:rPr>
              <w:t>免费</w:t>
            </w:r>
            <w:r>
              <w:rPr>
                <w:rFonts w:hint="eastAsia" w:ascii="宋体" w:hAnsi="宋体" w:eastAsia="宋体" w:cs="宋体"/>
                <w:sz w:val="21"/>
                <w:szCs w:val="21"/>
                <w:highlight w:val="none"/>
              </w:rPr>
              <w:t>支持通过数据视图、接口等方式对接学校教务管理数据（学生、教师、课程、选课等数据），并进行定期维护和更新，实现教务数据的同步。</w:t>
            </w:r>
          </w:p>
        </w:tc>
      </w:tr>
      <w:tr w14:paraId="432D7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44A88959">
            <w:pPr>
              <w:jc w:val="center"/>
              <w:rPr>
                <w:rFonts w:hint="eastAsia" w:ascii="宋体" w:hAnsi="宋体" w:eastAsia="宋体" w:cs="宋体"/>
                <w:sz w:val="21"/>
                <w:szCs w:val="21"/>
                <w:highlight w:val="none"/>
              </w:rPr>
            </w:pPr>
          </w:p>
        </w:tc>
        <w:tc>
          <w:tcPr>
            <w:tcW w:w="1276" w:type="dxa"/>
            <w:noWrap w:val="0"/>
            <w:vAlign w:val="center"/>
          </w:tcPr>
          <w:p w14:paraId="13DE3FC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系统功能要求</w:t>
            </w:r>
          </w:p>
        </w:tc>
        <w:tc>
          <w:tcPr>
            <w:tcW w:w="7305" w:type="dxa"/>
            <w:noWrap w:val="0"/>
            <w:vAlign w:val="top"/>
          </w:tcPr>
          <w:p w14:paraId="2874F8D8">
            <w:pPr>
              <w:rPr>
                <w:rFonts w:hint="eastAsia" w:ascii="宋体" w:hAnsi="宋体" w:eastAsia="宋体" w:cs="宋体"/>
                <w:sz w:val="21"/>
                <w:szCs w:val="21"/>
                <w:highlight w:val="none"/>
              </w:rPr>
            </w:pPr>
            <w:r>
              <w:rPr>
                <w:rFonts w:hint="eastAsia" w:ascii="宋体" w:hAnsi="宋体" w:eastAsia="宋体" w:cs="宋体"/>
                <w:sz w:val="21"/>
                <w:szCs w:val="21"/>
                <w:highlight w:val="none"/>
              </w:rPr>
              <w:t>智慧教学系统是应用计算机技术、多媒体技术、网络通信技术、数字技术、虚拟现实技术等现代信息技术手段构建的一种新型教学模式，是融合现代教育理念、教学内容和现代信息技术的具有多种功能的开放式的教与学交互系统。</w:t>
            </w:r>
          </w:p>
        </w:tc>
      </w:tr>
      <w:tr w14:paraId="6F34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7" w:type="dxa"/>
            <w:vMerge w:val="continue"/>
            <w:noWrap w:val="0"/>
            <w:vAlign w:val="top"/>
          </w:tcPr>
          <w:p w14:paraId="536D6CCE">
            <w:pPr>
              <w:rPr>
                <w:rFonts w:hint="eastAsia" w:ascii="宋体" w:hAnsi="宋体" w:eastAsia="宋体" w:cs="宋体"/>
                <w:sz w:val="21"/>
                <w:szCs w:val="21"/>
                <w:highlight w:val="none"/>
              </w:rPr>
            </w:pPr>
          </w:p>
        </w:tc>
        <w:tc>
          <w:tcPr>
            <w:tcW w:w="1276" w:type="dxa"/>
            <w:noWrap w:val="0"/>
            <w:vAlign w:val="top"/>
          </w:tcPr>
          <w:p w14:paraId="0F86D57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系统技术要求</w:t>
            </w:r>
          </w:p>
        </w:tc>
        <w:tc>
          <w:tcPr>
            <w:tcW w:w="7305" w:type="dxa"/>
            <w:noWrap w:val="0"/>
            <w:vAlign w:val="top"/>
          </w:tcPr>
          <w:p w14:paraId="1BCA8AA0">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支持整个课程创建、内容共享、学习过程跟踪和控制、在线测试和作业发布、交流互动、成绩评测和学习成果反馈教学流程，实现信息技术与教学过程的深度融合。</w:t>
            </w:r>
          </w:p>
          <w:p w14:paraId="3588E4FD">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成熟稳定的软件产品，具有国家软件著作权登记证书，已在至少2000所高校部署使用。</w:t>
            </w:r>
          </w:p>
          <w:p w14:paraId="04C075AD">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系统设计满足大规模用户使用、支持分布式部署，应满足万人在线学习的性能要求。</w:t>
            </w:r>
          </w:p>
          <w:p w14:paraId="65AC3B5A">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采用B/S结构，基于J2EE架构，页面采用Web2.0 AJAX开发，不需要另行安装插件就可以支持IE9及以上版本、safari、Firefox、chrome等浏览器。</w:t>
            </w:r>
          </w:p>
          <w:p w14:paraId="04B75CD9">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具有先进性、可移植性、开放性和兼容性，支持标准化多媒体课件。支持随用户使用量的增大而只需增加相应的硬件即可。</w:t>
            </w:r>
          </w:p>
          <w:p w14:paraId="4F3D7D20">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p>
          <w:p w14:paraId="46770343">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不限注册课程数量和注册用户数，其中的网络课程可以实现按课程的导入、导出进行备份。</w:t>
            </w:r>
          </w:p>
          <w:p w14:paraId="077DFBC3">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全面支持学生的自主学习与合作学习，体现在教学活动中学生的主体地位和教师的主导地位，为学生构建自主学习、主动探索的环境，教师通过组织学习材料，实时和非实时的教学手段引导和帮助学生学习。</w:t>
            </w:r>
          </w:p>
          <w:p w14:paraId="5F6FC60F">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平台支持辅助教学、混合式教学、纯网络教学、直播课堂等多种网络教学模式。</w:t>
            </w:r>
          </w:p>
          <w:p w14:paraId="262C0010">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平台具有视频、文档格式自动转换、码流自动转换的功能， 以适应不同的访问终端（Android，iOS）；所有文档资源自动转码成flash格式播放，视频类资源系统自动转码为mp4、flv等多种格式。</w:t>
            </w:r>
          </w:p>
          <w:p w14:paraId="09A58FE1">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具有强大的交流协作功能，提供同步、异步的交流讨论工具，使得学生之间、学生与教师之间方便地共享信息、交流、讨论、协商，从而提高网络学习的效果和质量。</w:t>
            </w:r>
          </w:p>
          <w:p w14:paraId="7FA309A5">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角色管理：可建立学生、教师、管理员、超级管理员等角色，各级管理员也可以根据自身的需求创建角色和为角色指定权限。</w:t>
            </w:r>
          </w:p>
          <w:p w14:paraId="5CE7B1BB">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权限管理：可为每个导航功能点分配访问、管理等不同的权限，管理员可以批量给用户分配、收回权限，具有权限整体移交功能。</w:t>
            </w:r>
          </w:p>
          <w:p w14:paraId="1B6F5D91">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机构和用户管理：管理员可以批量增加、删除、修改组织机构树，可单个、批量增加、删除、修改、查找用户信息。</w:t>
            </w:r>
          </w:p>
          <w:p w14:paraId="2DE79D66">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提供强大的基于浏览器的数学、化学公式在线编辑器。提供精确的学习进度监控信息，实现学生再次登录平台时能从上次学习的结束点继续学习课程。可记录、查询用户登录及操作信息。</w:t>
            </w:r>
          </w:p>
          <w:p w14:paraId="523307EE">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提供专门的APP移动学习平台，需支持iOS</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Android系统</w:t>
            </w:r>
            <w:r>
              <w:rPr>
                <w:rFonts w:hint="eastAsia" w:ascii="宋体" w:hAnsi="宋体" w:eastAsia="宋体" w:cs="宋体"/>
                <w:sz w:val="21"/>
                <w:szCs w:val="21"/>
                <w:highlight w:val="none"/>
                <w:lang w:val="en-US" w:eastAsia="zh-CN"/>
              </w:rPr>
              <w:t>和鸿蒙系统</w:t>
            </w:r>
            <w:r>
              <w:rPr>
                <w:rFonts w:hint="eastAsia" w:ascii="宋体" w:hAnsi="宋体" w:eastAsia="宋体" w:cs="宋体"/>
                <w:sz w:val="21"/>
                <w:szCs w:val="21"/>
                <w:highlight w:val="none"/>
              </w:rPr>
              <w:t>。与网络教学平台数据同步，进行在线课程的学习、通知、作业、考试、讨论、笔记、小组、成绩分析、学生管理，支持PPT上课、同步课堂、课堂签到、抢答、问卷、讨论、选人、资料、直播等功能。</w:t>
            </w:r>
          </w:p>
          <w:p w14:paraId="5956CA6D">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提供专门的教室端，支持PPT投屏及课堂互动功能，PPT投屏演示保留动画效果，播放流畅，在投屏演示时随时可发起签到、投票、测验、抢答、选人、讨论、测验、问卷等多种课堂活动，活动内容可大屏显示。PPT文件来源多种渠道，可以通过电脑端把文件直接发送至移动端，提高资源展示的便捷性。</w:t>
            </w:r>
          </w:p>
          <w:p w14:paraId="68DA260D">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系统专属的管理端，方便</w:t>
            </w:r>
            <w:r>
              <w:rPr>
                <w:rFonts w:hint="eastAsia" w:ascii="宋体" w:hAnsi="宋体" w:eastAsia="宋体" w:cs="宋体"/>
                <w:sz w:val="21"/>
                <w:szCs w:val="21"/>
                <w:highlight w:val="none"/>
                <w:lang w:eastAsia="zh-CN"/>
              </w:rPr>
              <w:t>管理者</w:t>
            </w:r>
            <w:r>
              <w:rPr>
                <w:rFonts w:hint="eastAsia" w:ascii="宋体" w:hAnsi="宋体" w:eastAsia="宋体" w:cs="宋体"/>
                <w:sz w:val="21"/>
                <w:szCs w:val="21"/>
                <w:highlight w:val="none"/>
              </w:rPr>
              <w:t>随时查看教学运行情况、教学预警、综合管理。</w:t>
            </w:r>
          </w:p>
          <w:p w14:paraId="7A66708A">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管理员在后台对全校教师和学生用户的课程导航进行自定义配置，配置内容包含对已有默认栏目如班级活动、课件、教案、章节、资料、通知、讨论、作业、考试、题库、知识图谱、统计、管理、工具箱的隐藏、上移、下移、编辑操作，同时也支持新增自定义导航到课程导航内，添加自定义导航仅需添加导航名称、链接地址就可以配置到课程导航内，同时支持新增导航的提示、打开方式的配置。</w:t>
            </w:r>
          </w:p>
          <w:p w14:paraId="2C7A42C6">
            <w:pPr>
              <w:numPr>
                <w:ilvl w:val="0"/>
                <w:numId w:val="8"/>
              </w:numPr>
              <w:rPr>
                <w:rFonts w:hint="eastAsia" w:ascii="宋体" w:hAnsi="宋体" w:eastAsia="宋体" w:cs="宋体"/>
                <w:sz w:val="21"/>
                <w:szCs w:val="21"/>
                <w:highlight w:val="none"/>
              </w:rPr>
            </w:pPr>
            <w:r>
              <w:rPr>
                <w:rFonts w:hint="eastAsia" w:ascii="宋体" w:hAnsi="宋体" w:eastAsia="宋体" w:cs="宋体"/>
                <w:sz w:val="21"/>
                <w:szCs w:val="21"/>
                <w:highlight w:val="none"/>
              </w:rPr>
              <w:t>具备三级等保及以上的公安备案和年度年检测评报告。</w:t>
            </w:r>
          </w:p>
        </w:tc>
      </w:tr>
      <w:tr w14:paraId="224BE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60970590">
            <w:pPr>
              <w:rPr>
                <w:rFonts w:hint="eastAsia" w:ascii="宋体" w:hAnsi="宋体" w:eastAsia="宋体" w:cs="宋体"/>
                <w:sz w:val="21"/>
                <w:szCs w:val="21"/>
                <w:highlight w:val="none"/>
              </w:rPr>
            </w:pPr>
          </w:p>
        </w:tc>
        <w:tc>
          <w:tcPr>
            <w:tcW w:w="1276" w:type="dxa"/>
            <w:noWrap w:val="0"/>
            <w:vAlign w:val="center"/>
          </w:tcPr>
          <w:p w14:paraId="2AA4866A">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课程建设</w:t>
            </w:r>
          </w:p>
        </w:tc>
        <w:tc>
          <w:tcPr>
            <w:tcW w:w="7305" w:type="dxa"/>
            <w:noWrap w:val="0"/>
            <w:vAlign w:val="top"/>
          </w:tcPr>
          <w:p w14:paraId="71FB3F7A">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支持制作富媒体课程，选择不同的模板就可以建设慕课或精品课程的个性化课程网站。</w:t>
            </w:r>
          </w:p>
          <w:p w14:paraId="1280F442">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提供多套精美网络课程建课模板，教师可依据个人资料的丰富程度及喜欢的风格进行个性化的设置，支持教师在建课程自动生成课程网站。</w:t>
            </w:r>
          </w:p>
          <w:p w14:paraId="1C20A799">
            <w:pPr>
              <w:numPr>
                <w:ilvl w:val="0"/>
                <w:numId w:val="9"/>
              </w:numPr>
              <w:rPr>
                <w:rFonts w:hint="eastAsia" w:ascii="宋体" w:hAnsi="宋体" w:eastAsia="宋体" w:cs="宋体"/>
                <w:sz w:val="21"/>
                <w:szCs w:val="21"/>
                <w:highlight w:val="none"/>
              </w:rPr>
            </w:pPr>
            <w:r>
              <w:rPr>
                <w:rFonts w:hint="eastAsia" w:ascii="宋体" w:hAnsi="宋体" w:eastAsia="宋体" w:cs="宋体"/>
                <w:kern w:val="2"/>
                <w:sz w:val="21"/>
                <w:szCs w:val="21"/>
              </w:rPr>
              <w:t>▲</w:t>
            </w:r>
            <w:r>
              <w:rPr>
                <w:rFonts w:hint="eastAsia" w:ascii="宋体" w:hAnsi="宋体" w:eastAsia="宋体" w:cs="宋体"/>
                <w:sz w:val="21"/>
                <w:szCs w:val="21"/>
                <w:highlight w:val="none"/>
              </w:rPr>
              <w:t>支持使用</w:t>
            </w:r>
            <w:r>
              <w:rPr>
                <w:rFonts w:hint="eastAsia" w:ascii="宋体" w:hAnsi="宋体" w:eastAsia="宋体" w:cs="宋体"/>
                <w:sz w:val="21"/>
                <w:szCs w:val="21"/>
                <w:highlight w:val="none"/>
                <w:lang w:val="en-US" w:eastAsia="zh-CN"/>
              </w:rPr>
              <w:t>课程</w:t>
            </w:r>
            <w:r>
              <w:rPr>
                <w:rFonts w:hint="eastAsia" w:ascii="宋体" w:hAnsi="宋体" w:eastAsia="宋体" w:cs="宋体"/>
                <w:sz w:val="21"/>
                <w:szCs w:val="21"/>
                <w:highlight w:val="none"/>
              </w:rPr>
              <w:t>包建课，</w:t>
            </w:r>
            <w:r>
              <w:rPr>
                <w:rFonts w:hint="eastAsia" w:ascii="宋体" w:hAnsi="宋体" w:eastAsia="宋体" w:cs="宋体"/>
                <w:sz w:val="21"/>
                <w:szCs w:val="21"/>
                <w:highlight w:val="none"/>
                <w:lang w:val="en-US" w:eastAsia="zh-CN"/>
              </w:rPr>
              <w:t>课程</w:t>
            </w:r>
            <w:r>
              <w:rPr>
                <w:rFonts w:hint="eastAsia" w:ascii="宋体" w:hAnsi="宋体" w:eastAsia="宋体" w:cs="宋体"/>
                <w:sz w:val="21"/>
                <w:szCs w:val="21"/>
                <w:highlight w:val="none"/>
              </w:rPr>
              <w:t>包需整合本科、中高职、基础教育等各层次院校，各学科、专业的资源，教师可以在建课时引用</w:t>
            </w:r>
            <w:r>
              <w:rPr>
                <w:rFonts w:hint="eastAsia" w:ascii="宋体" w:hAnsi="宋体" w:eastAsia="宋体" w:cs="宋体"/>
                <w:sz w:val="21"/>
                <w:szCs w:val="21"/>
                <w:highlight w:val="none"/>
                <w:lang w:val="en-US" w:eastAsia="zh-CN"/>
              </w:rPr>
              <w:t>课程</w:t>
            </w:r>
            <w:r>
              <w:rPr>
                <w:rFonts w:hint="eastAsia" w:ascii="宋体" w:hAnsi="宋体" w:eastAsia="宋体" w:cs="宋体"/>
                <w:sz w:val="21"/>
                <w:szCs w:val="21"/>
                <w:highlight w:val="none"/>
              </w:rPr>
              <w:t>包中的课程资源、课堂活动示例、题库等内容，同时可以根据教师自己课程的需要进行重新组合使用。</w:t>
            </w:r>
          </w:p>
          <w:p w14:paraId="2730E937">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支持导入章节内容，支持从教师自己的其他课程章节中导入，也支持从平台提供的教学资源库中导入其他课程的章节；支持选择所需章节内容。</w:t>
            </w:r>
          </w:p>
          <w:p w14:paraId="6212E28E">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支持导出或者打印章节内容，导出支持PDF版或Word版。</w:t>
            </w:r>
          </w:p>
          <w:p w14:paraId="368911A8">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编辑页面操作简单、灵活方便、原位编辑、所见即所得。可以发布通告、课程资料、任务、教学资源链接、教师简介等信息。可以任意编写和设置课程的介绍、封面、教学要求、教师团队等，并支持模块的添加、删除和位置调整，支持设置模块中文标题或英文标题，支持模块内容富媒体编辑，支持是否公开显示的设置，可以上传课程片花，并支持选择是否自动播放。</w:t>
            </w:r>
          </w:p>
          <w:p w14:paraId="7FD84315">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负责人可指派其他教师，作为具有同等或者小于本身课程建设管理权限的课程建设者共建同一门课程，并且可以对共建教师的权限进行设置，比如，是否允许管理教师团队的课堂活动、允许管理“课件”模块、允许管理“教案”模块、章节详情页允许查看章节测验答案、允许克隆课程、允许映射课程等。</w:t>
            </w:r>
          </w:p>
          <w:p w14:paraId="5B296C63">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课程负责人可为自己指定助教辅助自己进行课程建设和教学管理。并且可以对助教的权限进行设置，比如，</w:t>
            </w:r>
            <w:r>
              <w:rPr>
                <w:rFonts w:hint="eastAsia" w:ascii="宋体" w:hAnsi="宋体" w:eastAsia="宋体" w:cs="宋体"/>
                <w:sz w:val="21"/>
                <w:szCs w:val="21"/>
                <w:highlight w:val="none"/>
                <w:lang w:eastAsia="zh-CN"/>
              </w:rPr>
              <w:t>允许使用</w:t>
            </w:r>
            <w:r>
              <w:rPr>
                <w:rFonts w:hint="eastAsia" w:ascii="宋体" w:hAnsi="宋体" w:eastAsia="宋体" w:cs="宋体"/>
                <w:sz w:val="21"/>
                <w:szCs w:val="21"/>
                <w:highlight w:val="none"/>
              </w:rPr>
              <w:t>“通知”模块、允许管理“讨论”模块、允许管理“作业”模块、使用作业库、允许新建及编辑作业、允许修改作业发布设置及删除作业、允许批阅作业、允许管理“考试”模块等。</w:t>
            </w:r>
          </w:p>
          <w:p w14:paraId="310603C0">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通过平台上传课程所需要的教材、参考书、参考文献、视频等资源。课程的内容建设，参考资料，课程介绍等任何位置都可以使用平台提供的海量图书、图片、视频的资源一键式搜索插入，插入的资源可以直接点击在线播放查阅，也支持自己上传资料。</w:t>
            </w:r>
          </w:p>
          <w:p w14:paraId="41D716A9">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支持课程教学流程管理，可在课程学习过程中任意位置添加随堂测验，可在单元学习完成后布置作业，可以在章节学习完成后安排考试。</w:t>
            </w:r>
          </w:p>
          <w:p w14:paraId="60D9D009">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支持慕课制作和慕课教学模式，实现课程知识单元化，每个知识单元聚合丰富的富媒体教学资源，并在同一个页面中进行显示。每个课程单元还可以设置多个标签页。</w:t>
            </w:r>
          </w:p>
          <w:p w14:paraId="535BFFD5">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课程单元内容建设采用富媒体编辑器，编辑器包含视频、文档、图片、音频、图书、公式、符号、附件、网页、动画等常用组件。</w:t>
            </w:r>
          </w:p>
          <w:p w14:paraId="6DBC325C">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w:t>
            </w:r>
            <w:r>
              <w:rPr>
                <w:rFonts w:hint="eastAsia" w:ascii="宋体" w:hAnsi="宋体" w:eastAsia="宋体" w:cs="宋体"/>
                <w:sz w:val="21"/>
                <w:szCs w:val="21"/>
                <w:highlight w:val="none"/>
                <w:lang w:eastAsia="zh-CN"/>
              </w:rPr>
              <w:t>直接</w:t>
            </w:r>
            <w:r>
              <w:rPr>
                <w:rFonts w:hint="eastAsia" w:ascii="宋体" w:hAnsi="宋体" w:eastAsia="宋体" w:cs="宋体"/>
                <w:sz w:val="21"/>
                <w:szCs w:val="21"/>
                <w:highlight w:val="none"/>
              </w:rPr>
              <w:t>从word中将内容复制粘贴到富媒体编辑器内，并完整保留里面的文字内容。</w:t>
            </w:r>
          </w:p>
          <w:p w14:paraId="0A96D548">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支持rmvb、3gp、mpg、mpeg、mov、wmv、avi、mkv、mp4、flv、vob等高清和网络格式视频上传，视频上传后自动转码，无需下载可以直接在线进行播放。</w:t>
            </w:r>
          </w:p>
          <w:p w14:paraId="35729D11">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支持多种文档格式的上传，包括DOC、PPT、PDF、TXT等，上传后自动转码，无需下载可以直接在线阅读。</w:t>
            </w:r>
          </w:p>
          <w:p w14:paraId="2CB84A47">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支持将资源先批量上传至个人云盘中，然后在课程中引用；支持超大文件（2G以上）使用客户端上传；</w:t>
            </w:r>
          </w:p>
          <w:p w14:paraId="455D9804">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视频中任意时间点插入互动测验：上传视频后，可以在任意时间点插入测试题，包含单选题、多选题和对错题；支持设置答错是否允许继续观看视频，如果答错，支持设置或看多少分钟，或者设置回看时间段；支持学生作答后查看答案。</w:t>
            </w:r>
          </w:p>
          <w:p w14:paraId="693F96C7">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支持视频中插入图片、插入知识点、插入批注、插入测验、导入字幕。</w:t>
            </w:r>
          </w:p>
          <w:p w14:paraId="2ECF39D2">
            <w:pPr>
              <w:numPr>
                <w:ilvl w:val="0"/>
                <w:numId w:val="9"/>
              </w:numPr>
              <w:rPr>
                <w:rFonts w:hint="eastAsia" w:ascii="宋体" w:hAnsi="宋体" w:eastAsia="宋体" w:cs="宋体"/>
                <w:sz w:val="21"/>
                <w:szCs w:val="21"/>
                <w:highlight w:val="none"/>
              </w:rPr>
            </w:pPr>
            <w:r>
              <w:rPr>
                <w:rFonts w:hint="eastAsia" w:ascii="宋体" w:hAnsi="宋体" w:eastAsia="宋体" w:cs="宋体"/>
                <w:kern w:val="2"/>
                <w:sz w:val="21"/>
                <w:szCs w:val="21"/>
              </w:rPr>
              <w:t>▲</w:t>
            </w:r>
            <w:r>
              <w:rPr>
                <w:rFonts w:hint="eastAsia" w:ascii="宋体" w:hAnsi="宋体" w:eastAsia="宋体" w:cs="宋体"/>
                <w:sz w:val="21"/>
                <w:szCs w:val="21"/>
                <w:highlight w:val="none"/>
              </w:rPr>
              <w:t>支持视频中任意时间点插入图片或PPT：可以在任意时间点插入图片或PPT，同时支持对插入的内容在时间轴上随意拖动。插入的PPT可以任意拖动位置，并可以跟视频窗口进行切换。支持观看视频时的弹幕功能。</w:t>
            </w:r>
          </w:p>
          <w:p w14:paraId="23A2F1C7">
            <w:pPr>
              <w:numPr>
                <w:ilvl w:val="0"/>
                <w:numId w:val="9"/>
              </w:numPr>
              <w:rPr>
                <w:rFonts w:hint="eastAsia" w:ascii="宋体" w:hAnsi="宋体" w:eastAsia="宋体" w:cs="宋体"/>
                <w:sz w:val="21"/>
                <w:szCs w:val="21"/>
                <w:highlight w:val="none"/>
              </w:rPr>
            </w:pPr>
            <w:r>
              <w:rPr>
                <w:rFonts w:hint="eastAsia" w:ascii="宋体" w:hAnsi="宋体" w:eastAsia="宋体" w:cs="宋体"/>
                <w:kern w:val="2"/>
                <w:sz w:val="21"/>
                <w:szCs w:val="21"/>
              </w:rPr>
              <w:t>▲</w:t>
            </w:r>
            <w:r>
              <w:rPr>
                <w:rFonts w:hint="eastAsia" w:ascii="宋体" w:hAnsi="宋体" w:eastAsia="宋体" w:cs="宋体"/>
                <w:sz w:val="21"/>
                <w:szCs w:val="21"/>
                <w:highlight w:val="none"/>
              </w:rPr>
              <w:t>支持视频的虚拟剪辑，只需要拖动视频播放的起始点、终止点，就可以将视频文件按照课程的要求剪辑成适当长度，教师还可手动输入时间点，进行视频在线虚拟剪辑，不破坏教师原有视频，同一视频可以重复多次使用进行不同时间段虚拟剪辑。</w:t>
            </w:r>
          </w:p>
          <w:p w14:paraId="75DE5D8E">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支持视频替换功能，替换学习视频后，不影响学生已产生的学习记录和成绩。</w:t>
            </w:r>
          </w:p>
          <w:p w14:paraId="0ECF05F1">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提供可视化的公式编辑器，可以在线进行公式的录入与编辑。</w:t>
            </w:r>
          </w:p>
          <w:p w14:paraId="785EEC59">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支持在线录音功能，录完的声音可以直接在线播放。</w:t>
            </w:r>
          </w:p>
          <w:p w14:paraId="0D2305C4">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支持</w:t>
            </w:r>
            <w:r>
              <w:rPr>
                <w:rFonts w:hint="eastAsia" w:ascii="宋体" w:hAnsi="宋体" w:eastAsia="宋体" w:cs="宋体"/>
                <w:sz w:val="21"/>
                <w:szCs w:val="21"/>
                <w:highlight w:val="none"/>
              </w:rPr>
              <w:t>知识点拓展阅读功能，可以根据一个关键词自动生成相关知识点的知识树，插入到课程单元中，并自动推送知识点相关的图书、期刊、</w:t>
            </w:r>
            <w:r>
              <w:rPr>
                <w:rFonts w:hint="eastAsia" w:ascii="宋体" w:hAnsi="宋体" w:eastAsia="宋体" w:cs="宋体"/>
                <w:sz w:val="21"/>
                <w:szCs w:val="21"/>
                <w:highlight w:val="none"/>
                <w:lang w:val="en-US" w:eastAsia="zh-CN"/>
              </w:rPr>
              <w:t>报纸</w:t>
            </w:r>
            <w:r>
              <w:rPr>
                <w:rFonts w:hint="eastAsia" w:ascii="宋体" w:hAnsi="宋体" w:eastAsia="宋体" w:cs="宋体"/>
                <w:sz w:val="21"/>
                <w:szCs w:val="21"/>
                <w:highlight w:val="none"/>
              </w:rPr>
              <w:t>等资料。</w:t>
            </w:r>
          </w:p>
          <w:p w14:paraId="2C998F43">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支持课程管理，设置试读范围、设置学生导航栏目、克隆与映射课程等。</w:t>
            </w:r>
          </w:p>
          <w:p w14:paraId="7BE2C699">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提供课程编辑的详细操作日志和学生退课日志，便于追溯问题、查找原因。</w:t>
            </w:r>
          </w:p>
          <w:p w14:paraId="28F351D9">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支持将录制好的速课插入到课程章节内，并支持设置为任务点。</w:t>
            </w:r>
          </w:p>
          <w:p w14:paraId="04A49CA3">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支持在线备课，在课前、课中、课后等环节进行备课，并插入教学活动。</w:t>
            </w:r>
          </w:p>
          <w:p w14:paraId="4A6D6828">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可以在课程中插入直播作为任务点。</w:t>
            </w:r>
          </w:p>
          <w:p w14:paraId="4D8DC16B">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支持切换智慧课程门户，支持编辑课程封面相关信息、归属院系等，能够展示知识图谱、资源建设、学生学情相关数据。</w:t>
            </w:r>
          </w:p>
          <w:p w14:paraId="5CBC8C1B">
            <w:pPr>
              <w:numPr>
                <w:ilvl w:val="0"/>
                <w:numId w:val="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支持设置学生端页面，包括导航功能、是否允许学生自测、显示章节视频水印、开启课程通知、开启学生学习监控。</w:t>
            </w:r>
          </w:p>
        </w:tc>
      </w:tr>
      <w:tr w14:paraId="1675D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0591C5BB">
            <w:pPr>
              <w:rPr>
                <w:rFonts w:hint="eastAsia" w:ascii="宋体" w:hAnsi="宋体" w:eastAsia="宋体" w:cs="宋体"/>
                <w:sz w:val="21"/>
                <w:szCs w:val="21"/>
                <w:highlight w:val="none"/>
              </w:rPr>
            </w:pPr>
          </w:p>
        </w:tc>
        <w:tc>
          <w:tcPr>
            <w:tcW w:w="1276" w:type="dxa"/>
            <w:noWrap w:val="0"/>
            <w:vAlign w:val="center"/>
          </w:tcPr>
          <w:p w14:paraId="25AAF0D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教学管理</w:t>
            </w:r>
          </w:p>
        </w:tc>
        <w:tc>
          <w:tcPr>
            <w:tcW w:w="7305" w:type="dxa"/>
            <w:noWrap w:val="0"/>
            <w:vAlign w:val="top"/>
          </w:tcPr>
          <w:p w14:paraId="0E651F19">
            <w:pPr>
              <w:numPr>
                <w:ilvl w:val="0"/>
                <w:numId w:val="10"/>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教师端提供课程管理、班级管理、教师团队管理、助教管理、统计、考试及作业管理、课程通告管理等。</w:t>
            </w:r>
          </w:p>
          <w:p w14:paraId="02342F62">
            <w:pPr>
              <w:numPr>
                <w:ilvl w:val="0"/>
                <w:numId w:val="10"/>
              </w:numPr>
              <w:rPr>
                <w:rFonts w:hint="eastAsia" w:ascii="宋体" w:hAnsi="宋体" w:eastAsia="宋体" w:cs="宋体"/>
                <w:sz w:val="21"/>
                <w:szCs w:val="21"/>
                <w:highlight w:val="none"/>
              </w:rPr>
            </w:pPr>
            <w:r>
              <w:rPr>
                <w:rFonts w:hint="eastAsia" w:ascii="宋体" w:hAnsi="宋体" w:eastAsia="宋体" w:cs="宋体"/>
                <w:sz w:val="21"/>
                <w:szCs w:val="21"/>
                <w:highlight w:val="none"/>
              </w:rPr>
              <w:t>提供当前学习过程实时监管。提供进度统计功能、成绩统计并支持报表导出。</w:t>
            </w:r>
          </w:p>
          <w:p w14:paraId="4DBC025C">
            <w:pPr>
              <w:numPr>
                <w:ilvl w:val="0"/>
                <w:numId w:val="10"/>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学生端实现学生友好学习体验、根据教师设定的课程学习进度，完整地学习网络课程、记录笔记方便复习。</w:t>
            </w:r>
          </w:p>
          <w:p w14:paraId="414B2CC5">
            <w:pPr>
              <w:numPr>
                <w:ilvl w:val="0"/>
                <w:numId w:val="10"/>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支持师生、生生在线讨论交流、在线作业、在线考试。</w:t>
            </w:r>
          </w:p>
          <w:p w14:paraId="4D140FF2">
            <w:pPr>
              <w:numPr>
                <w:ilvl w:val="0"/>
                <w:numId w:val="10"/>
              </w:numPr>
              <w:rPr>
                <w:rFonts w:hint="eastAsia" w:ascii="宋体" w:hAnsi="宋体" w:eastAsia="宋体" w:cs="宋体"/>
                <w:sz w:val="21"/>
                <w:szCs w:val="21"/>
                <w:highlight w:val="none"/>
              </w:rPr>
            </w:pPr>
            <w:r>
              <w:rPr>
                <w:rFonts w:hint="eastAsia" w:ascii="宋体" w:hAnsi="宋体" w:eastAsia="宋体" w:cs="宋体"/>
                <w:sz w:val="21"/>
                <w:szCs w:val="21"/>
                <w:highlight w:val="none"/>
              </w:rPr>
              <w:t>提供功能强大的辅助教学活动的功能，比如：发布作业、在线考试、讨论、答疑、资料等。</w:t>
            </w:r>
          </w:p>
          <w:p w14:paraId="66F2F9B2">
            <w:pPr>
              <w:numPr>
                <w:ilvl w:val="0"/>
                <w:numId w:val="10"/>
              </w:numPr>
              <w:rPr>
                <w:rFonts w:hint="eastAsia" w:ascii="宋体" w:hAnsi="宋体" w:eastAsia="宋体" w:cs="宋体"/>
                <w:sz w:val="21"/>
                <w:szCs w:val="21"/>
                <w:highlight w:val="none"/>
              </w:rPr>
            </w:pPr>
            <w:r>
              <w:rPr>
                <w:rFonts w:hint="eastAsia" w:ascii="宋体" w:hAnsi="宋体" w:eastAsia="宋体" w:cs="宋体"/>
                <w:sz w:val="21"/>
                <w:szCs w:val="21"/>
                <w:highlight w:val="none"/>
              </w:rPr>
              <w:t>可以上传教案ppt，并基于PPT的某一页内容添加课堂互动及资源进行展示。</w:t>
            </w:r>
          </w:p>
          <w:p w14:paraId="18A8FE04">
            <w:pPr>
              <w:numPr>
                <w:ilvl w:val="0"/>
                <w:numId w:val="10"/>
              </w:numPr>
              <w:rPr>
                <w:rFonts w:hint="eastAsia" w:ascii="宋体" w:hAnsi="宋体" w:eastAsia="宋体" w:cs="宋体"/>
                <w:sz w:val="21"/>
                <w:szCs w:val="21"/>
                <w:highlight w:val="none"/>
              </w:rPr>
            </w:pPr>
            <w:r>
              <w:rPr>
                <w:rFonts w:hint="eastAsia" w:ascii="宋体" w:hAnsi="宋体" w:eastAsia="宋体" w:cs="宋体"/>
                <w:sz w:val="21"/>
                <w:szCs w:val="21"/>
                <w:highlight w:val="none"/>
              </w:rPr>
              <w:t>可以进行备课教案的填写，在课前、课中、课后各环节进行备课并插入课堂活动。</w:t>
            </w:r>
          </w:p>
          <w:p w14:paraId="6A9DB428">
            <w:pPr>
              <w:numPr>
                <w:ilvl w:val="0"/>
                <w:numId w:val="10"/>
              </w:numPr>
              <w:rPr>
                <w:rFonts w:hint="eastAsia" w:ascii="宋体" w:hAnsi="宋体" w:eastAsia="宋体" w:cs="宋体"/>
                <w:sz w:val="21"/>
                <w:szCs w:val="21"/>
                <w:highlight w:val="none"/>
              </w:rPr>
            </w:pPr>
            <w:r>
              <w:rPr>
                <w:rFonts w:hint="eastAsia" w:ascii="宋体" w:hAnsi="宋体" w:eastAsia="宋体" w:cs="宋体"/>
                <w:sz w:val="21"/>
                <w:szCs w:val="21"/>
                <w:highlight w:val="none"/>
              </w:rPr>
              <w:t>课表应用：支持对接教务系统课表或手工添加课表，可以设置关联线上课程、编写教案、关联网络班级、编辑上课周次、上课时间、节次、节数、上课地点等，上课地点支持填写线下地点和线上地点，线上地点支持和腾讯会议、zoom等会议软件对接。通过课表教师可以直接发起直播和课堂活动，展开教学。</w:t>
            </w:r>
          </w:p>
          <w:p w14:paraId="6B3C6FFD">
            <w:pPr>
              <w:numPr>
                <w:ilvl w:val="0"/>
                <w:numId w:val="10"/>
              </w:numPr>
              <w:rPr>
                <w:rFonts w:hint="eastAsia" w:ascii="宋体" w:hAnsi="宋体" w:eastAsia="宋体" w:cs="宋体"/>
                <w:sz w:val="21"/>
                <w:szCs w:val="21"/>
                <w:highlight w:val="none"/>
              </w:rPr>
            </w:pPr>
            <w:r>
              <w:rPr>
                <w:rFonts w:hint="eastAsia" w:ascii="宋体" w:hAnsi="宋体" w:eastAsia="宋体" w:cs="宋体"/>
                <w:sz w:val="21"/>
                <w:szCs w:val="21"/>
                <w:highlight w:val="none"/>
              </w:rPr>
              <w:t>课表进行相关内容学习及参与课堂互动。课堂结束后直接生成教学日志。</w:t>
            </w:r>
          </w:p>
          <w:p w14:paraId="196273AE">
            <w:pPr>
              <w:numPr>
                <w:ilvl w:val="0"/>
                <w:numId w:val="10"/>
              </w:numPr>
              <w:rPr>
                <w:rFonts w:hint="eastAsia" w:ascii="宋体" w:hAnsi="宋体" w:eastAsia="宋体" w:cs="宋体"/>
                <w:sz w:val="21"/>
                <w:szCs w:val="21"/>
                <w:highlight w:val="none"/>
              </w:rPr>
            </w:pPr>
            <w:r>
              <w:rPr>
                <w:rFonts w:hint="eastAsia" w:ascii="宋体" w:hAnsi="宋体" w:eastAsia="宋体" w:cs="宋体"/>
                <w:sz w:val="21"/>
                <w:szCs w:val="21"/>
                <w:highlight w:val="none"/>
              </w:rPr>
              <w:t>可对课程中的视频、作业、考试、测验、章节学习次数、直播课观看时长、线下考试成绩等做权重设置。</w:t>
            </w:r>
          </w:p>
          <w:p w14:paraId="485191BC">
            <w:pPr>
              <w:numPr>
                <w:ilvl w:val="0"/>
                <w:numId w:val="10"/>
              </w:numPr>
              <w:rPr>
                <w:rFonts w:hint="eastAsia" w:ascii="宋体" w:hAnsi="宋体" w:eastAsia="宋体" w:cs="宋体"/>
                <w:sz w:val="21"/>
                <w:szCs w:val="21"/>
                <w:highlight w:val="none"/>
              </w:rPr>
            </w:pPr>
            <w:r>
              <w:rPr>
                <w:rFonts w:hint="eastAsia" w:ascii="宋体" w:hAnsi="宋体" w:eastAsia="宋体" w:cs="宋体"/>
                <w:sz w:val="21"/>
                <w:szCs w:val="21"/>
                <w:highlight w:val="none"/>
              </w:rPr>
              <w:t>可以针对作业模块细化到每一份作业的权重设置，可以导入线下考试成绩，并细化到每一次线下考试权重设置。</w:t>
            </w:r>
          </w:p>
        </w:tc>
      </w:tr>
      <w:tr w14:paraId="5EB59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3213BDEA">
            <w:pPr>
              <w:rPr>
                <w:rFonts w:hint="eastAsia" w:ascii="宋体" w:hAnsi="宋体" w:eastAsia="宋体" w:cs="宋体"/>
                <w:sz w:val="21"/>
                <w:szCs w:val="21"/>
                <w:highlight w:val="none"/>
              </w:rPr>
            </w:pPr>
          </w:p>
        </w:tc>
        <w:tc>
          <w:tcPr>
            <w:tcW w:w="1276" w:type="dxa"/>
            <w:noWrap w:val="0"/>
            <w:vAlign w:val="center"/>
          </w:tcPr>
          <w:p w14:paraId="0C47B797">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学习过程监控与管理</w:t>
            </w:r>
          </w:p>
        </w:tc>
        <w:tc>
          <w:tcPr>
            <w:tcW w:w="7305" w:type="dxa"/>
            <w:noWrap w:val="0"/>
            <w:vAlign w:val="top"/>
          </w:tcPr>
          <w:p w14:paraId="7C24843E">
            <w:pPr>
              <w:numPr>
                <w:ilvl w:val="0"/>
                <w:numId w:val="11"/>
              </w:numPr>
              <w:rPr>
                <w:rFonts w:hint="eastAsia" w:ascii="宋体" w:hAnsi="宋体" w:eastAsia="宋体" w:cs="宋体"/>
                <w:sz w:val="21"/>
                <w:szCs w:val="21"/>
                <w:highlight w:val="none"/>
              </w:rPr>
            </w:pPr>
            <w:r>
              <w:rPr>
                <w:rFonts w:hint="eastAsia" w:ascii="宋体" w:hAnsi="宋体" w:eastAsia="宋体" w:cs="宋体"/>
                <w:sz w:val="21"/>
                <w:szCs w:val="21"/>
                <w:highlight w:val="none"/>
              </w:rPr>
              <w:t>人脸识别:</w:t>
            </w:r>
            <w:r>
              <w:rPr>
                <w:rFonts w:hint="eastAsia" w:ascii="宋体" w:hAnsi="宋体" w:eastAsia="宋体" w:cs="宋体"/>
                <w:sz w:val="21"/>
                <w:szCs w:val="21"/>
                <w:highlight w:val="none"/>
                <w:lang w:val="en-US" w:eastAsia="zh-CN"/>
              </w:rPr>
              <w:t>支持</w:t>
            </w:r>
            <w:r>
              <w:rPr>
                <w:rFonts w:hint="eastAsia" w:ascii="宋体" w:hAnsi="宋体" w:eastAsia="宋体" w:cs="宋体"/>
                <w:sz w:val="21"/>
                <w:szCs w:val="21"/>
                <w:highlight w:val="none"/>
              </w:rPr>
              <w:t>学生在平台进行课程学习过程时，需要进行人脸识别，通过认证才可以学习课程内容。</w:t>
            </w:r>
          </w:p>
          <w:p w14:paraId="0B5CFEC2">
            <w:pPr>
              <w:numPr>
                <w:ilvl w:val="0"/>
                <w:numId w:val="11"/>
              </w:numPr>
              <w:rPr>
                <w:rFonts w:hint="eastAsia" w:ascii="宋体" w:hAnsi="宋体" w:eastAsia="宋体" w:cs="宋体"/>
                <w:sz w:val="21"/>
                <w:szCs w:val="21"/>
                <w:highlight w:val="none"/>
              </w:rPr>
            </w:pPr>
            <w:r>
              <w:rPr>
                <w:rFonts w:hint="eastAsia" w:ascii="宋体" w:hAnsi="宋体" w:eastAsia="宋体" w:cs="宋体"/>
                <w:sz w:val="21"/>
                <w:szCs w:val="21"/>
                <w:highlight w:val="none"/>
              </w:rPr>
              <w:t>章节知识点学习推送控制:教师可以针对每一个教学班对每个章节学习内容进行“开放、定时开放、闯关模式开放、隐藏模式、复习模式”等设置。“开放”，表示该章节可以学习。“定时开放”，表示该章节在设置的一个时间段内开</w:t>
            </w:r>
            <w:r>
              <w:rPr>
                <w:rFonts w:hint="eastAsia" w:ascii="宋体" w:hAnsi="宋体" w:eastAsia="宋体" w:cs="宋体"/>
                <w:sz w:val="21"/>
                <w:szCs w:val="21"/>
                <w:highlight w:val="none"/>
                <w:lang w:eastAsia="zh-CN"/>
              </w:rPr>
              <w:t>放学</w:t>
            </w:r>
            <w:r>
              <w:rPr>
                <w:rFonts w:hint="eastAsia" w:ascii="宋体" w:hAnsi="宋体" w:eastAsia="宋体" w:cs="宋体"/>
                <w:sz w:val="21"/>
                <w:szCs w:val="21"/>
                <w:highlight w:val="none"/>
              </w:rPr>
              <w:t>习。“闯关模式开放”，表示学生需要完成上一章节学习内容并通过相应的作业和测试后才能进行下一章节的学习内容。“隐藏模式”，该章节学生不可见，且学生已产生的学习数据将不计算成绩。“复习模式”学生可以对该章节学习，但学习任务点不计算进成绩。</w:t>
            </w:r>
          </w:p>
          <w:p w14:paraId="2C604F0B">
            <w:pPr>
              <w:numPr>
                <w:ilvl w:val="0"/>
                <w:numId w:val="11"/>
              </w:numPr>
              <w:rPr>
                <w:rFonts w:hint="eastAsia" w:ascii="宋体" w:hAnsi="宋体" w:eastAsia="宋体" w:cs="宋体"/>
                <w:sz w:val="21"/>
                <w:szCs w:val="21"/>
                <w:highlight w:val="none"/>
              </w:rPr>
            </w:pPr>
            <w:r>
              <w:rPr>
                <w:rFonts w:hint="eastAsia" w:ascii="宋体" w:hAnsi="宋体" w:eastAsia="宋体" w:cs="宋体"/>
                <w:sz w:val="21"/>
                <w:szCs w:val="21"/>
                <w:highlight w:val="none"/>
              </w:rPr>
              <w:t>任务驱动式的进阶式学习</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教师可以将课程章节内视频、图书、作业等内容设置为任务点，要求学生必须完成，灵活控制学生学习的情况。学生端可以看到整个课程和每个章节需要完成的任务点情况，每完成一个任务，数量会自动减一。</w:t>
            </w:r>
          </w:p>
          <w:p w14:paraId="20D9BC9C">
            <w:pPr>
              <w:numPr>
                <w:ilvl w:val="0"/>
                <w:numId w:val="11"/>
              </w:numPr>
              <w:rPr>
                <w:rFonts w:hint="eastAsia" w:ascii="宋体" w:hAnsi="宋体" w:eastAsia="宋体" w:cs="宋体"/>
                <w:sz w:val="21"/>
                <w:szCs w:val="21"/>
                <w:highlight w:val="none"/>
              </w:rPr>
            </w:pPr>
            <w:r>
              <w:rPr>
                <w:rFonts w:hint="eastAsia" w:ascii="宋体" w:hAnsi="宋体" w:eastAsia="宋体" w:cs="宋体"/>
                <w:sz w:val="21"/>
                <w:szCs w:val="21"/>
                <w:highlight w:val="none"/>
              </w:rPr>
              <w:t>学习过程的监督和跟踪:支持可以跟踪记录并统计基于每个学生的学习进度、课程登录详情、学习材料浏览和下载详情、作业和测试完成情况、在线时长、视频观看的详情、参加答疑讨论的情况等多项学习考核指标。</w:t>
            </w:r>
          </w:p>
          <w:p w14:paraId="022DE1E7">
            <w:pPr>
              <w:numPr>
                <w:ilvl w:val="0"/>
                <w:numId w:val="11"/>
              </w:numPr>
              <w:rPr>
                <w:rFonts w:hint="eastAsia" w:ascii="宋体" w:hAnsi="宋体" w:eastAsia="宋体" w:cs="宋体"/>
                <w:sz w:val="21"/>
                <w:szCs w:val="21"/>
                <w:highlight w:val="none"/>
              </w:rPr>
            </w:pPr>
            <w:r>
              <w:rPr>
                <w:rFonts w:hint="eastAsia" w:ascii="宋体" w:hAnsi="宋体" w:eastAsia="宋体" w:cs="宋体"/>
                <w:sz w:val="21"/>
                <w:szCs w:val="21"/>
                <w:highlight w:val="none"/>
              </w:rPr>
              <w:t>▲视频播放控制:</w:t>
            </w:r>
            <w:r>
              <w:rPr>
                <w:rFonts w:hint="eastAsia" w:ascii="宋体" w:hAnsi="宋体" w:eastAsia="宋体" w:cs="宋体"/>
                <w:sz w:val="21"/>
                <w:szCs w:val="21"/>
              </w:rPr>
              <w:t>课程建设的教学视频文件具有“防拖拽和防窗口切换”功能，支持视频中任意时间点插入测验，包含单选题、多选题和对错题，支持设置答错是否允许继续观看视频，如果答错，支持设置或看多少分钟，或者设置回看时间段；支持学生作答后查看答案。</w:t>
            </w:r>
          </w:p>
          <w:p w14:paraId="5AC81B8B">
            <w:pPr>
              <w:numPr>
                <w:ilvl w:val="0"/>
                <w:numId w:val="11"/>
              </w:numPr>
              <w:rPr>
                <w:rFonts w:hint="eastAsia" w:ascii="宋体" w:hAnsi="宋体" w:eastAsia="宋体" w:cs="宋体"/>
                <w:sz w:val="21"/>
                <w:szCs w:val="21"/>
                <w:highlight w:val="none"/>
              </w:rPr>
            </w:pPr>
            <w:r>
              <w:rPr>
                <w:rFonts w:hint="eastAsia" w:ascii="宋体" w:hAnsi="宋体" w:eastAsia="宋体" w:cs="宋体"/>
                <w:sz w:val="21"/>
                <w:szCs w:val="21"/>
                <w:highlight w:val="none"/>
              </w:rPr>
              <w:t>证书发放功能:证书支持多种模板选择，且支持自定义在线编辑证书内容。系统支持自动发放证书和选人发放，其中自动发放证书包括按综合成绩发放证书和按任务点完成率发放证书。自动发放证书支持定时发放，学生可以将证书下载并打印。</w:t>
            </w:r>
          </w:p>
          <w:p w14:paraId="4EC46769">
            <w:pPr>
              <w:numPr>
                <w:ilvl w:val="0"/>
                <w:numId w:val="11"/>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课程复习模式:教师在开课时可以设定课程的开课时间和结课时间，并且在课程结束后，可以自动开启复习模式，在复习模式中，学生可以复习，但学习记录不</w:t>
            </w:r>
            <w:r>
              <w:rPr>
                <w:rFonts w:hint="eastAsia" w:ascii="宋体" w:hAnsi="宋体" w:eastAsia="宋体" w:cs="宋体"/>
                <w:sz w:val="21"/>
                <w:szCs w:val="21"/>
                <w:highlight w:val="none"/>
                <w:lang w:eastAsia="zh-CN"/>
              </w:rPr>
              <w:t>计入</w:t>
            </w:r>
            <w:r>
              <w:rPr>
                <w:rFonts w:hint="eastAsia" w:ascii="宋体" w:hAnsi="宋体" w:eastAsia="宋体" w:cs="宋体"/>
                <w:sz w:val="21"/>
                <w:szCs w:val="21"/>
                <w:highlight w:val="none"/>
              </w:rPr>
              <w:t>总成绩。</w:t>
            </w:r>
          </w:p>
          <w:p w14:paraId="0774A5D6">
            <w:pPr>
              <w:numPr>
                <w:ilvl w:val="0"/>
                <w:numId w:val="11"/>
              </w:numPr>
              <w:rPr>
                <w:rFonts w:hint="eastAsia" w:ascii="宋体" w:hAnsi="宋体" w:eastAsia="宋体" w:cs="宋体"/>
                <w:sz w:val="21"/>
                <w:szCs w:val="21"/>
                <w:highlight w:val="none"/>
              </w:rPr>
            </w:pPr>
            <w:r>
              <w:rPr>
                <w:rFonts w:hint="eastAsia" w:ascii="宋体" w:hAnsi="宋体" w:eastAsia="宋体" w:cs="宋体"/>
                <w:sz w:val="21"/>
                <w:szCs w:val="21"/>
                <w:highlight w:val="none"/>
              </w:rPr>
              <w:t>学习监控:支持章节视频任务点、作业、考试异常行为监控。支持教师查看学生学习监控数据，若有异常学习行为，可清除其学习记录。</w:t>
            </w:r>
          </w:p>
          <w:p w14:paraId="6D81FF75">
            <w:pPr>
              <w:numPr>
                <w:ilvl w:val="0"/>
                <w:numId w:val="1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学生进入课程、观看视频时进行人脸识别和抓拍。观看视频抓拍需要支持视频起始、视频播放、视频暂停再播放、视频结束抓拍设置，也支持播放中的定时抓拍,如10分钟抓拍一次和随机抓拍。识别失败支持记录并继续学习和不允许学习的配置。</w:t>
            </w:r>
          </w:p>
        </w:tc>
      </w:tr>
      <w:tr w14:paraId="7AB9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286F3A0D">
            <w:pPr>
              <w:rPr>
                <w:rFonts w:hint="eastAsia" w:ascii="宋体" w:hAnsi="宋体" w:eastAsia="宋体" w:cs="宋体"/>
                <w:sz w:val="21"/>
                <w:szCs w:val="21"/>
                <w:highlight w:val="none"/>
              </w:rPr>
            </w:pPr>
          </w:p>
        </w:tc>
        <w:tc>
          <w:tcPr>
            <w:tcW w:w="1276" w:type="dxa"/>
            <w:noWrap w:val="0"/>
            <w:vAlign w:val="center"/>
          </w:tcPr>
          <w:p w14:paraId="28D0CCB6">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教学资源管理</w:t>
            </w:r>
          </w:p>
        </w:tc>
        <w:tc>
          <w:tcPr>
            <w:tcW w:w="7305" w:type="dxa"/>
            <w:noWrap w:val="0"/>
            <w:vAlign w:val="top"/>
          </w:tcPr>
          <w:p w14:paraId="7A54D6DE">
            <w:pPr>
              <w:rPr>
                <w:rFonts w:hint="eastAsia" w:ascii="宋体" w:hAnsi="宋体" w:eastAsia="宋体" w:cs="宋体"/>
                <w:sz w:val="21"/>
                <w:szCs w:val="21"/>
                <w:highlight w:val="none"/>
              </w:rPr>
            </w:pPr>
            <w:r>
              <w:rPr>
                <w:rFonts w:hint="eastAsia" w:ascii="宋体" w:hAnsi="宋体" w:eastAsia="宋体" w:cs="宋体"/>
                <w:sz w:val="21"/>
                <w:szCs w:val="21"/>
                <w:highlight w:val="none"/>
              </w:rPr>
              <w:t>教学资源管理包括上传课程资源，支持课程资源共享给指定教师或指定教学班，同时资源可在不同板块中反复调用，随时随地下载。教师可从本地、云盘、在线图书、网址、教学资源库等添加资源到课程资料模块。</w:t>
            </w:r>
          </w:p>
          <w:p w14:paraId="70FBE1D5">
            <w:pPr>
              <w:numPr>
                <w:ilvl w:val="0"/>
                <w:numId w:val="12"/>
              </w:numPr>
              <w:rPr>
                <w:rFonts w:hint="eastAsia" w:ascii="宋体" w:hAnsi="宋体" w:eastAsia="宋体" w:cs="宋体"/>
                <w:sz w:val="21"/>
                <w:szCs w:val="21"/>
                <w:highlight w:val="none"/>
              </w:rPr>
            </w:pPr>
            <w:r>
              <w:rPr>
                <w:rFonts w:hint="eastAsia" w:ascii="宋体" w:hAnsi="宋体" w:eastAsia="宋体" w:cs="宋体"/>
                <w:sz w:val="21"/>
                <w:szCs w:val="21"/>
                <w:highlight w:val="none"/>
              </w:rPr>
              <w:t>教学资料:教师可以对自己所负责的课程的资料进行管理，建立课程文件的目录层级，同时教师可以根据课程需要，赋予一人或多人一定权限，共同</w:t>
            </w:r>
            <w:r>
              <w:rPr>
                <w:rFonts w:hint="eastAsia" w:ascii="宋体" w:hAnsi="宋体" w:eastAsia="宋体" w:cs="宋体"/>
                <w:sz w:val="21"/>
                <w:szCs w:val="21"/>
                <w:highlight w:val="none"/>
                <w:lang w:eastAsia="zh-CN"/>
              </w:rPr>
              <w:t>参与</w:t>
            </w:r>
            <w:r>
              <w:rPr>
                <w:rFonts w:hint="eastAsia" w:ascii="宋体" w:hAnsi="宋体" w:eastAsia="宋体" w:cs="宋体"/>
                <w:sz w:val="21"/>
                <w:szCs w:val="21"/>
                <w:highlight w:val="none"/>
              </w:rPr>
              <w:t>课程资源建设，即委派角色。支持选择文件夹中内容共享给哪些教师和班级。教师可以直接从备课资源库检索、添加相关在线资源。</w:t>
            </w:r>
          </w:p>
          <w:p w14:paraId="1CB2F2DA">
            <w:pPr>
              <w:numPr>
                <w:ilvl w:val="0"/>
                <w:numId w:val="12"/>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▲支持对资料进行转发分享，支持多种转发渠道，可转发至个人笔记、通知、群聊等，支持通过资料二维码、链接地址等形式进行资料共享。</w:t>
            </w:r>
          </w:p>
          <w:p w14:paraId="4D2D70C5">
            <w:pPr>
              <w:numPr>
                <w:ilvl w:val="0"/>
                <w:numId w:val="12"/>
              </w:numPr>
              <w:rPr>
                <w:rFonts w:hint="eastAsia" w:ascii="宋体" w:hAnsi="宋体" w:eastAsia="宋体" w:cs="宋体"/>
                <w:sz w:val="21"/>
                <w:szCs w:val="21"/>
                <w:highlight w:val="none"/>
              </w:rPr>
            </w:pPr>
            <w:r>
              <w:rPr>
                <w:rFonts w:hint="eastAsia" w:ascii="宋体" w:hAnsi="宋体" w:eastAsia="宋体" w:cs="宋体"/>
                <w:sz w:val="21"/>
                <w:szCs w:val="21"/>
                <w:highlight w:val="none"/>
              </w:rPr>
              <w:t>教材教参:教师可以从备课资源库中查找并添加课程相关的教学参考书，推荐给学生直接进行在线阅读。</w:t>
            </w:r>
          </w:p>
          <w:p w14:paraId="451A5FCD">
            <w:pPr>
              <w:numPr>
                <w:ilvl w:val="0"/>
                <w:numId w:val="12"/>
              </w:numPr>
              <w:rPr>
                <w:rFonts w:hint="eastAsia" w:ascii="宋体" w:hAnsi="宋体" w:eastAsia="宋体" w:cs="宋体"/>
                <w:sz w:val="21"/>
                <w:szCs w:val="21"/>
                <w:highlight w:val="none"/>
              </w:rPr>
            </w:pPr>
            <w:r>
              <w:rPr>
                <w:rFonts w:hint="eastAsia" w:ascii="宋体" w:hAnsi="宋体" w:eastAsia="宋体" w:cs="宋体"/>
                <w:sz w:val="21"/>
                <w:szCs w:val="21"/>
                <w:highlight w:val="none"/>
              </w:rPr>
              <w:t>教学资源库:教师可以从教学资源库中查找并添加课程相关的课件、音视频、图片、文档，推荐给学生直接进行在线观看。</w:t>
            </w:r>
          </w:p>
          <w:p w14:paraId="1E5D6B43">
            <w:pPr>
              <w:numPr>
                <w:ilvl w:val="0"/>
                <w:numId w:val="12"/>
              </w:numPr>
              <w:rPr>
                <w:rFonts w:hint="eastAsia" w:ascii="宋体" w:hAnsi="宋体" w:eastAsia="宋体" w:cs="宋体"/>
                <w:sz w:val="21"/>
                <w:szCs w:val="21"/>
                <w:highlight w:val="none"/>
              </w:rPr>
            </w:pPr>
            <w:r>
              <w:rPr>
                <w:rFonts w:hint="eastAsia" w:ascii="宋体" w:hAnsi="宋体" w:eastAsia="宋体" w:cs="宋体"/>
                <w:sz w:val="21"/>
                <w:szCs w:val="21"/>
                <w:highlight w:val="none"/>
              </w:rPr>
              <w:t>题库管理</w:t>
            </w:r>
          </w:p>
          <w:p w14:paraId="595EBDA7">
            <w:pPr>
              <w:numPr>
                <w:ilvl w:val="0"/>
                <w:numId w:val="13"/>
              </w:num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题库建设支持模板导入及智能导入。智能导入需能智能识别题目类型、题干、答案、标点解析等，并能实现原位编辑。</w:t>
            </w:r>
          </w:p>
          <w:p w14:paraId="54A2E8CC">
            <w:pPr>
              <w:numPr>
                <w:ilvl w:val="0"/>
                <w:numId w:val="13"/>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创建课程试题库，对试题库进行管理，包括添加、修改、删除、查询、浏览等功能。题型包括单选、多选、判断、简答、填空、连线题、共用选项题、测评题、选词填空、选做题等，题的属性除难度系数外，可</w:t>
            </w:r>
            <w:r>
              <w:rPr>
                <w:rFonts w:hint="eastAsia" w:ascii="宋体" w:hAnsi="宋体" w:eastAsia="宋体" w:cs="宋体"/>
                <w:sz w:val="21"/>
                <w:szCs w:val="21"/>
                <w:highlight w:val="none"/>
                <w:lang w:eastAsia="zh-CN"/>
              </w:rPr>
              <w:t>自定义</w:t>
            </w:r>
            <w:r>
              <w:rPr>
                <w:rFonts w:hint="eastAsia" w:ascii="宋体" w:hAnsi="宋体" w:eastAsia="宋体" w:cs="宋体"/>
                <w:sz w:val="21"/>
                <w:szCs w:val="21"/>
                <w:highlight w:val="none"/>
              </w:rPr>
              <w:t>题目标签，最多支持六级标签。</w:t>
            </w:r>
          </w:p>
          <w:p w14:paraId="15586758">
            <w:pPr>
              <w:numPr>
                <w:ilvl w:val="0"/>
                <w:numId w:val="13"/>
              </w:numPr>
              <w:rPr>
                <w:rFonts w:hint="eastAsia" w:ascii="宋体" w:hAnsi="宋体" w:eastAsia="宋体" w:cs="宋体"/>
                <w:sz w:val="21"/>
                <w:szCs w:val="21"/>
                <w:highlight w:val="none"/>
              </w:rPr>
            </w:pPr>
            <w:r>
              <w:rPr>
                <w:rFonts w:hint="eastAsia" w:ascii="宋体" w:hAnsi="宋体" w:eastAsia="宋体" w:cs="宋体"/>
                <w:sz w:val="21"/>
                <w:szCs w:val="21"/>
                <w:highlight w:val="none"/>
              </w:rPr>
              <w:t>题库导入支持excel及word格式的模板方式导入。</w:t>
            </w:r>
          </w:p>
          <w:p w14:paraId="1391F1B0">
            <w:pPr>
              <w:numPr>
                <w:ilvl w:val="0"/>
                <w:numId w:val="13"/>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创建文件夹对试题进行分类管理，支持多文件夹目录层级。文件夹支持设置共享范围：私有（仅自己可见，文件夹中只能添加自己创建的题目）、共享给指定教学团队成员（仅指定成员可见，文件夹中只能添加自己创建的题目）、公开（所有教学团队成员可见，文件夹中可添加其他成员创建的题目）、是否允许学生自测（是否允许学生从此文件夹中抽题自测）。</w:t>
            </w:r>
          </w:p>
          <w:p w14:paraId="3FB010DC">
            <w:pPr>
              <w:numPr>
                <w:ilvl w:val="0"/>
                <w:numId w:val="13"/>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支持文件夹及题目复制功能。</w:t>
            </w:r>
          </w:p>
          <w:p w14:paraId="4B869C2C">
            <w:pPr>
              <w:numPr>
                <w:ilvl w:val="0"/>
                <w:numId w:val="13"/>
              </w:numPr>
              <w:rPr>
                <w:rFonts w:hint="eastAsia" w:ascii="宋体" w:hAnsi="宋体" w:eastAsia="宋体" w:cs="宋体"/>
                <w:sz w:val="21"/>
                <w:szCs w:val="21"/>
                <w:highlight w:val="none"/>
              </w:rPr>
            </w:pPr>
            <w:r>
              <w:rPr>
                <w:rFonts w:hint="eastAsia" w:ascii="宋体" w:hAnsi="宋体" w:eastAsia="宋体" w:cs="宋体"/>
                <w:sz w:val="21"/>
                <w:szCs w:val="21"/>
                <w:highlight w:val="none"/>
              </w:rPr>
              <w:t>允许设置文件夹锁定功能。锁定后，题目将放入“已锁定题目”文件夹，已锁定题目将不会出现在题库选题和随机组卷中。</w:t>
            </w:r>
          </w:p>
          <w:p w14:paraId="2345F90A">
            <w:pPr>
              <w:numPr>
                <w:ilvl w:val="0"/>
                <w:numId w:val="13"/>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支持智能导入，直接将word试题文档快速导入，支持线上修改题目内容。</w:t>
            </w:r>
          </w:p>
          <w:p w14:paraId="7437BF83">
            <w:pPr>
              <w:numPr>
                <w:ilvl w:val="0"/>
                <w:numId w:val="13"/>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支持教师对系统题型重命名，支持新建题型，满足更多题型要求。支持试题批量导出，支持多种导出格式，包括word、pdf、excel格式。</w:t>
            </w:r>
          </w:p>
          <w:p w14:paraId="5DBC95A6">
            <w:pPr>
              <w:numPr>
                <w:ilvl w:val="0"/>
                <w:numId w:val="13"/>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支持对单个试题进行排序、编辑、移动、锁定、修改题型、修改难易度、关联知识点、关联课程目标、一键推送云盘功能。</w:t>
            </w:r>
          </w:p>
          <w:p w14:paraId="0E0FE901">
            <w:pPr>
              <w:numPr>
                <w:ilvl w:val="0"/>
                <w:numId w:val="13"/>
              </w:numPr>
              <w:rPr>
                <w:rFonts w:hint="eastAsia" w:ascii="宋体" w:hAnsi="宋体" w:eastAsia="宋体" w:cs="宋体"/>
                <w:sz w:val="21"/>
                <w:szCs w:val="21"/>
                <w:highlight w:val="none"/>
              </w:rPr>
            </w:pPr>
            <w:r>
              <w:rPr>
                <w:rFonts w:hint="eastAsia" w:ascii="宋体" w:hAnsi="宋体" w:eastAsia="宋体" w:cs="宋体"/>
                <w:sz w:val="21"/>
                <w:szCs w:val="21"/>
                <w:highlight w:val="none"/>
              </w:rPr>
              <w:t>题库支持统计试题使用次数、学生答题正确率、题目创建日期等。</w:t>
            </w:r>
          </w:p>
          <w:p w14:paraId="614EE6B6">
            <w:pPr>
              <w:numPr>
                <w:ilvl w:val="0"/>
                <w:numId w:val="12"/>
              </w:numPr>
              <w:rPr>
                <w:rFonts w:hint="eastAsia" w:ascii="宋体" w:hAnsi="宋体" w:eastAsia="宋体" w:cs="宋体"/>
                <w:sz w:val="21"/>
                <w:szCs w:val="21"/>
                <w:highlight w:val="none"/>
              </w:rPr>
            </w:pPr>
            <w:r>
              <w:rPr>
                <w:rFonts w:hint="eastAsia" w:ascii="宋体" w:hAnsi="宋体" w:eastAsia="宋体" w:cs="宋体"/>
                <w:sz w:val="21"/>
                <w:szCs w:val="21"/>
                <w:highlight w:val="none"/>
              </w:rPr>
              <w:t>作业管理</w:t>
            </w:r>
          </w:p>
          <w:p w14:paraId="7AF8EB47">
            <w:pPr>
              <w:numPr>
                <w:ilvl w:val="0"/>
                <w:numId w:val="14"/>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教师可以创建作业，形成课程作业库，也可以从教学资源库引入作业，导入作业。</w:t>
            </w:r>
          </w:p>
          <w:p w14:paraId="5501ABBE">
            <w:pPr>
              <w:numPr>
                <w:ilvl w:val="0"/>
                <w:numId w:val="14"/>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教师可以对平台导出的作业进行二次导入。</w:t>
            </w:r>
          </w:p>
          <w:p w14:paraId="29E1E2CD">
            <w:pPr>
              <w:numPr>
                <w:ilvl w:val="0"/>
                <w:numId w:val="14"/>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教师可以对已发布的作业进行分数和答案的校正。</w:t>
            </w:r>
          </w:p>
          <w:p w14:paraId="3EDE7F75">
            <w:pPr>
              <w:numPr>
                <w:ilvl w:val="0"/>
                <w:numId w:val="12"/>
              </w:numPr>
              <w:rPr>
                <w:rFonts w:hint="eastAsia" w:ascii="宋体" w:hAnsi="宋体" w:eastAsia="宋体" w:cs="宋体"/>
                <w:sz w:val="21"/>
                <w:szCs w:val="21"/>
                <w:highlight w:val="none"/>
              </w:rPr>
            </w:pPr>
            <w:r>
              <w:rPr>
                <w:rFonts w:hint="eastAsia" w:ascii="宋体" w:hAnsi="宋体" w:eastAsia="宋体" w:cs="宋体"/>
                <w:sz w:val="21"/>
                <w:szCs w:val="21"/>
                <w:highlight w:val="none"/>
              </w:rPr>
              <w:t>试卷管理</w:t>
            </w:r>
          </w:p>
          <w:p w14:paraId="33E2982C">
            <w:pPr>
              <w:numPr>
                <w:ilvl w:val="0"/>
                <w:numId w:val="15"/>
              </w:numPr>
              <w:rPr>
                <w:rFonts w:hint="eastAsia" w:ascii="宋体" w:hAnsi="宋体" w:eastAsia="宋体" w:cs="宋体"/>
                <w:sz w:val="21"/>
                <w:szCs w:val="21"/>
                <w:highlight w:val="none"/>
              </w:rPr>
            </w:pPr>
            <w:r>
              <w:rPr>
                <w:rFonts w:hint="eastAsia" w:ascii="宋体" w:hAnsi="宋体" w:eastAsia="宋体" w:cs="宋体"/>
                <w:sz w:val="21"/>
                <w:szCs w:val="21"/>
                <w:highlight w:val="none"/>
              </w:rPr>
              <w:t>具有从题库中随机生成新的试卷的功能，教师可以对试卷中的试题进行添加、修改、删除、任意排序、预览等功能，还可以对试题设定分值。</w:t>
            </w:r>
          </w:p>
          <w:p w14:paraId="7383EE8A">
            <w:pPr>
              <w:numPr>
                <w:ilvl w:val="0"/>
                <w:numId w:val="15"/>
              </w:numPr>
              <w:rPr>
                <w:rFonts w:hint="eastAsia" w:ascii="宋体" w:hAnsi="宋体" w:eastAsia="宋体" w:cs="宋体"/>
                <w:sz w:val="21"/>
                <w:szCs w:val="21"/>
                <w:highlight w:val="none"/>
              </w:rPr>
            </w:pPr>
            <w:r>
              <w:rPr>
                <w:rFonts w:hint="eastAsia" w:ascii="宋体" w:hAnsi="宋体" w:eastAsia="宋体" w:cs="宋体"/>
                <w:sz w:val="21"/>
                <w:szCs w:val="21"/>
                <w:highlight w:val="none"/>
              </w:rPr>
              <w:t>试卷可多次重复使用。教师可以按照模板导入编辑好的试卷。</w:t>
            </w:r>
          </w:p>
          <w:p w14:paraId="54CF7AA7">
            <w:pPr>
              <w:numPr>
                <w:ilvl w:val="0"/>
                <w:numId w:val="15"/>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教师可以对创建好的试卷进行封存，设置封存密码对试卷进行保护。</w:t>
            </w:r>
          </w:p>
          <w:p w14:paraId="5EAC02BE">
            <w:pPr>
              <w:numPr>
                <w:ilvl w:val="0"/>
                <w:numId w:val="15"/>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教师可以选择随机组卷和手动组卷两种组卷方式。</w:t>
            </w:r>
          </w:p>
          <w:p w14:paraId="66FC8B04">
            <w:pPr>
              <w:numPr>
                <w:ilvl w:val="0"/>
                <w:numId w:val="15"/>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试卷结构分析：试卷分析功能分为题型统计分析、难易度统计分析、题目详情。题型统计和难易度统计分析支持按照题量和题目分数分布进行统计。题目详情支持按照题型、难易度、知识点进行查看题目的题号、题干、题型、难易度、知识点、正确率（该题在多次考试中使用的正确率）、题目分数。</w:t>
            </w:r>
          </w:p>
        </w:tc>
      </w:tr>
      <w:tr w14:paraId="3E599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2A016ABB">
            <w:pPr>
              <w:rPr>
                <w:rFonts w:hint="eastAsia" w:ascii="宋体" w:hAnsi="宋体" w:eastAsia="宋体" w:cs="宋体"/>
                <w:sz w:val="21"/>
                <w:szCs w:val="21"/>
                <w:highlight w:val="none"/>
              </w:rPr>
            </w:pPr>
          </w:p>
        </w:tc>
        <w:tc>
          <w:tcPr>
            <w:tcW w:w="1276" w:type="dxa"/>
            <w:noWrap w:val="0"/>
            <w:vAlign w:val="center"/>
          </w:tcPr>
          <w:p w14:paraId="784A2676">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作业与考试</w:t>
            </w:r>
          </w:p>
        </w:tc>
        <w:tc>
          <w:tcPr>
            <w:tcW w:w="7305" w:type="dxa"/>
            <w:noWrap w:val="0"/>
            <w:vAlign w:val="top"/>
          </w:tcPr>
          <w:p w14:paraId="0B4CB545">
            <w:pPr>
              <w:pStyle w:val="12"/>
              <w:numPr>
                <w:ilvl w:val="0"/>
                <w:numId w:val="16"/>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作业</w:t>
            </w:r>
          </w:p>
          <w:p w14:paraId="54EED870">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作业可以是来源于题库、作业库自定义或模板导入，每次布置作业，自定义的题目需具有保存到题库的功能。作业从题库选题时不限于使用本门课程的题库，可跨课程使用教师本人其他课程的题库。</w:t>
            </w:r>
          </w:p>
          <w:p w14:paraId="34353CEE">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教师可以随时查看学生作业的完成情况并对作业进行线上批阅打分，学生在线提交作业后，对于客观题系统能自动判分。线下作业教师可以将成绩登记到线上，以备定期统计，了解学生的学习情况。</w:t>
            </w:r>
          </w:p>
          <w:p w14:paraId="1262C3DB">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作业</w:t>
            </w:r>
            <w:r>
              <w:rPr>
                <w:rFonts w:hint="eastAsia" w:ascii="宋体" w:hAnsi="宋体" w:eastAsia="宋体" w:cs="宋体"/>
                <w:sz w:val="21"/>
                <w:szCs w:val="21"/>
                <w:highlight w:val="none"/>
                <w:lang w:eastAsia="zh-CN"/>
              </w:rPr>
              <w:t>须具备</w:t>
            </w:r>
            <w:r>
              <w:rPr>
                <w:rFonts w:hint="eastAsia" w:ascii="宋体" w:hAnsi="宋体" w:eastAsia="宋体" w:cs="宋体"/>
                <w:sz w:val="21"/>
                <w:szCs w:val="21"/>
                <w:highlight w:val="none"/>
              </w:rPr>
              <w:t>生生互评的功能，设为互评的作业，支持设置教师批阅得分、学生批阅得分、互评参与情况之间占比。支持设置学生批语字数限制以及学生主观题评分范围。</w:t>
            </w:r>
          </w:p>
          <w:p w14:paraId="3C8C617C">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作业支持文档、附件、视频、音频等形式，同时音视频支持在线播放功能。</w:t>
            </w:r>
          </w:p>
          <w:p w14:paraId="05399B60">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支持填空题是否为客观题的设定，当设填空题为客观题，系统可自动对其批阅，同时，支持设置是否允许学生补考、及格分数的设定，并可设置是否允许学生重考。</w:t>
            </w:r>
          </w:p>
          <w:p w14:paraId="7DA15919">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教师可随时设定作业答案是否公开、作业分数是否公开，可设定学生答案的字数范围及是否防止粘贴的功能。可以对作业进行设置，设置发布作业的时间、是否允许补交、是否允许重做、是否允许学生查看分数、允许学生查看题型分数、允许学生粘贴答案、学生重做时显示对错、题目乱序、督促设置、作答要求、评分设置、排序题按空给分。</w:t>
            </w:r>
          </w:p>
          <w:p w14:paraId="537039D2">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对于同一套作业，可以设置题目乱序和选项乱序，防止学生作弊。</w:t>
            </w:r>
          </w:p>
          <w:p w14:paraId="00DD2A23">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对于未提交作业的学生，可以进行督促，发放督促通知。</w:t>
            </w:r>
          </w:p>
          <w:p w14:paraId="1C1CEDBB">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作业</w:t>
            </w:r>
            <w:r>
              <w:rPr>
                <w:rFonts w:hint="eastAsia" w:ascii="宋体" w:hAnsi="宋体" w:eastAsia="宋体" w:cs="宋体"/>
                <w:sz w:val="21"/>
                <w:szCs w:val="21"/>
                <w:highlight w:val="none"/>
                <w:lang w:eastAsia="zh-CN"/>
              </w:rPr>
              <w:t>须</w:t>
            </w:r>
            <w:r>
              <w:rPr>
                <w:rFonts w:hint="eastAsia" w:ascii="宋体" w:hAnsi="宋体" w:eastAsia="宋体" w:cs="宋体"/>
                <w:sz w:val="21"/>
                <w:szCs w:val="21"/>
                <w:highlight w:val="none"/>
              </w:rPr>
              <w:t>具备指定发送给某个人的功能，实现有针对性的教学管理。</w:t>
            </w:r>
          </w:p>
          <w:p w14:paraId="0B18E978">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作业支持智能导入，一键识别加入作业库。</w:t>
            </w:r>
          </w:p>
          <w:p w14:paraId="196FC369">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支持简答题作业查重，支持学生提交作业与正确答案对比，为阅卷教师提供参考。支持班级内学生与学生之间的简答题作业答案重复率的对比。支持老师在批改简答题时通过相似度查询系统，跟海量资源库文档内容进行比对，得出查重率，也可以给出查重报告，给老师提供作业打分依据。</w:t>
            </w:r>
          </w:p>
          <w:p w14:paraId="546A84CD">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教师可以按人、按题目批阅，也可以打回重做。</w:t>
            </w:r>
          </w:p>
          <w:p w14:paraId="532BC46E">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支持</w:t>
            </w:r>
            <w:r>
              <w:rPr>
                <w:rFonts w:hint="eastAsia" w:ascii="宋体" w:hAnsi="宋体" w:eastAsia="宋体" w:cs="宋体"/>
                <w:sz w:val="21"/>
                <w:szCs w:val="21"/>
                <w:highlight w:val="none"/>
              </w:rPr>
              <w:t>导出成绩、导出作业附件。</w:t>
            </w:r>
          </w:p>
          <w:p w14:paraId="40C6FB04">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支持</w:t>
            </w:r>
            <w:r>
              <w:rPr>
                <w:rFonts w:hint="eastAsia" w:ascii="宋体" w:hAnsi="宋体" w:eastAsia="宋体" w:cs="宋体"/>
                <w:sz w:val="21"/>
                <w:szCs w:val="21"/>
                <w:highlight w:val="none"/>
              </w:rPr>
              <w:t>查看作业的每道题的正确率情况和答题详情并支持导出。</w:t>
            </w:r>
          </w:p>
          <w:p w14:paraId="046C5306">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题库试题创建支持在线录音，录完的声音可以直接在线播放。提供强大的基于浏览器的数学、化学公式在线编辑器。</w:t>
            </w:r>
          </w:p>
          <w:p w14:paraId="0DBAB648">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能够设置任务学习完成的情况作为是否能完成作业的条件。</w:t>
            </w:r>
          </w:p>
          <w:p w14:paraId="470F3A30">
            <w:pPr>
              <w:pStyle w:val="12"/>
              <w:numPr>
                <w:ilvl w:val="0"/>
                <w:numId w:val="17"/>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支持将学生答案拍照上传，同时支持主观题答案与教师设定的标准答案之间进行相似度智能分析，并根据分析结果给出推荐得分，辅助教师进行主观题批阅。</w:t>
            </w:r>
          </w:p>
          <w:p w14:paraId="31E594FE">
            <w:pPr>
              <w:pStyle w:val="12"/>
              <w:numPr>
                <w:ilvl w:val="0"/>
                <w:numId w:val="16"/>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测验与考试</w:t>
            </w:r>
          </w:p>
          <w:p w14:paraId="3E59673A">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能为学生提供限时，能按照设定的日期和时间自动开放或关闭测验和考试。</w:t>
            </w:r>
          </w:p>
          <w:p w14:paraId="09F58DF4">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支持设置考试限时、限时提交规则、限时进入。考试限时支持设置单题限时，包括所有题型统一限时、按题型限时。</w:t>
            </w:r>
          </w:p>
          <w:p w14:paraId="21868C05">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须</w:t>
            </w:r>
            <w:r>
              <w:rPr>
                <w:rFonts w:hint="eastAsia" w:ascii="宋体" w:hAnsi="宋体" w:eastAsia="宋体" w:cs="宋体"/>
                <w:sz w:val="21"/>
                <w:szCs w:val="21"/>
                <w:highlight w:val="none"/>
              </w:rPr>
              <w:t>具备随机组卷功能，可以随机组若干套试卷发放给学生。</w:t>
            </w:r>
          </w:p>
          <w:p w14:paraId="6F3B2F2C">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支持设置任务学习完成的情况作为是否能参加考试的条件；支持设置综合成绩达标情况作为是否能参加考试的条件。</w:t>
            </w:r>
          </w:p>
          <w:p w14:paraId="28A65B1A">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支持设置学生端作答时上传的附件类型，包括拍照/录像、录音、上传附件。</w:t>
            </w:r>
          </w:p>
          <w:p w14:paraId="4F2BF132">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对于同一套试卷，可以设置选项和考题乱序，防止学生作弊。</w:t>
            </w:r>
          </w:p>
          <w:p w14:paraId="348A0306">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需对考试进行是否允许查看答案及分数的设定，避免学生因答题时间不同而产生作弊现象。</w:t>
            </w:r>
          </w:p>
          <w:p w14:paraId="1BD03D15">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须</w:t>
            </w:r>
            <w:r>
              <w:rPr>
                <w:rFonts w:hint="eastAsia" w:ascii="宋体" w:hAnsi="宋体" w:eastAsia="宋体" w:cs="宋体"/>
                <w:sz w:val="21"/>
                <w:szCs w:val="21"/>
                <w:highlight w:val="none"/>
              </w:rPr>
              <w:t>具备设定随机验证码的功能，学生进入考试前需输入验证码，从而实现对学生的身份认证。</w:t>
            </w:r>
          </w:p>
          <w:p w14:paraId="7FEAEC1D">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人脸识别：开启后考生在考试前需进行人脸核对，保证本人参考。</w:t>
            </w:r>
          </w:p>
          <w:p w14:paraId="27CDFBD9">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支持设置考前多长时间可以进行考前准备。</w:t>
            </w:r>
          </w:p>
          <w:p w14:paraId="79BB3358">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支持发布考试须知，可自定义编辑。</w:t>
            </w:r>
          </w:p>
          <w:p w14:paraId="60923261">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kern w:val="2"/>
                <w:sz w:val="21"/>
                <w:szCs w:val="21"/>
              </w:rPr>
              <w:t>▲</w:t>
            </w:r>
            <w:r>
              <w:rPr>
                <w:rFonts w:hint="eastAsia" w:ascii="宋体" w:hAnsi="宋体" w:eastAsia="宋体" w:cs="宋体"/>
                <w:sz w:val="21"/>
                <w:szCs w:val="21"/>
              </w:rPr>
              <w:t>支持设置考试过程中抓拍监控、考试过程中切屏控制，可以设置指定IP参加考试、可以单题限时作答。支持自动随机组卷，组多套试卷时，可设置试卷试题重复率为0、不高于20%、不高于50%等。</w:t>
            </w:r>
          </w:p>
          <w:p w14:paraId="59D56DB0">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支持设置</w:t>
            </w:r>
            <w:r>
              <w:rPr>
                <w:rFonts w:hint="eastAsia" w:ascii="宋体" w:hAnsi="宋体" w:eastAsia="宋体" w:cs="宋体"/>
                <w:sz w:val="21"/>
                <w:szCs w:val="21"/>
                <w:highlight w:val="none"/>
              </w:rPr>
              <w:t>允许学生考后查看试卷、允许学生查看题目对错、允许学生查看分数、允许学生查看题型分数、允许学生查看考试等级、允许学生查看排名、允许自定义设置学生考试完成后展示的提示信息。</w:t>
            </w:r>
          </w:p>
          <w:p w14:paraId="0C0E650A">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支持生成试卷分析报告，报告中需至少包含试卷难度、区分度统计，成绩正态分布，成绩标准差、方差、试卷信度等分析数据项。</w:t>
            </w:r>
          </w:p>
          <w:p w14:paraId="3150A756">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支持在线阅卷，阅卷教师可在线打分、写评语、如答案为图片，支持在图片上进行批注；可切换批阅方式，支持按人批阅或按题目批阅。</w:t>
            </w:r>
          </w:p>
          <w:p w14:paraId="581AD26B">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在线监考：支持监考教师实时查看每位考生是否进入考试、进入时间、当前状态、IP地址、所在地区、考试方式、人脸识别情况、切屏次数、考试过程中抓拍照片识别次数、考试过程中抓拍照片识别异常次数、屏幕抓拍识别异常次数、是否被标记等。</w:t>
            </w:r>
          </w:p>
          <w:p w14:paraId="3C5A24F2">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查看考生详情：监考教师可随时查看每位考生的考试行为记录，详情以时间轴形式呈现，包括考生进入考试人脸识别结果、考试切屏记录等。</w:t>
            </w:r>
          </w:p>
          <w:p w14:paraId="30BE3B14">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平台支持试卷导出功能，至少支持A3、A4、B4等版式。</w:t>
            </w:r>
          </w:p>
          <w:p w14:paraId="2DED06EF">
            <w:pPr>
              <w:pStyle w:val="12"/>
              <w:numPr>
                <w:ilvl w:val="0"/>
                <w:numId w:val="18"/>
              </w:num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支持自定义设置导出试卷模板，包括密封线位置，显示的课程信息，学生信息，考试承诺书等多项内容。</w:t>
            </w:r>
          </w:p>
        </w:tc>
      </w:tr>
      <w:tr w14:paraId="537F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024E5952">
            <w:pPr>
              <w:rPr>
                <w:rFonts w:hint="eastAsia" w:ascii="宋体" w:hAnsi="宋体" w:eastAsia="宋体" w:cs="宋体"/>
                <w:sz w:val="21"/>
                <w:szCs w:val="21"/>
                <w:highlight w:val="none"/>
              </w:rPr>
            </w:pPr>
          </w:p>
        </w:tc>
        <w:tc>
          <w:tcPr>
            <w:tcW w:w="1276" w:type="dxa"/>
            <w:noWrap w:val="0"/>
            <w:vAlign w:val="center"/>
          </w:tcPr>
          <w:p w14:paraId="46573237">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教学互动</w:t>
            </w:r>
          </w:p>
        </w:tc>
        <w:tc>
          <w:tcPr>
            <w:tcW w:w="7305" w:type="dxa"/>
            <w:noWrap w:val="0"/>
            <w:vAlign w:val="top"/>
          </w:tcPr>
          <w:p w14:paraId="47DDDCED">
            <w:pPr>
              <w:numPr>
                <w:ilvl w:val="0"/>
                <w:numId w:val="19"/>
              </w:numPr>
              <w:rPr>
                <w:rFonts w:hint="eastAsia" w:ascii="宋体" w:hAnsi="宋体" w:eastAsia="宋体" w:cs="宋体"/>
                <w:sz w:val="21"/>
                <w:szCs w:val="21"/>
                <w:highlight w:val="none"/>
              </w:rPr>
            </w:pPr>
            <w:r>
              <w:rPr>
                <w:rFonts w:hint="eastAsia" w:ascii="宋体" w:hAnsi="宋体" w:eastAsia="宋体" w:cs="宋体"/>
                <w:sz w:val="21"/>
                <w:szCs w:val="21"/>
                <w:highlight w:val="none"/>
              </w:rPr>
              <w:t>通知</w:t>
            </w:r>
          </w:p>
          <w:p w14:paraId="3D4E9CC2">
            <w:pPr>
              <w:numPr>
                <w:ilvl w:val="0"/>
                <w:numId w:val="20"/>
              </w:numPr>
              <w:ind w:left="425" w:leftChars="0"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教师可以在课程中发布课程通知。</w:t>
            </w:r>
          </w:p>
          <w:p w14:paraId="073484DD">
            <w:pPr>
              <w:numPr>
                <w:ilvl w:val="0"/>
                <w:numId w:val="20"/>
              </w:numPr>
              <w:ind w:left="425" w:leftChars="0" w:hanging="425" w:firstLineChars="0"/>
              <w:rPr>
                <w:rFonts w:hint="eastAsia" w:ascii="宋体" w:hAnsi="宋体" w:eastAsia="宋体" w:cs="宋体"/>
                <w:sz w:val="21"/>
                <w:szCs w:val="21"/>
                <w:highlight w:val="none"/>
              </w:rPr>
            </w:pPr>
            <w:r>
              <w:rPr>
                <w:rFonts w:hint="eastAsia" w:ascii="宋体" w:hAnsi="宋体" w:eastAsia="宋体" w:cs="宋体"/>
                <w:sz w:val="21"/>
                <w:szCs w:val="21"/>
              </w:rPr>
              <w:t>可以在移动客户端选择给指定的人发送通知，并统计已读和未读名单。并与pc端无缝对接。针对未读通知，支持短信提醒、电话提醒、微信提醒等提醒方式</w:t>
            </w:r>
            <w:r>
              <w:rPr>
                <w:rFonts w:hint="eastAsia" w:ascii="宋体" w:hAnsi="宋体" w:eastAsia="宋体" w:cs="宋体"/>
                <w:sz w:val="21"/>
                <w:szCs w:val="21"/>
                <w:lang w:eastAsia="zh-CN"/>
              </w:rPr>
              <w:t>。</w:t>
            </w:r>
          </w:p>
          <w:p w14:paraId="3CEB9CC1">
            <w:pPr>
              <w:numPr>
                <w:ilvl w:val="0"/>
                <w:numId w:val="19"/>
              </w:numPr>
              <w:rPr>
                <w:rFonts w:hint="eastAsia" w:ascii="宋体" w:hAnsi="宋体" w:eastAsia="宋体" w:cs="宋体"/>
                <w:sz w:val="21"/>
                <w:szCs w:val="21"/>
                <w:highlight w:val="none"/>
              </w:rPr>
            </w:pPr>
            <w:r>
              <w:rPr>
                <w:rFonts w:hint="eastAsia" w:ascii="宋体" w:hAnsi="宋体" w:eastAsia="宋体" w:cs="宋体"/>
                <w:sz w:val="21"/>
                <w:szCs w:val="21"/>
                <w:highlight w:val="none"/>
              </w:rPr>
              <w:t>讨论</w:t>
            </w:r>
          </w:p>
          <w:p w14:paraId="39DCADFC">
            <w:pPr>
              <w:numPr>
                <w:ilvl w:val="0"/>
                <w:numId w:val="21"/>
              </w:numPr>
              <w:ind w:left="425" w:leftChars="0"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学生和教师可以在讨论区中发起讨论，讨论可以跟某一个章节进行关联。教师可针对精彩的讨论或有重要意义的讨论做加精或置顶的操作，也可对非法讨论进行删除。</w:t>
            </w:r>
          </w:p>
          <w:p w14:paraId="6FB9EEC4">
            <w:pPr>
              <w:numPr>
                <w:ilvl w:val="0"/>
                <w:numId w:val="21"/>
              </w:numPr>
              <w:ind w:left="425" w:leftChars="0"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移动端可以建立各种讨论小组，进行权限设置，小组成员可以发帖、回帖、置顶、观看小组的动态等。</w:t>
            </w:r>
          </w:p>
          <w:p w14:paraId="6482CA9D">
            <w:pPr>
              <w:numPr>
                <w:ilvl w:val="0"/>
                <w:numId w:val="19"/>
              </w:numPr>
              <w:rPr>
                <w:rFonts w:hint="eastAsia" w:ascii="宋体" w:hAnsi="宋体" w:eastAsia="宋体" w:cs="宋体"/>
                <w:sz w:val="21"/>
                <w:szCs w:val="21"/>
                <w:highlight w:val="none"/>
              </w:rPr>
            </w:pPr>
            <w:r>
              <w:rPr>
                <w:rFonts w:hint="eastAsia" w:ascii="宋体" w:hAnsi="宋体" w:eastAsia="宋体" w:cs="宋体"/>
                <w:sz w:val="21"/>
                <w:szCs w:val="21"/>
                <w:highlight w:val="none"/>
              </w:rPr>
              <w:t>笔记</w:t>
            </w:r>
          </w:p>
          <w:p w14:paraId="491A0E18">
            <w:pPr>
              <w:numPr>
                <w:ilvl w:val="0"/>
                <w:numId w:val="22"/>
              </w:numPr>
              <w:ind w:left="425" w:leftChars="0"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学生在学习某一个章节时，可以</w:t>
            </w:r>
            <w:r>
              <w:rPr>
                <w:rFonts w:hint="eastAsia" w:ascii="宋体" w:hAnsi="宋体" w:eastAsia="宋体" w:cs="宋体"/>
                <w:sz w:val="21"/>
                <w:szCs w:val="21"/>
                <w:highlight w:val="none"/>
                <w:lang w:val="en-US" w:eastAsia="zh-CN"/>
              </w:rPr>
              <w:t>通过移动端和电脑端对</w:t>
            </w:r>
            <w:r>
              <w:rPr>
                <w:rFonts w:hint="eastAsia" w:ascii="宋体" w:hAnsi="宋体" w:eastAsia="宋体" w:cs="宋体"/>
                <w:sz w:val="21"/>
                <w:szCs w:val="21"/>
                <w:highlight w:val="none"/>
              </w:rPr>
              <w:t>此章节做笔记。</w:t>
            </w:r>
          </w:p>
          <w:p w14:paraId="4F7CC800">
            <w:pPr>
              <w:numPr>
                <w:ilvl w:val="0"/>
                <w:numId w:val="22"/>
              </w:numPr>
              <w:ind w:left="425" w:leftChars="0" w:hanging="425"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笔记支持富媒体撰写，并可以分享给单位、好友，也可以私有，同时可以查看好友的</w:t>
            </w:r>
            <w:r>
              <w:rPr>
                <w:rFonts w:hint="eastAsia" w:ascii="宋体" w:hAnsi="宋体" w:eastAsia="宋体" w:cs="宋体"/>
                <w:sz w:val="21"/>
                <w:szCs w:val="21"/>
                <w:highlight w:val="none"/>
                <w:lang w:val="en-US" w:eastAsia="zh-CN"/>
              </w:rPr>
              <w:t>公开</w:t>
            </w:r>
            <w:r>
              <w:rPr>
                <w:rFonts w:hint="eastAsia" w:ascii="宋体" w:hAnsi="宋体" w:eastAsia="宋体" w:cs="宋体"/>
                <w:sz w:val="21"/>
                <w:szCs w:val="21"/>
                <w:highlight w:val="none"/>
              </w:rPr>
              <w:t>笔记，关注好友笔记。并能实时统计阅读次数、回复笔记等。</w:t>
            </w:r>
          </w:p>
        </w:tc>
      </w:tr>
      <w:tr w14:paraId="6ACA5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6AD78128">
            <w:pPr>
              <w:rPr>
                <w:rFonts w:hint="eastAsia" w:ascii="宋体" w:hAnsi="宋体" w:eastAsia="宋体" w:cs="宋体"/>
                <w:sz w:val="21"/>
                <w:szCs w:val="21"/>
                <w:highlight w:val="none"/>
              </w:rPr>
            </w:pPr>
          </w:p>
        </w:tc>
        <w:tc>
          <w:tcPr>
            <w:tcW w:w="1276" w:type="dxa"/>
            <w:noWrap w:val="0"/>
            <w:vAlign w:val="center"/>
          </w:tcPr>
          <w:p w14:paraId="48596CB2">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统计督学</w:t>
            </w:r>
          </w:p>
        </w:tc>
        <w:tc>
          <w:tcPr>
            <w:tcW w:w="7305" w:type="dxa"/>
            <w:noWrap w:val="0"/>
            <w:vAlign w:val="top"/>
          </w:tcPr>
          <w:p w14:paraId="4179D3F7">
            <w:pPr>
              <w:numPr>
                <w:ilvl w:val="0"/>
                <w:numId w:val="23"/>
              </w:numPr>
              <w:rPr>
                <w:rFonts w:hint="eastAsia" w:ascii="宋体" w:hAnsi="宋体" w:eastAsia="宋体" w:cs="宋体"/>
                <w:sz w:val="21"/>
                <w:szCs w:val="21"/>
                <w:highlight w:val="none"/>
              </w:rPr>
            </w:pPr>
            <w:r>
              <w:rPr>
                <w:rFonts w:hint="eastAsia" w:ascii="宋体" w:hAnsi="宋体" w:eastAsia="宋体" w:cs="宋体"/>
                <w:sz w:val="21"/>
                <w:szCs w:val="21"/>
                <w:highlight w:val="none"/>
              </w:rPr>
              <w:t>基础数据</w:t>
            </w:r>
          </w:p>
          <w:p w14:paraId="69651B2F">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可以对课程学生人数、班级个数、作业次数、课堂活动数、课程章节个数、视频、文档等资源个数、课程资料数、题库题数、考试次数、讨论数进行统计；</w:t>
            </w:r>
          </w:p>
          <w:p w14:paraId="071606E6">
            <w:pPr>
              <w:numPr>
                <w:ilvl w:val="0"/>
                <w:numId w:val="23"/>
              </w:numPr>
              <w:rPr>
                <w:rFonts w:hint="eastAsia" w:ascii="宋体" w:hAnsi="宋体" w:eastAsia="宋体" w:cs="宋体"/>
                <w:sz w:val="21"/>
                <w:szCs w:val="21"/>
                <w:highlight w:val="none"/>
              </w:rPr>
            </w:pPr>
            <w:r>
              <w:rPr>
                <w:rFonts w:hint="eastAsia" w:ascii="宋体" w:hAnsi="宋体" w:eastAsia="宋体" w:cs="宋体"/>
                <w:sz w:val="21"/>
                <w:szCs w:val="21"/>
                <w:highlight w:val="none"/>
              </w:rPr>
              <w:t>课堂报告</w:t>
            </w:r>
          </w:p>
          <w:p w14:paraId="37053458">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以班级和教师筛选展示整个课程的课堂活动发放情况、签到情况、课堂回顾。可以按日筛选查看不同日期课堂报告，可以导出课堂报告。</w:t>
            </w:r>
          </w:p>
          <w:p w14:paraId="68BC909E">
            <w:pPr>
              <w:numPr>
                <w:ilvl w:val="0"/>
                <w:numId w:val="23"/>
              </w:numPr>
              <w:rPr>
                <w:rFonts w:hint="eastAsia" w:ascii="宋体" w:hAnsi="宋体" w:eastAsia="宋体" w:cs="宋体"/>
                <w:sz w:val="21"/>
                <w:szCs w:val="21"/>
                <w:highlight w:val="none"/>
              </w:rPr>
            </w:pPr>
            <w:r>
              <w:rPr>
                <w:rFonts w:hint="eastAsia" w:ascii="宋体" w:hAnsi="宋体" w:eastAsia="宋体" w:cs="宋体"/>
                <w:sz w:val="21"/>
                <w:szCs w:val="21"/>
                <w:highlight w:val="none"/>
              </w:rPr>
              <w:t>学情分析</w:t>
            </w:r>
          </w:p>
          <w:p w14:paraId="46384922">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展示课程当中学生的学习情况，从多个维度展示学情，包括学习动态监测、章节学习次数、章节任务点、签到、课程积分、作业、章节测验、考试、讨论、教学预警、互动测验、分组任务</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知识点</w:t>
            </w:r>
            <w:r>
              <w:rPr>
                <w:rFonts w:hint="eastAsia" w:ascii="宋体" w:hAnsi="宋体" w:eastAsia="宋体" w:cs="宋体"/>
                <w:sz w:val="21"/>
                <w:szCs w:val="21"/>
                <w:highlight w:val="none"/>
              </w:rPr>
              <w:t>等学习情况，可以导出学生详细学习情况。</w:t>
            </w:r>
          </w:p>
          <w:p w14:paraId="594F1A88">
            <w:pPr>
              <w:numPr>
                <w:ilvl w:val="0"/>
                <w:numId w:val="23"/>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学生成绩</w:t>
            </w:r>
          </w:p>
          <w:p w14:paraId="0EBC0FA4">
            <w:pPr>
              <w:numPr>
                <w:ilvl w:val="0"/>
                <w:numId w:val="24"/>
              </w:numPr>
              <w:rPr>
                <w:rFonts w:hint="eastAsia" w:ascii="宋体" w:hAnsi="宋体" w:eastAsia="宋体" w:cs="宋体"/>
                <w:sz w:val="21"/>
                <w:szCs w:val="21"/>
                <w:highlight w:val="none"/>
              </w:rPr>
            </w:pPr>
            <w:r>
              <w:rPr>
                <w:rFonts w:hint="eastAsia" w:ascii="宋体" w:hAnsi="宋体" w:eastAsia="宋体" w:cs="宋体"/>
                <w:sz w:val="21"/>
                <w:szCs w:val="21"/>
                <w:highlight w:val="none"/>
              </w:rPr>
              <w:t>可查看课程下每个班级综合成绩平均分、查看每个学生综合成绩、各分项成绩及权重占比，支持教师手动修改成绩。可查看学生各分项考核模块学习进度情况，可查看每个学生学习情况。</w:t>
            </w:r>
          </w:p>
          <w:p w14:paraId="3556269C">
            <w:pPr>
              <w:numPr>
                <w:ilvl w:val="0"/>
                <w:numId w:val="24"/>
              </w:numPr>
              <w:rPr>
                <w:rFonts w:hint="eastAsia" w:ascii="宋体" w:hAnsi="宋体" w:eastAsia="宋体" w:cs="宋体"/>
                <w:sz w:val="21"/>
                <w:szCs w:val="21"/>
                <w:highlight w:val="none"/>
              </w:rPr>
            </w:pPr>
            <w:r>
              <w:rPr>
                <w:rFonts w:hint="eastAsia" w:ascii="宋体" w:hAnsi="宋体" w:eastAsia="宋体" w:cs="宋体"/>
                <w:sz w:val="21"/>
                <w:szCs w:val="21"/>
                <w:highlight w:val="none"/>
              </w:rPr>
              <w:t>可对课程中的视频、作业、测验、在线时长等做权重设置，可以针对作业模块做细化到每一份作业的权重设置。</w:t>
            </w:r>
          </w:p>
          <w:p w14:paraId="04FD2FB2">
            <w:pPr>
              <w:numPr>
                <w:ilvl w:val="0"/>
                <w:numId w:val="24"/>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教师可以设置是否允许学生查看成绩，如果允许，学生端可以查看自己的各项成绩及综合排名，同时其他同学的成绩可设为</w:t>
            </w:r>
            <w:r>
              <w:rPr>
                <w:rFonts w:hint="eastAsia" w:ascii="宋体" w:hAnsi="宋体" w:eastAsia="宋体" w:cs="宋体"/>
                <w:sz w:val="21"/>
                <w:szCs w:val="21"/>
                <w:highlight w:val="none"/>
                <w:lang w:eastAsia="zh-CN"/>
              </w:rPr>
              <w:t>保密</w:t>
            </w:r>
            <w:r>
              <w:rPr>
                <w:rFonts w:hint="eastAsia" w:ascii="宋体" w:hAnsi="宋体" w:eastAsia="宋体" w:cs="宋体"/>
                <w:sz w:val="21"/>
                <w:szCs w:val="21"/>
                <w:highlight w:val="none"/>
              </w:rPr>
              <w:t>状态</w:t>
            </w:r>
            <w:r>
              <w:rPr>
                <w:rFonts w:hint="eastAsia" w:ascii="宋体" w:hAnsi="宋体" w:eastAsia="宋体" w:cs="宋体"/>
                <w:sz w:val="21"/>
                <w:szCs w:val="21"/>
                <w:highlight w:val="none"/>
                <w:lang w:eastAsia="zh-CN"/>
              </w:rPr>
              <w:t>。</w:t>
            </w:r>
          </w:p>
          <w:p w14:paraId="60D06C4E">
            <w:pPr>
              <w:numPr>
                <w:ilvl w:val="0"/>
                <w:numId w:val="24"/>
              </w:numPr>
              <w:rPr>
                <w:rFonts w:hint="eastAsia" w:ascii="宋体" w:hAnsi="宋体" w:eastAsia="宋体" w:cs="宋体"/>
                <w:sz w:val="21"/>
                <w:szCs w:val="21"/>
                <w:highlight w:val="none"/>
              </w:rPr>
            </w:pPr>
            <w:r>
              <w:rPr>
                <w:rFonts w:hint="eastAsia" w:ascii="宋体" w:hAnsi="宋体" w:eastAsia="宋体" w:cs="宋体"/>
                <w:sz w:val="21"/>
                <w:szCs w:val="21"/>
                <w:highlight w:val="none"/>
              </w:rPr>
              <w:t>可以导入线下成绩，导入</w:t>
            </w:r>
            <w:r>
              <w:rPr>
                <w:rFonts w:hint="eastAsia" w:ascii="宋体" w:hAnsi="宋体" w:eastAsia="宋体" w:cs="宋体"/>
                <w:sz w:val="21"/>
                <w:szCs w:val="21"/>
                <w:highlight w:val="none"/>
                <w:lang w:val="en-US" w:eastAsia="zh-CN"/>
              </w:rPr>
              <w:t>线下产生的相关</w:t>
            </w:r>
            <w:r>
              <w:rPr>
                <w:rFonts w:hint="eastAsia" w:ascii="宋体" w:hAnsi="宋体" w:eastAsia="宋体" w:cs="宋体"/>
                <w:sz w:val="21"/>
                <w:szCs w:val="21"/>
                <w:highlight w:val="none"/>
              </w:rPr>
              <w:t>成绩，保证学生的成绩更加全面。</w:t>
            </w:r>
          </w:p>
          <w:p w14:paraId="523C0702">
            <w:pPr>
              <w:numPr>
                <w:ilvl w:val="0"/>
                <w:numId w:val="23"/>
              </w:numPr>
              <w:rPr>
                <w:rFonts w:hint="eastAsia" w:ascii="宋体" w:hAnsi="宋体" w:eastAsia="宋体" w:cs="宋体"/>
                <w:sz w:val="21"/>
                <w:szCs w:val="21"/>
                <w:highlight w:val="none"/>
              </w:rPr>
            </w:pPr>
            <w:r>
              <w:rPr>
                <w:rFonts w:hint="eastAsia" w:ascii="宋体" w:hAnsi="宋体" w:eastAsia="宋体" w:cs="宋体"/>
                <w:sz w:val="21"/>
                <w:szCs w:val="21"/>
                <w:highlight w:val="none"/>
              </w:rPr>
              <w:t>▲教学预警</w:t>
            </w:r>
          </w:p>
          <w:p w14:paraId="219439B1">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支持</w:t>
            </w:r>
            <w:r>
              <w:rPr>
                <w:rFonts w:hint="eastAsia" w:ascii="宋体" w:hAnsi="宋体" w:eastAsia="宋体" w:cs="宋体"/>
                <w:sz w:val="21"/>
                <w:szCs w:val="21"/>
                <w:highlight w:val="none"/>
              </w:rPr>
              <w:t>按照条件进行</w:t>
            </w:r>
            <w:r>
              <w:rPr>
                <w:rFonts w:hint="eastAsia" w:ascii="宋体" w:hAnsi="宋体" w:eastAsia="宋体" w:cs="宋体"/>
                <w:sz w:val="21"/>
                <w:szCs w:val="21"/>
                <w:highlight w:val="none"/>
                <w:lang w:val="en-US" w:eastAsia="zh-CN"/>
              </w:rPr>
              <w:t>预警</w:t>
            </w:r>
            <w:r>
              <w:rPr>
                <w:rFonts w:hint="eastAsia" w:ascii="宋体" w:hAnsi="宋体" w:eastAsia="宋体" w:cs="宋体"/>
                <w:sz w:val="21"/>
                <w:szCs w:val="21"/>
                <w:highlight w:val="none"/>
              </w:rPr>
              <w:t>设置，包括低于任务点平均完成度、低于章节测验平均完成度、低于章节测验平均分、低于作业平均分、低于访问平均分、低于考试平均分、低于综合成绩平均分 。按照条件筛选，并可执行提醒，可查看督学记录。</w:t>
            </w:r>
          </w:p>
        </w:tc>
      </w:tr>
      <w:tr w14:paraId="2E9D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23B384F5">
            <w:pPr>
              <w:rPr>
                <w:rFonts w:hint="eastAsia" w:ascii="宋体" w:hAnsi="宋体" w:eastAsia="宋体" w:cs="宋体"/>
                <w:sz w:val="21"/>
                <w:szCs w:val="21"/>
                <w:highlight w:val="none"/>
              </w:rPr>
            </w:pPr>
          </w:p>
        </w:tc>
        <w:tc>
          <w:tcPr>
            <w:tcW w:w="1276" w:type="dxa"/>
            <w:noWrap w:val="0"/>
            <w:vAlign w:val="center"/>
          </w:tcPr>
          <w:p w14:paraId="09BBB53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个人</w:t>
            </w:r>
            <w:r>
              <w:rPr>
                <w:rFonts w:hint="eastAsia" w:ascii="宋体" w:hAnsi="宋体" w:eastAsia="宋体" w:cs="宋体"/>
                <w:sz w:val="21"/>
                <w:szCs w:val="21"/>
                <w:highlight w:val="none"/>
              </w:rPr>
              <w:t>空间</w:t>
            </w:r>
          </w:p>
        </w:tc>
        <w:tc>
          <w:tcPr>
            <w:tcW w:w="7305" w:type="dxa"/>
            <w:noWrap w:val="0"/>
            <w:vAlign w:val="top"/>
          </w:tcPr>
          <w:p w14:paraId="5A6B9C58">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学习、互动、考试等都通过空间完成，教师空间包含所教的课，学生空间包含所学的课。</w:t>
            </w:r>
          </w:p>
          <w:p w14:paraId="46F00FC9">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学习空间至少包含以下APP应用：</w:t>
            </w:r>
          </w:p>
          <w:p w14:paraId="17B9A993">
            <w:pPr>
              <w:numPr>
                <w:ilvl w:val="0"/>
                <w:numId w:val="25"/>
              </w:numPr>
              <w:rPr>
                <w:rFonts w:hint="eastAsia" w:ascii="宋体" w:hAnsi="宋体" w:eastAsia="宋体" w:cs="宋体"/>
                <w:sz w:val="21"/>
                <w:szCs w:val="21"/>
                <w:highlight w:val="none"/>
              </w:rPr>
            </w:pPr>
            <w:r>
              <w:rPr>
                <w:rFonts w:hint="eastAsia" w:ascii="宋体" w:hAnsi="宋体" w:eastAsia="宋体" w:cs="宋体"/>
                <w:sz w:val="21"/>
                <w:szCs w:val="21"/>
                <w:highlight w:val="none"/>
              </w:rPr>
              <w:t>收件箱</w:t>
            </w:r>
          </w:p>
          <w:p w14:paraId="1A8514A5">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可以查收&amp;回复收到的信函。信函编辑支持署名设置，支持设定内容</w:t>
            </w:r>
            <w:r>
              <w:rPr>
                <w:rFonts w:hint="eastAsia" w:ascii="宋体" w:hAnsi="宋体" w:eastAsia="宋体" w:cs="宋体"/>
                <w:sz w:val="21"/>
                <w:szCs w:val="21"/>
                <w:highlight w:val="none"/>
                <w:lang w:eastAsia="zh-CN"/>
              </w:rPr>
              <w:t>模板</w:t>
            </w:r>
            <w:r>
              <w:rPr>
                <w:rFonts w:hint="eastAsia" w:ascii="宋体" w:hAnsi="宋体" w:eastAsia="宋体" w:cs="宋体"/>
                <w:sz w:val="21"/>
                <w:szCs w:val="21"/>
                <w:highlight w:val="none"/>
              </w:rPr>
              <w:t>，可通过选择指定</w:t>
            </w:r>
            <w:r>
              <w:rPr>
                <w:rFonts w:hint="eastAsia" w:ascii="宋体" w:hAnsi="宋体" w:eastAsia="宋体" w:cs="宋体"/>
                <w:sz w:val="21"/>
                <w:szCs w:val="21"/>
                <w:highlight w:val="none"/>
                <w:lang w:eastAsia="zh-CN"/>
              </w:rPr>
              <w:t>模板</w:t>
            </w:r>
            <w:r>
              <w:rPr>
                <w:rFonts w:hint="eastAsia" w:ascii="宋体" w:hAnsi="宋体" w:eastAsia="宋体" w:cs="宋体"/>
                <w:sz w:val="21"/>
                <w:szCs w:val="21"/>
                <w:highlight w:val="none"/>
              </w:rPr>
              <w:t>进行信函快速编辑。</w:t>
            </w:r>
          </w:p>
          <w:p w14:paraId="53454821">
            <w:pPr>
              <w:numPr>
                <w:ilvl w:val="0"/>
                <w:numId w:val="25"/>
              </w:numPr>
              <w:rPr>
                <w:rFonts w:hint="eastAsia" w:ascii="宋体" w:hAnsi="宋体" w:eastAsia="宋体" w:cs="宋体"/>
                <w:sz w:val="21"/>
                <w:szCs w:val="21"/>
                <w:highlight w:val="none"/>
              </w:rPr>
            </w:pPr>
            <w:r>
              <w:rPr>
                <w:rFonts w:hint="eastAsia" w:ascii="宋体" w:hAnsi="宋体" w:eastAsia="宋体" w:cs="宋体"/>
                <w:sz w:val="21"/>
                <w:szCs w:val="21"/>
                <w:highlight w:val="none"/>
              </w:rPr>
              <w:t>云盘</w:t>
            </w:r>
          </w:p>
          <w:p w14:paraId="467F9776">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可以将文件上传至云盘中，随时随地进行下载，并可以在课程建设时引用云盘的资源。支持共享云盘。</w:t>
            </w:r>
          </w:p>
          <w:p w14:paraId="3FFB42D1">
            <w:pPr>
              <w:numPr>
                <w:ilvl w:val="0"/>
                <w:numId w:val="25"/>
              </w:numPr>
              <w:rPr>
                <w:rFonts w:hint="eastAsia" w:ascii="宋体" w:hAnsi="宋体" w:eastAsia="宋体" w:cs="宋体"/>
                <w:sz w:val="21"/>
                <w:szCs w:val="21"/>
                <w:highlight w:val="none"/>
              </w:rPr>
            </w:pPr>
            <w:r>
              <w:rPr>
                <w:rFonts w:hint="eastAsia" w:ascii="宋体" w:hAnsi="宋体" w:eastAsia="宋体" w:cs="宋体"/>
                <w:sz w:val="21"/>
                <w:szCs w:val="21"/>
                <w:highlight w:val="none"/>
              </w:rPr>
              <w:t>小组</w:t>
            </w:r>
          </w:p>
          <w:p w14:paraId="1208EA88">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小组是就某一类话题或兴趣点（例如计算机、电影、电子产品等）跟别人交流的场所。用户可以自己创建小组，可以设定小组名称、介绍、加入的权限，权限包括公开加入、邀请加入、审批加入等。用户可以浏览和发现小组。进入小组后，可以参与小组的讨论，查看小组成员。</w:t>
            </w:r>
          </w:p>
        </w:tc>
      </w:tr>
      <w:tr w14:paraId="626B0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016DB08A">
            <w:pPr>
              <w:rPr>
                <w:rFonts w:hint="eastAsia" w:ascii="宋体" w:hAnsi="宋体" w:eastAsia="宋体" w:cs="宋体"/>
                <w:sz w:val="21"/>
                <w:szCs w:val="21"/>
                <w:highlight w:val="none"/>
              </w:rPr>
            </w:pPr>
          </w:p>
        </w:tc>
        <w:tc>
          <w:tcPr>
            <w:tcW w:w="1276" w:type="dxa"/>
            <w:noWrap w:val="0"/>
            <w:vAlign w:val="center"/>
          </w:tcPr>
          <w:p w14:paraId="60BFC4B9">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智慧课程平台门户网站</w:t>
            </w:r>
          </w:p>
        </w:tc>
        <w:tc>
          <w:tcPr>
            <w:tcW w:w="7305" w:type="dxa"/>
            <w:noWrap w:val="0"/>
            <w:vAlign w:val="top"/>
          </w:tcPr>
          <w:p w14:paraId="4C45BD21">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帮助学校建设个性化门户网站，展示学校精品课程和智慧课程，能够原生展示基于平台出版的数字教材，可发布新闻公告，活跃班级信息、名师风采展示等，个性化导航栏可以自定义配置。</w:t>
            </w:r>
          </w:p>
          <w:p w14:paraId="130C0285">
            <w:pPr>
              <w:numPr>
                <w:ilvl w:val="0"/>
                <w:numId w:val="26"/>
              </w:numPr>
              <w:rPr>
                <w:rFonts w:hint="eastAsia" w:ascii="宋体" w:hAnsi="宋体" w:eastAsia="宋体" w:cs="宋体"/>
                <w:sz w:val="21"/>
                <w:szCs w:val="21"/>
                <w:highlight w:val="none"/>
              </w:rPr>
            </w:pPr>
            <w:r>
              <w:rPr>
                <w:rFonts w:hint="eastAsia" w:ascii="宋体" w:hAnsi="宋体" w:eastAsia="宋体" w:cs="宋体"/>
                <w:sz w:val="21"/>
                <w:szCs w:val="21"/>
                <w:highlight w:val="none"/>
              </w:rPr>
              <w:t>PC门户配置功能：页面支持用户自定义模块布局，支持拖拽式调整同一模块内不同栏目的位置，支持用户自定义对页面背景、音乐、主题色及简体或繁体字的转换设置。每一个模块内的数据来源均支持人工培植；可以是外部数据接入，直接复用已有接口，也可以直接从数据中心抽调；</w:t>
            </w:r>
          </w:p>
          <w:p w14:paraId="1968FBF4">
            <w:pPr>
              <w:numPr>
                <w:ilvl w:val="0"/>
                <w:numId w:val="26"/>
              </w:numPr>
              <w:rPr>
                <w:rFonts w:hint="eastAsia" w:ascii="宋体" w:hAnsi="宋体" w:eastAsia="宋体" w:cs="宋体"/>
                <w:sz w:val="21"/>
                <w:szCs w:val="21"/>
                <w:highlight w:val="none"/>
              </w:rPr>
            </w:pPr>
            <w:r>
              <w:rPr>
                <w:rFonts w:hint="eastAsia" w:ascii="宋体" w:hAnsi="宋体" w:eastAsia="宋体" w:cs="宋体"/>
                <w:sz w:val="21"/>
                <w:szCs w:val="21"/>
                <w:highlight w:val="none"/>
              </w:rPr>
              <w:t>移动端门户配置：支持系统对移动端APP的门户进行配置，配置操作需要简单明了。模拟手机界面采用可视化拖拽的形式添加如图片、检索、推荐、功能等。并能根据我校不同身份的用户配置不同的移动端APP门户界面。</w:t>
            </w:r>
          </w:p>
        </w:tc>
      </w:tr>
      <w:tr w14:paraId="6F34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328E4674">
            <w:pPr>
              <w:rPr>
                <w:rFonts w:hint="eastAsia" w:ascii="宋体" w:hAnsi="宋体" w:eastAsia="宋体" w:cs="宋体"/>
                <w:sz w:val="21"/>
                <w:szCs w:val="21"/>
                <w:highlight w:val="none"/>
              </w:rPr>
            </w:pPr>
          </w:p>
        </w:tc>
        <w:tc>
          <w:tcPr>
            <w:tcW w:w="1276" w:type="dxa"/>
            <w:noWrap w:val="0"/>
            <w:vAlign w:val="center"/>
          </w:tcPr>
          <w:p w14:paraId="60541A46">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教室端</w:t>
            </w:r>
          </w:p>
        </w:tc>
        <w:tc>
          <w:tcPr>
            <w:tcW w:w="7305" w:type="dxa"/>
            <w:noWrap w:val="0"/>
            <w:vAlign w:val="top"/>
          </w:tcPr>
          <w:p w14:paraId="6EA3798A">
            <w:pPr>
              <w:widowControl/>
              <w:ind w:left="0" w:leftChars="0" w:firstLine="0" w:firstLineChars="0"/>
              <w:jc w:val="both"/>
              <w:rPr>
                <w:rFonts w:hint="eastAsia" w:ascii="宋体" w:hAnsi="宋体" w:eastAsia="宋体" w:cs="宋体"/>
                <w:b/>
                <w:bCs/>
                <w:sz w:val="21"/>
                <w:szCs w:val="21"/>
              </w:rPr>
            </w:pPr>
            <w:r>
              <w:rPr>
                <w:rFonts w:hint="eastAsia" w:ascii="宋体" w:hAnsi="宋体" w:eastAsia="宋体" w:cs="宋体"/>
                <w:b/>
                <w:bCs/>
                <w:sz w:val="21"/>
                <w:szCs w:val="21"/>
              </w:rPr>
              <w:t>1.基础功能</w:t>
            </w:r>
          </w:p>
          <w:p w14:paraId="015AB378">
            <w:pPr>
              <w:widowControl/>
              <w:ind w:left="0" w:leftChars="0" w:firstLine="0" w:firstLineChars="0"/>
              <w:jc w:val="both"/>
              <w:rPr>
                <w:rFonts w:hint="eastAsia" w:ascii="宋体" w:hAnsi="宋体" w:eastAsia="宋体" w:cs="宋体"/>
                <w:b w:val="0"/>
                <w:bCs w:val="0"/>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eastAsia="zh-CN"/>
              </w:rPr>
              <w:t>超级黑板</w:t>
            </w:r>
            <w:r>
              <w:rPr>
                <w:rFonts w:hint="eastAsia" w:ascii="宋体" w:hAnsi="宋体" w:eastAsia="宋体" w:cs="宋体"/>
                <w:sz w:val="21"/>
                <w:szCs w:val="21"/>
              </w:rPr>
              <w:t>系统具备用户管理功能，支</w:t>
            </w:r>
            <w:r>
              <w:rPr>
                <w:rFonts w:hint="eastAsia" w:ascii="宋体" w:hAnsi="宋体" w:eastAsia="宋体" w:cs="宋体"/>
                <w:b w:val="0"/>
                <w:bCs w:val="0"/>
                <w:sz w:val="21"/>
                <w:szCs w:val="21"/>
              </w:rPr>
              <w:t>持</w:t>
            </w:r>
            <w:r>
              <w:rPr>
                <w:rFonts w:hint="eastAsia" w:ascii="宋体" w:hAnsi="宋体" w:eastAsia="宋体" w:cs="宋体"/>
                <w:b w:val="0"/>
                <w:bCs w:val="0"/>
                <w:sz w:val="21"/>
                <w:szCs w:val="21"/>
                <w:highlight w:val="none"/>
              </w:rPr>
              <w:t>与教学平台用</w:t>
            </w:r>
            <w:r>
              <w:rPr>
                <w:rFonts w:hint="eastAsia" w:ascii="宋体" w:hAnsi="宋体" w:eastAsia="宋体" w:cs="宋体"/>
                <w:b w:val="0"/>
                <w:bCs w:val="0"/>
                <w:sz w:val="21"/>
                <w:szCs w:val="21"/>
              </w:rPr>
              <w:t>户数据无缝对接；</w:t>
            </w:r>
          </w:p>
          <w:p w14:paraId="7258F1CA">
            <w:pPr>
              <w:widowControl/>
              <w:ind w:left="0" w:leftChars="0" w:firstLine="0" w:firstLineChars="0"/>
              <w:jc w:val="both"/>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▲1.</w:t>
            </w: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w:t>
            </w:r>
            <w:r>
              <w:rPr>
                <w:rFonts w:hint="eastAsia" w:ascii="宋体" w:hAnsi="宋体" w:eastAsia="宋体" w:cs="宋体"/>
                <w:b w:val="0"/>
                <w:bCs w:val="0"/>
                <w:sz w:val="21"/>
                <w:szCs w:val="21"/>
                <w:lang w:eastAsia="zh-CN"/>
              </w:rPr>
              <w:t>超级黑板</w:t>
            </w:r>
            <w:r>
              <w:rPr>
                <w:rFonts w:hint="eastAsia" w:ascii="宋体" w:hAnsi="宋体" w:eastAsia="宋体" w:cs="宋体"/>
                <w:b w:val="0"/>
                <w:bCs w:val="0"/>
                <w:sz w:val="21"/>
                <w:szCs w:val="21"/>
              </w:rPr>
              <w:t>系统要求与</w:t>
            </w:r>
            <w:r>
              <w:rPr>
                <w:rFonts w:hint="eastAsia" w:ascii="宋体" w:hAnsi="宋体" w:eastAsia="宋体" w:cs="宋体"/>
                <w:b w:val="0"/>
                <w:bCs w:val="0"/>
                <w:sz w:val="21"/>
                <w:szCs w:val="21"/>
                <w:highlight w:val="none"/>
              </w:rPr>
              <w:t>教学平台无缝</w:t>
            </w:r>
            <w:r>
              <w:rPr>
                <w:rFonts w:hint="eastAsia" w:ascii="宋体" w:hAnsi="宋体" w:eastAsia="宋体" w:cs="宋体"/>
                <w:b w:val="0"/>
                <w:bCs w:val="0"/>
                <w:sz w:val="21"/>
                <w:szCs w:val="21"/>
              </w:rPr>
              <w:t>对接，共享课程数据、备课资料、班级数据、题库、作业、试卷等，实现与课前资源的连贯性；</w:t>
            </w:r>
          </w:p>
          <w:p w14:paraId="4ACD57AE">
            <w:pPr>
              <w:widowControl/>
              <w:ind w:left="0" w:leftChars="0" w:firstLine="0" w:firstLineChars="0"/>
              <w:jc w:val="both"/>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▲1.</w:t>
            </w: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w:t>
            </w:r>
            <w:r>
              <w:rPr>
                <w:rFonts w:hint="eastAsia" w:ascii="宋体" w:hAnsi="宋体" w:eastAsia="宋体" w:cs="宋体"/>
                <w:b w:val="0"/>
                <w:bCs w:val="0"/>
                <w:sz w:val="21"/>
                <w:szCs w:val="21"/>
                <w:lang w:eastAsia="zh-CN"/>
              </w:rPr>
              <w:t>超级黑板</w:t>
            </w:r>
            <w:r>
              <w:rPr>
                <w:rFonts w:hint="eastAsia" w:ascii="宋体" w:hAnsi="宋体" w:eastAsia="宋体" w:cs="宋体"/>
                <w:b w:val="0"/>
                <w:bCs w:val="0"/>
                <w:sz w:val="21"/>
                <w:szCs w:val="21"/>
              </w:rPr>
              <w:t>系统在授课过程中所产生</w:t>
            </w:r>
            <w:r>
              <w:rPr>
                <w:rFonts w:hint="eastAsia" w:ascii="宋体" w:hAnsi="宋体" w:eastAsia="宋体" w:cs="宋体"/>
                <w:b w:val="0"/>
                <w:bCs w:val="0"/>
                <w:sz w:val="21"/>
                <w:szCs w:val="21"/>
                <w:lang w:eastAsia="zh-CN"/>
              </w:rPr>
              <w:t>的</w:t>
            </w:r>
            <w:r>
              <w:rPr>
                <w:rFonts w:hint="eastAsia" w:ascii="宋体" w:hAnsi="宋体" w:eastAsia="宋体" w:cs="宋体"/>
                <w:b w:val="0"/>
                <w:bCs w:val="0"/>
                <w:sz w:val="21"/>
                <w:szCs w:val="21"/>
              </w:rPr>
              <w:t>教学数据需要自动汇总到</w:t>
            </w:r>
            <w:r>
              <w:rPr>
                <w:rFonts w:hint="eastAsia" w:ascii="宋体" w:hAnsi="宋体" w:eastAsia="宋体" w:cs="宋体"/>
                <w:b w:val="0"/>
                <w:bCs w:val="0"/>
                <w:color w:val="auto"/>
                <w:sz w:val="21"/>
                <w:szCs w:val="21"/>
                <w:highlight w:val="none"/>
                <w:shd w:val="clear" w:color="auto" w:fill="auto"/>
              </w:rPr>
              <w:t>学校现有教学平台</w:t>
            </w:r>
            <w:r>
              <w:rPr>
                <w:rFonts w:hint="eastAsia" w:ascii="宋体" w:hAnsi="宋体" w:eastAsia="宋体" w:cs="宋体"/>
                <w:b w:val="0"/>
                <w:bCs w:val="0"/>
                <w:sz w:val="21"/>
                <w:szCs w:val="21"/>
                <w:highlight w:val="none"/>
              </w:rPr>
              <w:t>包括但不仅限于课中签到数据，课中</w:t>
            </w:r>
            <w:r>
              <w:rPr>
                <w:rFonts w:hint="eastAsia" w:ascii="宋体" w:hAnsi="宋体" w:eastAsia="宋体" w:cs="宋体"/>
                <w:b w:val="0"/>
                <w:bCs w:val="0"/>
                <w:sz w:val="21"/>
                <w:szCs w:val="21"/>
              </w:rPr>
              <w:t>随机选人数据，课中评分数据，课中主题讨论数据等；</w:t>
            </w:r>
          </w:p>
          <w:p w14:paraId="5D8A8018">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r>
              <w:rPr>
                <w:rFonts w:hint="eastAsia" w:ascii="宋体" w:hAnsi="宋体" w:eastAsia="宋体" w:cs="宋体"/>
                <w:sz w:val="21"/>
                <w:szCs w:val="21"/>
              </w:rPr>
              <w:t>.支持PC端Windows系统；</w:t>
            </w:r>
          </w:p>
          <w:p w14:paraId="79A407FA">
            <w:pPr>
              <w:widowControl/>
              <w:ind w:left="0" w:leftChars="0" w:firstLine="0" w:firstLineChars="0"/>
              <w:jc w:val="both"/>
              <w:rPr>
                <w:rFonts w:hint="eastAsia" w:ascii="宋体" w:hAnsi="宋体" w:eastAsia="宋体" w:cs="宋体"/>
                <w:b/>
                <w:bCs/>
                <w:sz w:val="21"/>
                <w:szCs w:val="21"/>
              </w:rPr>
            </w:pPr>
            <w:r>
              <w:rPr>
                <w:rFonts w:hint="eastAsia" w:ascii="宋体" w:hAnsi="宋体" w:eastAsia="宋体" w:cs="宋体"/>
                <w:b/>
                <w:bCs/>
                <w:sz w:val="21"/>
                <w:szCs w:val="21"/>
                <w:lang w:eastAsia="zh-CN"/>
              </w:rPr>
              <w:t>2.超级黑板</w:t>
            </w:r>
            <w:r>
              <w:rPr>
                <w:rFonts w:hint="eastAsia" w:ascii="宋体" w:hAnsi="宋体" w:eastAsia="宋体" w:cs="宋体"/>
                <w:b/>
                <w:bCs/>
                <w:sz w:val="21"/>
                <w:szCs w:val="21"/>
              </w:rPr>
              <w:t>大屏端</w:t>
            </w:r>
          </w:p>
          <w:p w14:paraId="2392E195">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rPr>
              <w:t>采用安装包的形式，安装到教室大屏中；</w:t>
            </w:r>
          </w:p>
          <w:p w14:paraId="6838A7D2">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1课件调用：</w:t>
            </w:r>
          </w:p>
          <w:p w14:paraId="4A919D5F">
            <w:pPr>
              <w:widowControl/>
              <w:ind w:left="0" w:leftChars="0" w:firstLine="0" w:firstLineChars="0"/>
              <w:jc w:val="both"/>
              <w:rPr>
                <w:rFonts w:hint="eastAsia" w:ascii="宋体" w:hAnsi="宋体" w:eastAsia="宋体" w:cs="宋体"/>
                <w:sz w:val="21"/>
                <w:szCs w:val="21"/>
                <w:lang w:val="en-US" w:eastAsia="zh-CN"/>
              </w:rPr>
            </w:pPr>
            <w:r>
              <w:rPr>
                <w:rFonts w:hint="eastAsia" w:ascii="宋体" w:hAnsi="宋体" w:eastAsia="宋体" w:cs="宋体"/>
                <w:sz w:val="21"/>
                <w:szCs w:val="21"/>
                <w:lang w:eastAsia="zh-CN"/>
              </w:rPr>
              <w:t>2.</w:t>
            </w:r>
            <w:r>
              <w:rPr>
                <w:rFonts w:hint="eastAsia" w:ascii="宋体" w:hAnsi="宋体" w:eastAsia="宋体" w:cs="宋体"/>
                <w:sz w:val="21"/>
                <w:szCs w:val="21"/>
              </w:rPr>
              <w:t>1.1支持软件内唤起电脑应用程序打开本地PPT、视频、HTML、设计源文件、软件代码等文件</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支持手机控制本地打开的PPT翻页、激光笔、聚光灯、结束放映等。</w:t>
            </w:r>
          </w:p>
          <w:p w14:paraId="2F43613C">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eastAsia="zh-CN"/>
              </w:rPr>
              <w:t>2.</w:t>
            </w:r>
            <w:r>
              <w:rPr>
                <w:rFonts w:hint="eastAsia" w:ascii="宋体" w:hAnsi="宋体" w:eastAsia="宋体" w:cs="宋体"/>
                <w:sz w:val="21"/>
                <w:szCs w:val="21"/>
              </w:rPr>
              <w:t>1.2云盘：为每个师生账号提供不少于100G云盘空间，支持上传文件夹、上传文件、打开文件、新建文件夹、重命名、删除、搜索文件；可以随时调用云盘内容，支持云盘资源的在线预览；支持将云盘中PPT文件直接点击上课使用；</w:t>
            </w:r>
          </w:p>
          <w:p w14:paraId="6458D029">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1.3可直接调取学校现有教学平台已建的课程资源，包含课程章节内容、作业模块、考试模块、教案等内容。支持教师在课堂中，随时调用备课系统中事先准备好的内容，实现课前、课中、课后的连贯性；</w:t>
            </w:r>
          </w:p>
          <w:p w14:paraId="469EADA1">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eastAsia="zh-CN"/>
              </w:rPr>
              <w:t>2.</w:t>
            </w:r>
            <w:r>
              <w:rPr>
                <w:rFonts w:hint="eastAsia" w:ascii="宋体" w:hAnsi="宋体" w:eastAsia="宋体" w:cs="宋体"/>
                <w:sz w:val="21"/>
                <w:szCs w:val="21"/>
              </w:rPr>
              <w:t>1.4.PPT文件：支持打开课程已有PPT，并可直接点击上课，并支持手机翻页、激光笔和聚光灯功能，PPT播放支持动画、翻页效果；课后需统计教师每页PPT的打开时间、停留时长等信息；</w:t>
            </w:r>
          </w:p>
          <w:p w14:paraId="715BB43A">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2课堂活动：</w:t>
            </w:r>
          </w:p>
          <w:p w14:paraId="3F9479EE">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2.1.签到：支持教师通过</w:t>
            </w:r>
            <w:r>
              <w:rPr>
                <w:rFonts w:hint="eastAsia" w:ascii="宋体" w:hAnsi="宋体" w:eastAsia="宋体" w:cs="宋体"/>
                <w:sz w:val="21"/>
                <w:szCs w:val="21"/>
                <w:lang w:eastAsia="zh-CN"/>
              </w:rPr>
              <w:t>超级黑板</w:t>
            </w:r>
            <w:r>
              <w:rPr>
                <w:rFonts w:hint="eastAsia" w:ascii="宋体" w:hAnsi="宋体" w:eastAsia="宋体" w:cs="宋体"/>
                <w:sz w:val="21"/>
                <w:szCs w:val="21"/>
              </w:rPr>
              <w:t xml:space="preserve">系统发起普通签到、手势签到、位置签到、二维码签到等多种签到方式功能，学生通过移动端进行签到，教师端实时显示学生的签到情况，同时记录汇总到学校现有教学平台； </w:t>
            </w:r>
          </w:p>
          <w:p w14:paraId="3602D38E">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2.2.选人：支持教师发起随机选人，屏幕上快速滚动学生的头像信息，支持多次选人，分别赋予分值并统计到学生个人成绩中；</w:t>
            </w:r>
          </w:p>
          <w:p w14:paraId="4A81C926">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2.3.抢答：支持教师发起抢答，教师可以看到所有学生的抢答情况；</w:t>
            </w:r>
          </w:p>
          <w:p w14:paraId="431E3239">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2.4.主题讨论：支持教师发起主题讨论，学生端收到讨论点击进行发表自己的看法，支持文字、图片等方式上传，并可在大屏展示讨论结果，生成词云分析；</w:t>
            </w:r>
          </w:p>
          <w:p w14:paraId="684BC332">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2.5.随堂练习：支持发送随堂练习给学生，支持在PC、手机终端查看学生答题结果及答题情况分析；练习题型类型至少包括单选题、多选题、判断题、客观题等常见题型，支持从网络教学平台教师原有课程题库导入；学生可使用录入文字、拍照上传等多种方式进行答题。</w:t>
            </w:r>
          </w:p>
          <w:p w14:paraId="5F717EF1">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 xml:space="preserve">2.6.发放问卷：问卷编辑需支持自定义编辑或从网络教学平台教师原有问卷库导入等方式。问卷包含单选题、多选题、简答题等常见题型。 </w:t>
            </w:r>
          </w:p>
          <w:p w14:paraId="729F8FF8">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2.8.可以对单个学生或互动小组等进行生生互评。</w:t>
            </w:r>
          </w:p>
          <w:p w14:paraId="4A229004">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eastAsia="zh-CN"/>
              </w:rPr>
              <w:t>2.</w:t>
            </w:r>
            <w:r>
              <w:rPr>
                <w:rFonts w:hint="eastAsia" w:ascii="宋体" w:hAnsi="宋体" w:eastAsia="宋体" w:cs="宋体"/>
                <w:sz w:val="21"/>
                <w:szCs w:val="21"/>
              </w:rPr>
              <w:t>2.9.白板：教师可通过白板手写板书，板书完成后支持保存到教师个人云盘。</w:t>
            </w:r>
          </w:p>
          <w:p w14:paraId="59E28968">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eastAsia="zh-CN"/>
              </w:rPr>
              <w:t>2.</w:t>
            </w:r>
            <w:r>
              <w:rPr>
                <w:rFonts w:hint="eastAsia" w:ascii="宋体" w:hAnsi="宋体" w:eastAsia="宋体" w:cs="宋体"/>
                <w:sz w:val="21"/>
                <w:szCs w:val="21"/>
              </w:rPr>
              <w:t>2.10.以上课堂活动均将结果数据汇总到学校网络教学平台中。</w:t>
            </w:r>
          </w:p>
          <w:p w14:paraId="44D2B9B7">
            <w:pPr>
              <w:widowControl/>
              <w:ind w:left="0" w:leftChars="0" w:firstLine="0" w:firstLineChars="0"/>
              <w:jc w:val="both"/>
              <w:rPr>
                <w:rFonts w:hint="eastAsia" w:ascii="宋体" w:hAnsi="宋体" w:eastAsia="宋体" w:cs="宋体"/>
                <w:b w:val="0"/>
                <w:bCs w:val="0"/>
                <w:sz w:val="21"/>
                <w:szCs w:val="21"/>
              </w:rPr>
            </w:pPr>
            <w:r>
              <w:rPr>
                <w:rFonts w:hint="eastAsia" w:ascii="宋体" w:hAnsi="宋体" w:eastAsia="宋体" w:cs="宋体"/>
                <w:sz w:val="21"/>
                <w:szCs w:val="21"/>
              </w:rPr>
              <w:t>▲</w:t>
            </w:r>
            <w:r>
              <w:rPr>
                <w:rFonts w:hint="eastAsia" w:ascii="宋体" w:hAnsi="宋体" w:eastAsia="宋体" w:cs="宋体"/>
                <w:sz w:val="21"/>
                <w:szCs w:val="21"/>
                <w:lang w:eastAsia="zh-CN"/>
              </w:rPr>
              <w:t>2.</w:t>
            </w:r>
            <w:r>
              <w:rPr>
                <w:rFonts w:hint="eastAsia" w:ascii="宋体" w:hAnsi="宋体" w:eastAsia="宋体" w:cs="宋体"/>
                <w:sz w:val="21"/>
                <w:szCs w:val="21"/>
              </w:rPr>
              <w:t>2.11.支持同时给一个或多个班级上课，若为多个班级同时上课，支持将签</w:t>
            </w:r>
            <w:r>
              <w:rPr>
                <w:rFonts w:hint="eastAsia" w:ascii="宋体" w:hAnsi="宋体" w:eastAsia="宋体" w:cs="宋体"/>
                <w:b w:val="0"/>
                <w:bCs w:val="0"/>
                <w:sz w:val="21"/>
                <w:szCs w:val="21"/>
              </w:rPr>
              <w:t>到、抢答、选人等课堂活动同时发放到多个班级。</w:t>
            </w:r>
          </w:p>
          <w:p w14:paraId="4EE800D7">
            <w:pPr>
              <w:widowControl/>
              <w:ind w:left="0" w:leftChars="0" w:firstLine="0" w:firstLineChars="0"/>
              <w:jc w:val="both"/>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2.</w:t>
            </w:r>
            <w:r>
              <w:rPr>
                <w:rFonts w:hint="eastAsia" w:ascii="宋体" w:hAnsi="宋体" w:eastAsia="宋体" w:cs="宋体"/>
                <w:b w:val="0"/>
                <w:bCs w:val="0"/>
                <w:sz w:val="21"/>
                <w:szCs w:val="21"/>
              </w:rPr>
              <w:t>3多屏互动：</w:t>
            </w:r>
          </w:p>
          <w:p w14:paraId="6B37A049">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eastAsia="zh-CN"/>
              </w:rPr>
              <w:t>2.</w:t>
            </w:r>
            <w:r>
              <w:rPr>
                <w:rFonts w:hint="eastAsia" w:ascii="宋体" w:hAnsi="宋体" w:eastAsia="宋体" w:cs="宋体"/>
                <w:sz w:val="21"/>
                <w:szCs w:val="21"/>
              </w:rPr>
              <w:t>3.1.共享本机屏幕：共享时，可选择共享桌面</w:t>
            </w:r>
            <w:r>
              <w:rPr>
                <w:rFonts w:hint="eastAsia" w:ascii="宋体" w:hAnsi="宋体" w:eastAsia="宋体" w:cs="宋体"/>
                <w:sz w:val="21"/>
                <w:szCs w:val="21"/>
                <w:lang w:eastAsia="zh-CN"/>
              </w:rPr>
              <w:t>，也</w:t>
            </w:r>
            <w:r>
              <w:rPr>
                <w:rFonts w:hint="eastAsia" w:ascii="宋体" w:hAnsi="宋体" w:eastAsia="宋体" w:cs="宋体"/>
                <w:sz w:val="21"/>
                <w:szCs w:val="21"/>
              </w:rPr>
              <w:t>可选择单一浏览器、PPT等其他软件窗口，支持选择是否开启画中画、同时共享电脑声音；支持将授课设备屏幕或窗口共享给侧屏、学生设备、线上课堂内成员；</w:t>
            </w:r>
          </w:p>
          <w:p w14:paraId="56AD08E5">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eastAsia="zh-CN"/>
              </w:rPr>
              <w:t>2.</w:t>
            </w:r>
            <w:r>
              <w:rPr>
                <w:rFonts w:hint="eastAsia" w:ascii="宋体" w:hAnsi="宋体" w:eastAsia="宋体" w:cs="宋体"/>
                <w:sz w:val="21"/>
                <w:szCs w:val="21"/>
              </w:rPr>
              <w:t>3.2.共享学生设备：支持同时选择不少于</w:t>
            </w:r>
            <w:r>
              <w:rPr>
                <w:rFonts w:hint="eastAsia" w:ascii="宋体" w:hAnsi="宋体" w:eastAsia="宋体" w:cs="宋体"/>
                <w:sz w:val="21"/>
                <w:szCs w:val="21"/>
                <w:lang w:val="en-US" w:eastAsia="zh-CN"/>
              </w:rPr>
              <w:t>6</w:t>
            </w:r>
            <w:r>
              <w:rPr>
                <w:rFonts w:hint="eastAsia" w:ascii="宋体" w:hAnsi="宋体" w:eastAsia="宋体" w:cs="宋体"/>
                <w:sz w:val="21"/>
                <w:szCs w:val="21"/>
              </w:rPr>
              <w:t>位学生，将学生屏幕</w:t>
            </w:r>
            <w:r>
              <w:rPr>
                <w:rFonts w:hint="eastAsia" w:ascii="宋体" w:hAnsi="宋体" w:eastAsia="宋体" w:cs="宋体"/>
                <w:sz w:val="21"/>
                <w:szCs w:val="21"/>
                <w:lang w:eastAsia="zh-CN"/>
              </w:rPr>
              <w:t>展示</w:t>
            </w:r>
            <w:r>
              <w:rPr>
                <w:rFonts w:hint="eastAsia" w:ascii="宋体" w:hAnsi="宋体" w:eastAsia="宋体" w:cs="宋体"/>
                <w:sz w:val="21"/>
                <w:szCs w:val="21"/>
              </w:rPr>
              <w:t>到授课电脑或大屏上，学生屏幕包含移动设备、pad、Windows电脑、Mac；支持多学生屏幕以宫格视图展示和一位学生屏幕放大展示两种视图切换；教师可控制是否投屏学生设备声音及关闭学生屏幕共享；</w:t>
            </w:r>
          </w:p>
          <w:p w14:paraId="012D042C">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eastAsia="zh-CN"/>
              </w:rPr>
              <w:t>2.</w:t>
            </w:r>
            <w:r>
              <w:rPr>
                <w:rFonts w:hint="eastAsia" w:ascii="宋体" w:hAnsi="宋体" w:eastAsia="宋体" w:cs="宋体"/>
                <w:sz w:val="21"/>
                <w:szCs w:val="21"/>
              </w:rPr>
              <w:t>3.</w:t>
            </w:r>
            <w:r>
              <w:rPr>
                <w:rFonts w:hint="eastAsia" w:ascii="宋体" w:hAnsi="宋体" w:eastAsia="宋体" w:cs="宋体"/>
                <w:sz w:val="21"/>
                <w:szCs w:val="21"/>
                <w:lang w:val="en-US" w:eastAsia="zh-CN"/>
              </w:rPr>
              <w:t>3</w:t>
            </w:r>
            <w:r>
              <w:rPr>
                <w:rFonts w:hint="eastAsia" w:ascii="宋体" w:hAnsi="宋体" w:eastAsia="宋体" w:cs="宋体"/>
                <w:sz w:val="21"/>
                <w:szCs w:val="21"/>
              </w:rPr>
              <w:t>.投屏：无同一局域网、</w:t>
            </w:r>
            <w:r>
              <w:rPr>
                <w:rFonts w:hint="eastAsia" w:ascii="宋体" w:hAnsi="宋体" w:eastAsia="宋体" w:cs="宋体"/>
                <w:sz w:val="21"/>
                <w:szCs w:val="21"/>
                <w:lang w:eastAsia="zh-CN"/>
              </w:rPr>
              <w:t>Wi-Fi</w:t>
            </w:r>
            <w:r>
              <w:rPr>
                <w:rFonts w:hint="eastAsia" w:ascii="宋体" w:hAnsi="宋体" w:eastAsia="宋体" w:cs="宋体"/>
                <w:sz w:val="21"/>
                <w:szCs w:val="21"/>
              </w:rPr>
              <w:t>网络限制，可使用4G、5G、</w:t>
            </w:r>
            <w:r>
              <w:rPr>
                <w:rFonts w:hint="eastAsia" w:ascii="宋体" w:hAnsi="宋体" w:eastAsia="宋体" w:cs="宋体"/>
                <w:sz w:val="21"/>
                <w:szCs w:val="21"/>
                <w:lang w:eastAsia="zh-CN"/>
              </w:rPr>
              <w:t>Wi-Fi</w:t>
            </w:r>
            <w:r>
              <w:rPr>
                <w:rFonts w:hint="eastAsia" w:ascii="宋体" w:hAnsi="宋体" w:eastAsia="宋体" w:cs="宋体"/>
                <w:sz w:val="21"/>
                <w:szCs w:val="21"/>
              </w:rPr>
              <w:t>、有线网络、蜂窝网络等网络</w:t>
            </w:r>
            <w:r>
              <w:rPr>
                <w:rFonts w:hint="eastAsia" w:ascii="宋体" w:hAnsi="宋体" w:eastAsia="宋体" w:cs="宋体"/>
                <w:sz w:val="21"/>
                <w:szCs w:val="21"/>
                <w:lang w:eastAsia="zh-CN"/>
              </w:rPr>
              <w:t>，</w:t>
            </w:r>
            <w:r>
              <w:rPr>
                <w:rFonts w:hint="eastAsia" w:ascii="宋体" w:hAnsi="宋体" w:eastAsia="宋体" w:cs="宋体"/>
                <w:sz w:val="21"/>
                <w:szCs w:val="21"/>
              </w:rPr>
              <w:t>支持将手机、pad、PC桌面及设备声音投屏到授课电脑上；</w:t>
            </w:r>
          </w:p>
          <w:p w14:paraId="11194E0C">
            <w:pPr>
              <w:widowControl/>
              <w:ind w:left="0" w:leftChars="0" w:firstLine="0" w:firstLineChars="0"/>
              <w:jc w:val="both"/>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2.</w:t>
            </w:r>
            <w:r>
              <w:rPr>
                <w:rFonts w:hint="eastAsia" w:ascii="宋体" w:hAnsi="宋体" w:eastAsia="宋体" w:cs="宋体"/>
                <w:b w:val="0"/>
                <w:bCs w:val="0"/>
                <w:sz w:val="21"/>
                <w:szCs w:val="21"/>
              </w:rPr>
              <w:t>4线上课堂：</w:t>
            </w:r>
          </w:p>
          <w:p w14:paraId="32DF0C1C">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4.1.性能要求：支持万人同时使用，支持不少于</w:t>
            </w:r>
            <w:r>
              <w:rPr>
                <w:rFonts w:hint="eastAsia" w:ascii="宋体" w:hAnsi="宋体" w:eastAsia="宋体" w:cs="宋体"/>
                <w:sz w:val="21"/>
                <w:szCs w:val="21"/>
                <w:lang w:val="en-US" w:eastAsia="zh-CN"/>
              </w:rPr>
              <w:t>2</w:t>
            </w:r>
            <w:r>
              <w:rPr>
                <w:rFonts w:hint="eastAsia" w:ascii="宋体" w:hAnsi="宋体" w:eastAsia="宋体" w:cs="宋体"/>
                <w:sz w:val="21"/>
                <w:szCs w:val="21"/>
              </w:rPr>
              <w:t>000的同一课堂使用；支持不少于2000人同时文字聊天，不少于30人语音视频互动。支持720P、1080P（HD）、HD+等高清画质视频；支持动态调整视频流的大小，适用于不同网络环境以及需要进行视频窗格切换的场景。在音频交互、降噪等场景下提供更好的声音质量，支持回声消除、自动噪声抑制、自动增益控制，适应各种音频环境，对用户的通话内容进行加密，防止信息泄露。直播延迟小于500ms，学生端观看延时在400～800 ms。</w:t>
            </w:r>
          </w:p>
          <w:p w14:paraId="5299449C">
            <w:pPr>
              <w:widowControl/>
              <w:ind w:left="0" w:leftChars="0" w:firstLine="0" w:firstLineChars="0"/>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rPr>
              <w:t>4.2.身份角色：</w:t>
            </w:r>
            <w:r>
              <w:rPr>
                <w:rFonts w:hint="eastAsia" w:ascii="宋体" w:hAnsi="宋体" w:eastAsia="宋体" w:cs="宋体"/>
                <w:sz w:val="21"/>
                <w:szCs w:val="21"/>
                <w:lang w:val="en-US" w:eastAsia="zh-CN"/>
              </w:rPr>
              <w:t>教室账号</w:t>
            </w:r>
            <w:r>
              <w:rPr>
                <w:rFonts w:hint="eastAsia" w:ascii="宋体" w:hAnsi="宋体" w:eastAsia="宋体" w:cs="宋体"/>
                <w:sz w:val="21"/>
                <w:szCs w:val="21"/>
              </w:rPr>
              <w:t>即为课堂创建者</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教师作为教师身份开启教室课堂</w:t>
            </w:r>
            <w:r>
              <w:rPr>
                <w:rFonts w:hint="eastAsia" w:ascii="宋体" w:hAnsi="宋体" w:eastAsia="宋体" w:cs="宋体"/>
                <w:sz w:val="21"/>
                <w:szCs w:val="21"/>
              </w:rPr>
              <w:t>，有权将学生设置为助教；将学生移出课堂；向学生发送解除静音或开启视频的请求；强制学生和助教静音和关闭摄像头；助教身份支持将学生移出课堂；向学生发送解除静音或开启视频的请求；强制学生静音和关闭摄像头</w:t>
            </w:r>
            <w:r>
              <w:rPr>
                <w:rFonts w:hint="eastAsia" w:ascii="宋体" w:hAnsi="宋体" w:eastAsia="宋体" w:cs="宋体"/>
                <w:sz w:val="21"/>
                <w:szCs w:val="21"/>
                <w:lang w:eastAsia="zh-CN"/>
              </w:rPr>
              <w:t>；</w:t>
            </w:r>
            <w:r>
              <w:rPr>
                <w:rFonts w:hint="eastAsia" w:ascii="宋体" w:hAnsi="宋体" w:eastAsia="宋体" w:cs="宋体"/>
                <w:sz w:val="21"/>
                <w:szCs w:val="21"/>
              </w:rPr>
              <w:t>课堂录制；发布、删除和编辑公告</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互动群聊</w:t>
            </w:r>
            <w:r>
              <w:rPr>
                <w:rFonts w:hint="eastAsia" w:ascii="宋体" w:hAnsi="宋体" w:eastAsia="宋体" w:cs="宋体"/>
                <w:sz w:val="21"/>
                <w:szCs w:val="21"/>
                <w:lang w:eastAsia="zh-CN"/>
              </w:rPr>
              <w:t>；</w:t>
            </w:r>
          </w:p>
          <w:p w14:paraId="4AEC302F">
            <w:pPr>
              <w:widowControl/>
              <w:ind w:left="0" w:leftChars="0" w:firstLine="0" w:firstLineChars="0"/>
              <w:jc w:val="both"/>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eastAsia="zh-CN"/>
              </w:rPr>
              <w:t>2.</w:t>
            </w:r>
            <w:r>
              <w:rPr>
                <w:rFonts w:hint="eastAsia" w:ascii="宋体" w:hAnsi="宋体" w:eastAsia="宋体" w:cs="宋体"/>
                <w:sz w:val="21"/>
                <w:szCs w:val="21"/>
              </w:rPr>
              <w:t>4.3.</w:t>
            </w:r>
            <w:r>
              <w:rPr>
                <w:rFonts w:hint="eastAsia" w:ascii="宋体" w:hAnsi="宋体" w:eastAsia="宋体" w:cs="宋体"/>
                <w:sz w:val="21"/>
                <w:szCs w:val="21"/>
                <w:lang w:eastAsia="zh-CN"/>
              </w:rPr>
              <w:t>须</w:t>
            </w:r>
            <w:r>
              <w:rPr>
                <w:rFonts w:hint="eastAsia" w:ascii="宋体" w:hAnsi="宋体" w:eastAsia="宋体" w:cs="宋体"/>
                <w:sz w:val="21"/>
                <w:szCs w:val="21"/>
              </w:rPr>
              <w:t>具备课堂录制功能，录制的课堂视频能回传至个人云盘中，通过对接网络教学平台实现站</w:t>
            </w:r>
            <w:r>
              <w:rPr>
                <w:rFonts w:hint="eastAsia" w:ascii="宋体" w:hAnsi="宋体" w:eastAsia="宋体" w:cs="宋体"/>
                <w:sz w:val="21"/>
                <w:szCs w:val="21"/>
                <w:lang w:eastAsia="zh-CN"/>
              </w:rPr>
              <w:t>内</w:t>
            </w:r>
            <w:r>
              <w:rPr>
                <w:rFonts w:hint="eastAsia" w:ascii="宋体" w:hAnsi="宋体" w:eastAsia="宋体" w:cs="宋体"/>
                <w:sz w:val="21"/>
                <w:szCs w:val="21"/>
              </w:rPr>
              <w:t>课堂录制消息提醒服务；（提供功能截图并加盖公章）</w:t>
            </w:r>
          </w:p>
          <w:p w14:paraId="2DEC6E64">
            <w:pPr>
              <w:widowControl/>
              <w:ind w:left="0" w:leftChars="0" w:firstLine="0" w:firstLineChars="0"/>
              <w:jc w:val="both"/>
              <w:rPr>
                <w:rFonts w:hint="eastAsia" w:ascii="宋体" w:hAnsi="宋体" w:eastAsia="宋体" w:cs="宋体"/>
                <w:b w:val="0"/>
                <w:bCs w:val="0"/>
                <w:sz w:val="21"/>
                <w:szCs w:val="21"/>
              </w:rPr>
            </w:pPr>
            <w:r>
              <w:rPr>
                <w:rFonts w:hint="eastAsia" w:ascii="宋体" w:hAnsi="宋体" w:eastAsia="宋体" w:cs="宋体"/>
                <w:sz w:val="21"/>
                <w:szCs w:val="21"/>
              </w:rPr>
              <w:t>▲</w:t>
            </w:r>
            <w:r>
              <w:rPr>
                <w:rFonts w:hint="eastAsia" w:ascii="宋体" w:hAnsi="宋体" w:eastAsia="宋体" w:cs="宋体"/>
                <w:b w:val="0"/>
                <w:bCs w:val="0"/>
                <w:sz w:val="21"/>
                <w:szCs w:val="21"/>
                <w:lang w:eastAsia="zh-CN"/>
              </w:rPr>
              <w:t>2.</w:t>
            </w:r>
            <w:r>
              <w:rPr>
                <w:rFonts w:hint="eastAsia" w:ascii="宋体" w:hAnsi="宋体" w:eastAsia="宋体" w:cs="宋体"/>
                <w:b w:val="0"/>
                <w:bCs w:val="0"/>
                <w:sz w:val="21"/>
                <w:szCs w:val="21"/>
              </w:rPr>
              <w:t>5同声翻译：支持将教师语音实时转换为文字，并根据前后文语义动态纠正文字；支持实时翻译教师语音，识别及翻译语种包含中、英、德、法、日、俄、西班牙、韩、阿拉伯、葡萄牙、印第等多语种（提供功能截图并加盖公章）</w:t>
            </w:r>
          </w:p>
          <w:p w14:paraId="3311DCC6">
            <w:pPr>
              <w:numPr>
                <w:ilvl w:val="0"/>
                <w:numId w:val="0"/>
              </w:numPr>
              <w:rPr>
                <w:rFonts w:hint="eastAsia" w:ascii="宋体" w:hAnsi="宋体" w:eastAsia="宋体" w:cs="宋体"/>
                <w:sz w:val="21"/>
                <w:szCs w:val="21"/>
                <w:highlight w:val="none"/>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eastAsia="zh-CN"/>
              </w:rPr>
              <w:t>2.</w:t>
            </w:r>
            <w:r>
              <w:rPr>
                <w:rFonts w:hint="eastAsia" w:ascii="宋体" w:hAnsi="宋体" w:eastAsia="宋体" w:cs="宋体"/>
                <w:b w:val="0"/>
                <w:bCs w:val="0"/>
                <w:sz w:val="21"/>
                <w:szCs w:val="21"/>
              </w:rPr>
              <w:t>6辅助教学工具：</w:t>
            </w:r>
            <w:r>
              <w:rPr>
                <w:rFonts w:hint="eastAsia" w:ascii="宋体" w:hAnsi="宋体" w:eastAsia="宋体" w:cs="宋体"/>
                <w:sz w:val="21"/>
                <w:szCs w:val="21"/>
              </w:rPr>
              <w:t>支持画笔、激光笔、</w:t>
            </w:r>
            <w:r>
              <w:rPr>
                <w:rFonts w:hint="eastAsia" w:ascii="宋体" w:hAnsi="宋体" w:eastAsia="宋体" w:cs="宋体"/>
                <w:sz w:val="21"/>
                <w:szCs w:val="21"/>
                <w:lang w:val="en-US" w:eastAsia="zh-CN"/>
              </w:rPr>
              <w:t>橡皮擦</w:t>
            </w:r>
            <w:r>
              <w:rPr>
                <w:rFonts w:hint="eastAsia" w:ascii="宋体" w:hAnsi="宋体" w:eastAsia="宋体" w:cs="宋体"/>
                <w:sz w:val="21"/>
                <w:szCs w:val="21"/>
              </w:rPr>
              <w:t>、清除、形状、线条、文字输入；支持白板功能，在白板下支持画笔、激光笔、</w:t>
            </w:r>
            <w:r>
              <w:rPr>
                <w:rFonts w:hint="eastAsia" w:ascii="宋体" w:hAnsi="宋体" w:eastAsia="宋体" w:cs="宋体"/>
                <w:sz w:val="21"/>
                <w:szCs w:val="21"/>
                <w:lang w:eastAsia="zh-CN"/>
              </w:rPr>
              <w:t>橡皮擦</w:t>
            </w:r>
            <w:r>
              <w:rPr>
                <w:rFonts w:hint="eastAsia" w:ascii="宋体" w:hAnsi="宋体" w:eastAsia="宋体" w:cs="宋体"/>
                <w:sz w:val="21"/>
                <w:szCs w:val="21"/>
              </w:rPr>
              <w:t>、清除、形状、线条、文字输入、添加文件、修改本景色；板书完成后支持转发给学生或保存到云盘；支持切换窗口，支持在软件内快速切换至桌面、其他软件操作窗口、本软件窗口等。</w:t>
            </w:r>
          </w:p>
        </w:tc>
      </w:tr>
      <w:tr w14:paraId="2A299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19392C27">
            <w:pPr>
              <w:rPr>
                <w:rFonts w:hint="eastAsia" w:ascii="宋体" w:hAnsi="宋体" w:eastAsia="宋体" w:cs="宋体"/>
                <w:sz w:val="21"/>
                <w:szCs w:val="21"/>
                <w:highlight w:val="none"/>
              </w:rPr>
            </w:pPr>
          </w:p>
        </w:tc>
        <w:tc>
          <w:tcPr>
            <w:tcW w:w="1276" w:type="dxa"/>
            <w:noWrap w:val="0"/>
            <w:vAlign w:val="center"/>
          </w:tcPr>
          <w:p w14:paraId="52E3DDAE">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移动端</w:t>
            </w:r>
          </w:p>
        </w:tc>
        <w:tc>
          <w:tcPr>
            <w:tcW w:w="7305" w:type="dxa"/>
            <w:noWrap w:val="0"/>
            <w:vAlign w:val="top"/>
          </w:tcPr>
          <w:p w14:paraId="15D70C1D">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具有移动客户端，支持iOS和Android操作系统，用于手机、Pad等智能移动终端中，实现在线移动学习。</w:t>
            </w:r>
          </w:p>
          <w:p w14:paraId="3D436226">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PC端与移动端的学习进度保持同步，学生在任何终端上，都可以实现学习记录的持续性，系统也可对任何终端的学习行为进行监控。</w:t>
            </w:r>
          </w:p>
          <w:p w14:paraId="3CCF07CA">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按照教学计划，可在移动端组织教学内容，有序安排资料推送、签到、问答、抢答、投票等教学活动，可实现互动内容课堂发放并复用。</w:t>
            </w:r>
          </w:p>
          <w:p w14:paraId="311EDFDD">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▲教师可以发布课堂签到，学生直接用手机通过扫描二维码</w:t>
            </w:r>
            <w:r>
              <w:rPr>
                <w:rFonts w:hint="eastAsia" w:ascii="宋体" w:hAnsi="宋体" w:eastAsia="宋体" w:cs="宋体"/>
                <w:sz w:val="21"/>
                <w:szCs w:val="21"/>
                <w:highlight w:val="none"/>
                <w:lang w:eastAsia="zh-CN"/>
              </w:rPr>
              <w:t>或</w:t>
            </w:r>
            <w:r>
              <w:rPr>
                <w:rFonts w:hint="eastAsia" w:ascii="宋体" w:hAnsi="宋体" w:eastAsia="宋体" w:cs="宋体"/>
                <w:sz w:val="21"/>
                <w:szCs w:val="21"/>
                <w:highlight w:val="none"/>
              </w:rPr>
              <w:t>输入教师分享的邀请码等方式进行签到，显示距离发起者的签到距离。</w:t>
            </w:r>
          </w:p>
          <w:p w14:paraId="0DCE6E3C">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教师可以在课堂上发布问题，通过抢答进行提问，学生同时在手机收到抢答请求进行抢答。</w:t>
            </w:r>
          </w:p>
          <w:p w14:paraId="5E71E41F">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教师可通过随机选人功能选择学生回答问题，并可以将选择结果投屏显示。</w:t>
            </w:r>
          </w:p>
          <w:p w14:paraId="38ECFB1F">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教师可以在课堂上实时发布课程微评，学生能进行评价。</w:t>
            </w:r>
          </w:p>
          <w:p w14:paraId="3816B66D">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课堂结束后，可以将所有课堂上发布的</w:t>
            </w:r>
            <w:r>
              <w:rPr>
                <w:rFonts w:hint="eastAsia" w:ascii="宋体" w:hAnsi="宋体" w:eastAsia="宋体" w:cs="宋体"/>
                <w:sz w:val="21"/>
                <w:szCs w:val="21"/>
                <w:highlight w:val="none"/>
                <w:lang w:val="en-US" w:eastAsia="zh-CN"/>
              </w:rPr>
              <w:t>活动</w:t>
            </w:r>
            <w:r>
              <w:rPr>
                <w:rFonts w:hint="eastAsia" w:ascii="宋体" w:hAnsi="宋体" w:eastAsia="宋体" w:cs="宋体"/>
                <w:sz w:val="21"/>
                <w:szCs w:val="21"/>
                <w:highlight w:val="none"/>
              </w:rPr>
              <w:t>进行记录，生成课堂历史记录。能实时查看任一活动的详细参与情况。</w:t>
            </w:r>
          </w:p>
          <w:p w14:paraId="2A51A298">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▲可基于课程形成师生互动交流群，实时进行</w:t>
            </w:r>
            <w:r>
              <w:rPr>
                <w:rFonts w:hint="eastAsia" w:ascii="宋体" w:hAnsi="宋体" w:eastAsia="宋体" w:cs="宋体"/>
                <w:sz w:val="21"/>
                <w:szCs w:val="21"/>
                <w:highlight w:val="none"/>
                <w:lang w:eastAsia="zh-CN"/>
              </w:rPr>
              <w:t>即时通信</w:t>
            </w:r>
            <w:r>
              <w:rPr>
                <w:rFonts w:hint="eastAsia" w:ascii="宋体" w:hAnsi="宋体" w:eastAsia="宋体" w:cs="宋体"/>
                <w:sz w:val="21"/>
                <w:szCs w:val="21"/>
                <w:highlight w:val="none"/>
              </w:rPr>
              <w:t>，进行讨论与交流。</w:t>
            </w:r>
          </w:p>
          <w:p w14:paraId="34E98EE3">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教师可以编辑问答题</w:t>
            </w:r>
            <w:r>
              <w:rPr>
                <w:rFonts w:hint="eastAsia" w:ascii="宋体" w:hAnsi="宋体" w:eastAsia="宋体" w:cs="宋体"/>
                <w:sz w:val="21"/>
                <w:szCs w:val="21"/>
                <w:highlight w:val="none"/>
                <w:lang w:eastAsia="zh-CN"/>
              </w:rPr>
              <w:t>并</w:t>
            </w:r>
            <w:r>
              <w:rPr>
                <w:rFonts w:hint="eastAsia" w:ascii="宋体" w:hAnsi="宋体" w:eastAsia="宋体" w:cs="宋体"/>
                <w:sz w:val="21"/>
                <w:szCs w:val="21"/>
                <w:highlight w:val="none"/>
              </w:rPr>
              <w:t xml:space="preserve">将题目发布到学生端，学生可以回答问题并提交，教师可以实时查看学生提交结果。 </w:t>
            </w:r>
          </w:p>
          <w:p w14:paraId="6791EBC3">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教师和学生可以开展话题讨论，利用发帖形式进行小组话题交流。</w:t>
            </w:r>
          </w:p>
          <w:p w14:paraId="612F6CA9">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教师在课前对资料进行云盘存储，课堂上可以利用</w:t>
            </w:r>
            <w:r>
              <w:rPr>
                <w:rFonts w:hint="eastAsia" w:ascii="宋体" w:hAnsi="宋体" w:eastAsia="宋体" w:cs="宋体"/>
                <w:sz w:val="21"/>
                <w:szCs w:val="21"/>
                <w:highlight w:val="none"/>
                <w:lang w:val="en-US" w:eastAsia="zh-CN"/>
              </w:rPr>
              <w:t>移动端</w:t>
            </w:r>
            <w:r>
              <w:rPr>
                <w:rFonts w:hint="eastAsia" w:ascii="宋体" w:hAnsi="宋体" w:eastAsia="宋体" w:cs="宋体"/>
                <w:sz w:val="21"/>
                <w:szCs w:val="21"/>
                <w:highlight w:val="none"/>
              </w:rPr>
              <w:t>云盘功能选择和自己课程相关的资料进行资料推送，推送完成后参与教学的学生和教师都可以查看资料的详细内容。</w:t>
            </w:r>
          </w:p>
          <w:p w14:paraId="69945608">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学生在移动端进行视频学习时，系统自动记录所有学习行为，完成视频学习</w:t>
            </w:r>
            <w:r>
              <w:rPr>
                <w:rFonts w:hint="eastAsia" w:ascii="宋体" w:hAnsi="宋体" w:eastAsia="宋体" w:cs="宋体"/>
                <w:sz w:val="21"/>
                <w:szCs w:val="21"/>
                <w:highlight w:val="none"/>
                <w:lang w:eastAsia="zh-CN"/>
              </w:rPr>
              <w:t>任务</w:t>
            </w:r>
            <w:r>
              <w:rPr>
                <w:rFonts w:hint="eastAsia" w:ascii="宋体" w:hAnsi="宋体" w:eastAsia="宋体" w:cs="宋体"/>
                <w:sz w:val="21"/>
                <w:szCs w:val="21"/>
                <w:highlight w:val="none"/>
              </w:rPr>
              <w:t>后系统自动同步学习记录与PC端相同。同时将视频学习成绩计算后加入综合成绩中。</w:t>
            </w:r>
          </w:p>
          <w:p w14:paraId="374CC5C0">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学生通过移动端作业功能可以查看作业列表，作业列表支持标示待做作业和已完成、已过期作业展示。学生可以通过本功能支持待做作业在移动端完成。支持</w:t>
            </w:r>
            <w:r>
              <w:rPr>
                <w:rFonts w:hint="eastAsia" w:ascii="宋体" w:hAnsi="宋体" w:eastAsia="宋体" w:cs="宋体"/>
                <w:sz w:val="21"/>
                <w:szCs w:val="21"/>
                <w:highlight w:val="none"/>
                <w:lang w:val="en-US" w:eastAsia="zh-CN"/>
              </w:rPr>
              <w:t>查</w:t>
            </w:r>
            <w:r>
              <w:rPr>
                <w:rFonts w:hint="eastAsia" w:ascii="宋体" w:hAnsi="宋体" w:eastAsia="宋体" w:cs="宋体"/>
                <w:sz w:val="21"/>
                <w:szCs w:val="21"/>
                <w:highlight w:val="none"/>
              </w:rPr>
              <w:t>看已完成作业的批阅状态和最后得分，支持查看作业答案。</w:t>
            </w:r>
          </w:p>
          <w:p w14:paraId="7FE55308">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教师可以通过手机在课程中发布考试试卷和查看考试分项统计结果，学生同样可以通过移动端进行在线考试和查看考试信息。</w:t>
            </w:r>
          </w:p>
          <w:p w14:paraId="0887B7F8">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学生的课堂签到情况、课堂表现等都以积分形式形成评价，可转换为平时成绩；在线课程的学习同时记录作业成绩、考试成绩、按照教师设计的成绩权重给出综合评价。</w:t>
            </w:r>
          </w:p>
          <w:p w14:paraId="40963795">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可以阅读本校师生制作的专题等资源，可以订阅到自己的空间，并进行分类管理；可以对所有精彩的内容进行分享。</w:t>
            </w:r>
          </w:p>
          <w:p w14:paraId="36E06D01">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可以在移动端选择给指定的人发送通知，并统计已读和未读名单。并与pc端无缝对接。针对未读通知，支持短信提醒、电话提醒、微信提醒等提醒方式。</w:t>
            </w:r>
          </w:p>
          <w:p w14:paraId="5E4540F4">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w:t>
            </w:r>
            <w:r>
              <w:rPr>
                <w:rFonts w:hint="eastAsia" w:ascii="宋体" w:hAnsi="宋体" w:eastAsia="宋体" w:cs="宋体"/>
                <w:sz w:val="21"/>
                <w:szCs w:val="21"/>
                <w:highlight w:val="none"/>
                <w:lang w:val="en-US" w:eastAsia="zh-CN"/>
              </w:rPr>
              <w:t>移动端</w:t>
            </w:r>
            <w:r>
              <w:rPr>
                <w:rFonts w:hint="eastAsia" w:ascii="宋体" w:hAnsi="宋体" w:eastAsia="宋体" w:cs="宋体"/>
                <w:sz w:val="21"/>
                <w:szCs w:val="21"/>
                <w:highlight w:val="none"/>
              </w:rPr>
              <w:t>发起视频直播，学生可以通过手机观看直播并留言。</w:t>
            </w:r>
          </w:p>
          <w:p w14:paraId="0DC97BF2">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投屏教学：用户只需要打开网页，输入指定网页，就可以直接利用手机进行投屏课堂教学，投屏教学包含签到、抢答、问卷、讨论、选人、测验等教学活动投屏，并能直接在投屏上展示结果数据。</w:t>
            </w:r>
          </w:p>
          <w:p w14:paraId="051BA4EB">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强大PPT演示功能，PPT投屏演示保留动画效果，播放流畅。支持PPT投屏及课堂互动功能，PPT投屏演示保留动画效果，播放流畅，在投屏演示时随时可发起签到、投票、测验、抢答、选人、讨论、测验、问卷等多种课堂活动，活动内容可大屏显示。</w:t>
            </w:r>
          </w:p>
          <w:p w14:paraId="4AF2A719">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PPT投屏支持通过</w:t>
            </w:r>
            <w:r>
              <w:rPr>
                <w:rFonts w:hint="eastAsia" w:ascii="宋体" w:hAnsi="宋体" w:eastAsia="宋体" w:cs="宋体"/>
                <w:sz w:val="21"/>
                <w:szCs w:val="21"/>
                <w:highlight w:val="none"/>
                <w:lang w:val="en-US" w:eastAsia="zh-CN"/>
              </w:rPr>
              <w:t>移动端</w:t>
            </w:r>
            <w:r>
              <w:rPr>
                <w:rFonts w:hint="eastAsia" w:ascii="宋体" w:hAnsi="宋体" w:eastAsia="宋体" w:cs="宋体"/>
                <w:sz w:val="21"/>
                <w:szCs w:val="21"/>
                <w:highlight w:val="none"/>
              </w:rPr>
              <w:t>对投屏PPT进行激光指引</w:t>
            </w:r>
            <w:r>
              <w:rPr>
                <w:rFonts w:hint="eastAsia" w:ascii="宋体" w:hAnsi="宋体" w:eastAsia="宋体" w:cs="宋体"/>
                <w:sz w:val="21"/>
                <w:szCs w:val="21"/>
                <w:highlight w:val="none"/>
                <w:lang w:val="en-US" w:eastAsia="zh-CN"/>
              </w:rPr>
              <w:t>和</w:t>
            </w:r>
            <w:r>
              <w:rPr>
                <w:rFonts w:hint="eastAsia" w:ascii="宋体" w:hAnsi="宋体" w:eastAsia="宋体" w:cs="宋体"/>
                <w:sz w:val="21"/>
                <w:szCs w:val="21"/>
                <w:highlight w:val="none"/>
              </w:rPr>
              <w:t>聚光展示。</w:t>
            </w:r>
          </w:p>
          <w:p w14:paraId="14F05612">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投屏展示</w:t>
            </w:r>
            <w:r>
              <w:rPr>
                <w:rFonts w:hint="eastAsia" w:ascii="宋体" w:hAnsi="宋体" w:eastAsia="宋体" w:cs="宋体"/>
                <w:sz w:val="21"/>
                <w:szCs w:val="21"/>
                <w:highlight w:val="none"/>
              </w:rPr>
              <w:t>课堂结束后，即生成课堂报告，包括课堂互动的所有详情记录及学生的课堂表现积分情况。</w:t>
            </w:r>
          </w:p>
          <w:p w14:paraId="07D0C13F">
            <w:pPr>
              <w:numPr>
                <w:ilvl w:val="0"/>
                <w:numId w:val="27"/>
              </w:numPr>
              <w:rPr>
                <w:rFonts w:hint="eastAsia" w:ascii="宋体" w:hAnsi="宋体" w:eastAsia="宋体" w:cs="宋体"/>
                <w:sz w:val="21"/>
                <w:szCs w:val="21"/>
                <w:highlight w:val="none"/>
              </w:rPr>
            </w:pPr>
            <w:r>
              <w:rPr>
                <w:rFonts w:hint="eastAsia" w:ascii="宋体" w:hAnsi="宋体" w:eastAsia="宋体" w:cs="宋体"/>
                <w:sz w:val="21"/>
                <w:szCs w:val="21"/>
                <w:highlight w:val="none"/>
              </w:rPr>
              <w:t>可以创建班级空间，支持学生扫码加入，同时在班级空间内发起课堂互动。</w:t>
            </w:r>
          </w:p>
        </w:tc>
      </w:tr>
      <w:tr w14:paraId="1BA6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79173D86">
            <w:pPr>
              <w:rPr>
                <w:rFonts w:hint="eastAsia" w:ascii="宋体" w:hAnsi="宋体" w:eastAsia="宋体" w:cs="宋体"/>
                <w:sz w:val="21"/>
                <w:szCs w:val="21"/>
                <w:highlight w:val="none"/>
              </w:rPr>
            </w:pPr>
          </w:p>
        </w:tc>
        <w:tc>
          <w:tcPr>
            <w:tcW w:w="1276" w:type="dxa"/>
            <w:noWrap w:val="0"/>
            <w:vAlign w:val="center"/>
          </w:tcPr>
          <w:p w14:paraId="4824052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教学大数据</w:t>
            </w:r>
          </w:p>
        </w:tc>
        <w:tc>
          <w:tcPr>
            <w:tcW w:w="7305" w:type="dxa"/>
            <w:noWrap w:val="0"/>
            <w:vAlign w:val="top"/>
          </w:tcPr>
          <w:p w14:paraId="3235249A">
            <w:pPr>
              <w:numPr>
                <w:ilvl w:val="0"/>
                <w:numId w:val="28"/>
              </w:num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教学大数据分析平台——PC端可视化分析系统</w:t>
            </w:r>
          </w:p>
          <w:p w14:paraId="2FF1F1ED">
            <w:pPr>
              <w:numPr>
                <w:ilvl w:val="0"/>
                <w:numId w:val="29"/>
              </w:numPr>
              <w:rPr>
                <w:rFonts w:hint="eastAsia" w:ascii="宋体" w:hAnsi="宋体" w:eastAsia="宋体" w:cs="宋体"/>
                <w:sz w:val="21"/>
                <w:szCs w:val="21"/>
                <w:highlight w:val="none"/>
              </w:rPr>
            </w:pPr>
            <w:r>
              <w:rPr>
                <w:rFonts w:hint="eastAsia" w:ascii="宋体" w:hAnsi="宋体" w:eastAsia="宋体" w:cs="宋体"/>
                <w:sz w:val="21"/>
                <w:szCs w:val="21"/>
                <w:highlight w:val="none"/>
              </w:rPr>
              <w:t>综合数据：包括整体数据概况、活跃课程、今日动态、行为分析、学生到课情况、资源建设情况、院系运行情况等。</w:t>
            </w:r>
          </w:p>
          <w:p w14:paraId="4A617722">
            <w:pPr>
              <w:numPr>
                <w:ilvl w:val="0"/>
                <w:numId w:val="30"/>
              </w:numPr>
              <w:rPr>
                <w:rFonts w:hint="eastAsia" w:ascii="宋体" w:hAnsi="宋体" w:eastAsia="宋体" w:cs="宋体"/>
                <w:sz w:val="21"/>
                <w:szCs w:val="21"/>
                <w:highlight w:val="none"/>
              </w:rPr>
            </w:pPr>
            <w:r>
              <w:rPr>
                <w:rFonts w:hint="eastAsia" w:ascii="宋体" w:hAnsi="宋体" w:eastAsia="宋体" w:cs="宋体"/>
                <w:sz w:val="21"/>
                <w:szCs w:val="21"/>
                <w:highlight w:val="none"/>
              </w:rPr>
              <w:t>访问量教师榜、访问量学生榜、访问量课程榜。</w:t>
            </w:r>
          </w:p>
          <w:p w14:paraId="4A424293">
            <w:pPr>
              <w:numPr>
                <w:ilvl w:val="0"/>
                <w:numId w:val="30"/>
              </w:numPr>
              <w:rPr>
                <w:rFonts w:hint="eastAsia" w:ascii="宋体" w:hAnsi="宋体" w:eastAsia="宋体" w:cs="宋体"/>
                <w:sz w:val="21"/>
                <w:szCs w:val="21"/>
                <w:highlight w:val="none"/>
              </w:rPr>
            </w:pPr>
            <w:r>
              <w:rPr>
                <w:rFonts w:hint="eastAsia" w:ascii="宋体" w:hAnsi="宋体" w:eastAsia="宋体" w:cs="宋体"/>
                <w:sz w:val="21"/>
                <w:szCs w:val="21"/>
                <w:highlight w:val="none"/>
              </w:rPr>
              <w:t>分析平台支持过滤教学平台隐藏的院系，即教学平台设置隐藏"课程数据统计"的院系。</w:t>
            </w:r>
          </w:p>
          <w:p w14:paraId="1BF719D1">
            <w:pPr>
              <w:numPr>
                <w:ilvl w:val="0"/>
                <w:numId w:val="29"/>
              </w:numPr>
              <w:rPr>
                <w:rFonts w:hint="eastAsia" w:ascii="宋体" w:hAnsi="宋体" w:eastAsia="宋体" w:cs="宋体"/>
                <w:sz w:val="21"/>
                <w:szCs w:val="21"/>
                <w:highlight w:val="none"/>
              </w:rPr>
            </w:pPr>
            <w:r>
              <w:rPr>
                <w:rFonts w:hint="eastAsia" w:ascii="宋体" w:hAnsi="宋体" w:eastAsia="宋体" w:cs="宋体"/>
                <w:sz w:val="21"/>
                <w:szCs w:val="21"/>
                <w:highlight w:val="none"/>
              </w:rPr>
              <w:t>师生活跃</w:t>
            </w:r>
          </w:p>
          <w:p w14:paraId="5F112B67">
            <w:pPr>
              <w:numPr>
                <w:ilvl w:val="0"/>
                <w:numId w:val="31"/>
              </w:numPr>
              <w:rPr>
                <w:rFonts w:hint="eastAsia" w:ascii="宋体" w:hAnsi="宋体" w:eastAsia="宋体" w:cs="宋体"/>
                <w:sz w:val="21"/>
                <w:szCs w:val="21"/>
                <w:highlight w:val="none"/>
              </w:rPr>
            </w:pPr>
            <w:r>
              <w:rPr>
                <w:rFonts w:hint="eastAsia" w:ascii="宋体" w:hAnsi="宋体" w:eastAsia="宋体" w:cs="宋体"/>
                <w:sz w:val="21"/>
                <w:szCs w:val="21"/>
                <w:highlight w:val="none"/>
              </w:rPr>
              <w:t>数据概览：总活动数、教师活动数、学生活动数。</w:t>
            </w:r>
          </w:p>
          <w:p w14:paraId="390B2414">
            <w:pPr>
              <w:numPr>
                <w:ilvl w:val="0"/>
                <w:numId w:val="31"/>
              </w:numPr>
              <w:rPr>
                <w:rFonts w:hint="eastAsia" w:ascii="宋体" w:hAnsi="宋体" w:eastAsia="宋体" w:cs="宋体"/>
                <w:sz w:val="21"/>
                <w:szCs w:val="21"/>
                <w:highlight w:val="none"/>
              </w:rPr>
            </w:pPr>
            <w:r>
              <w:rPr>
                <w:rFonts w:hint="eastAsia" w:ascii="宋体" w:hAnsi="宋体" w:eastAsia="宋体" w:cs="宋体"/>
                <w:sz w:val="21"/>
                <w:szCs w:val="21"/>
                <w:highlight w:val="none"/>
              </w:rPr>
              <w:t>活动数变化趋势：展示教师活动数变化趋势、学生活动数变化趋势。</w:t>
            </w:r>
          </w:p>
          <w:p w14:paraId="06CF529D">
            <w:pPr>
              <w:numPr>
                <w:ilvl w:val="0"/>
                <w:numId w:val="31"/>
              </w:numPr>
              <w:rPr>
                <w:rFonts w:hint="eastAsia" w:ascii="宋体" w:hAnsi="宋体" w:eastAsia="宋体" w:cs="宋体"/>
                <w:sz w:val="21"/>
                <w:szCs w:val="21"/>
                <w:highlight w:val="none"/>
              </w:rPr>
            </w:pPr>
            <w:r>
              <w:rPr>
                <w:rFonts w:hint="eastAsia" w:ascii="宋体" w:hAnsi="宋体" w:eastAsia="宋体" w:cs="宋体"/>
                <w:sz w:val="21"/>
                <w:szCs w:val="21"/>
                <w:highlight w:val="none"/>
              </w:rPr>
              <w:t>活动类型分布：展示教师、学生的活动类型分布情况。</w:t>
            </w:r>
          </w:p>
          <w:p w14:paraId="1D3D5359">
            <w:pPr>
              <w:numPr>
                <w:ilvl w:val="0"/>
                <w:numId w:val="31"/>
              </w:numPr>
              <w:rPr>
                <w:rFonts w:hint="eastAsia" w:ascii="宋体" w:hAnsi="宋体" w:eastAsia="宋体" w:cs="宋体"/>
                <w:sz w:val="21"/>
                <w:szCs w:val="21"/>
                <w:highlight w:val="none"/>
              </w:rPr>
            </w:pPr>
            <w:r>
              <w:rPr>
                <w:rFonts w:hint="eastAsia" w:ascii="宋体" w:hAnsi="宋体" w:eastAsia="宋体" w:cs="宋体"/>
                <w:sz w:val="21"/>
                <w:szCs w:val="21"/>
                <w:highlight w:val="none"/>
              </w:rPr>
              <w:t>各院系师生活动数排名：展示各院系师生活动数排名对比。</w:t>
            </w:r>
          </w:p>
          <w:p w14:paraId="23743772">
            <w:pPr>
              <w:numPr>
                <w:ilvl w:val="0"/>
                <w:numId w:val="31"/>
              </w:numPr>
              <w:rPr>
                <w:rFonts w:hint="eastAsia" w:ascii="宋体" w:hAnsi="宋体" w:eastAsia="宋体" w:cs="宋体"/>
                <w:sz w:val="21"/>
                <w:szCs w:val="21"/>
                <w:highlight w:val="none"/>
              </w:rPr>
            </w:pPr>
            <w:r>
              <w:rPr>
                <w:rFonts w:hint="eastAsia" w:ascii="宋体" w:hAnsi="宋体" w:eastAsia="宋体" w:cs="宋体"/>
                <w:sz w:val="21"/>
                <w:szCs w:val="21"/>
                <w:highlight w:val="none"/>
              </w:rPr>
              <w:t>平台终端使用情况：展示平台各类型终端访问次数及占比情况、各类型终端的访问次数变化趋势。</w:t>
            </w:r>
          </w:p>
          <w:p w14:paraId="18DE9F54">
            <w:pPr>
              <w:numPr>
                <w:ilvl w:val="0"/>
                <w:numId w:val="31"/>
              </w:numPr>
              <w:rPr>
                <w:rFonts w:hint="eastAsia" w:ascii="宋体" w:hAnsi="宋体" w:eastAsia="宋体" w:cs="宋体"/>
                <w:sz w:val="21"/>
                <w:szCs w:val="21"/>
                <w:highlight w:val="none"/>
              </w:rPr>
            </w:pPr>
            <w:r>
              <w:rPr>
                <w:rFonts w:hint="eastAsia" w:ascii="宋体" w:hAnsi="宋体" w:eastAsia="宋体" w:cs="宋体"/>
                <w:sz w:val="21"/>
                <w:szCs w:val="21"/>
                <w:highlight w:val="none"/>
              </w:rPr>
              <w:t>活动数TOP100教师榜、活动数TOP100学生榜。</w:t>
            </w:r>
          </w:p>
          <w:p w14:paraId="61CA19AB">
            <w:pPr>
              <w:numPr>
                <w:ilvl w:val="0"/>
                <w:numId w:val="31"/>
              </w:numPr>
              <w:rPr>
                <w:rFonts w:hint="eastAsia" w:ascii="宋体" w:hAnsi="宋体" w:eastAsia="宋体" w:cs="宋体"/>
                <w:sz w:val="21"/>
                <w:szCs w:val="21"/>
                <w:highlight w:val="none"/>
              </w:rPr>
            </w:pPr>
            <w:r>
              <w:rPr>
                <w:rFonts w:hint="eastAsia" w:ascii="宋体" w:hAnsi="宋体" w:eastAsia="宋体" w:cs="宋体"/>
                <w:sz w:val="21"/>
                <w:szCs w:val="21"/>
                <w:highlight w:val="none"/>
              </w:rPr>
              <w:t>师生活动日志：支持以时间维度、角色维度、活动类型维度、院系维度筛选，展示师生活动时间趋势以及详细活动数据（操作时间、活动类型、操作IP、IP地址、使用设备）。</w:t>
            </w:r>
          </w:p>
          <w:p w14:paraId="59328A42">
            <w:pPr>
              <w:numPr>
                <w:ilvl w:val="0"/>
                <w:numId w:val="29"/>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课程数据</w:t>
            </w:r>
          </w:p>
          <w:p w14:paraId="4E23C40B">
            <w:pPr>
              <w:numPr>
                <w:ilvl w:val="0"/>
                <w:numId w:val="32"/>
              </w:numPr>
              <w:rPr>
                <w:rFonts w:hint="eastAsia" w:ascii="宋体" w:hAnsi="宋体" w:eastAsia="宋体" w:cs="宋体"/>
                <w:sz w:val="21"/>
                <w:szCs w:val="21"/>
                <w:highlight w:val="none"/>
              </w:rPr>
            </w:pPr>
            <w:r>
              <w:rPr>
                <w:rFonts w:hint="eastAsia" w:ascii="宋体" w:hAnsi="宋体" w:eastAsia="宋体" w:cs="宋体"/>
                <w:sz w:val="21"/>
                <w:szCs w:val="21"/>
                <w:highlight w:val="none"/>
              </w:rPr>
              <w:t>数据概览</w:t>
            </w:r>
          </w:p>
          <w:p w14:paraId="6E370349">
            <w:pPr>
              <w:rPr>
                <w:rFonts w:hint="eastAsia" w:ascii="宋体" w:hAnsi="宋体" w:eastAsia="宋体" w:cs="宋体"/>
                <w:sz w:val="21"/>
                <w:szCs w:val="21"/>
                <w:highlight w:val="none"/>
              </w:rPr>
            </w:pPr>
            <w:r>
              <w:rPr>
                <w:rFonts w:hint="eastAsia" w:ascii="宋体" w:hAnsi="宋体" w:eastAsia="宋体" w:cs="宋体"/>
                <w:sz w:val="21"/>
                <w:szCs w:val="21"/>
                <w:highlight w:val="none"/>
              </w:rPr>
              <w:t>新建课程门数、活跃课程门数、运行班次。</w:t>
            </w:r>
          </w:p>
          <w:p w14:paraId="011BBC3D">
            <w:pPr>
              <w:numPr>
                <w:ilvl w:val="0"/>
                <w:numId w:val="32"/>
              </w:numPr>
              <w:rPr>
                <w:rFonts w:hint="eastAsia" w:ascii="宋体" w:hAnsi="宋体" w:eastAsia="宋体" w:cs="宋体"/>
                <w:sz w:val="21"/>
                <w:szCs w:val="21"/>
                <w:highlight w:val="none"/>
              </w:rPr>
            </w:pPr>
            <w:r>
              <w:rPr>
                <w:rFonts w:hint="eastAsia" w:ascii="宋体" w:hAnsi="宋体" w:eastAsia="宋体" w:cs="宋体"/>
                <w:sz w:val="21"/>
                <w:szCs w:val="21"/>
                <w:highlight w:val="none"/>
              </w:rPr>
              <w:t>各院系课程数量排行</w:t>
            </w:r>
          </w:p>
          <w:p w14:paraId="02FB8F0A">
            <w:pPr>
              <w:rPr>
                <w:rFonts w:hint="eastAsia" w:ascii="宋体" w:hAnsi="宋体" w:eastAsia="宋体" w:cs="宋体"/>
                <w:sz w:val="21"/>
                <w:szCs w:val="21"/>
                <w:highlight w:val="none"/>
              </w:rPr>
            </w:pPr>
            <w:r>
              <w:rPr>
                <w:rFonts w:hint="eastAsia" w:ascii="宋体" w:hAnsi="宋体" w:eastAsia="宋体" w:cs="宋体"/>
                <w:sz w:val="21"/>
                <w:szCs w:val="21"/>
                <w:highlight w:val="none"/>
              </w:rPr>
              <w:t>新建课程门数、自建课程运行、活跃课程门数可视化分析，以柱形图形式展示各院系课程数量及排名对比情况。</w:t>
            </w:r>
          </w:p>
          <w:p w14:paraId="4A861CB9">
            <w:pPr>
              <w:numPr>
                <w:ilvl w:val="0"/>
                <w:numId w:val="32"/>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课程趋势</w:t>
            </w:r>
          </w:p>
          <w:p w14:paraId="13E6B3CE">
            <w:pPr>
              <w:rPr>
                <w:rFonts w:hint="eastAsia" w:ascii="宋体" w:hAnsi="宋体" w:eastAsia="宋体" w:cs="宋体"/>
                <w:sz w:val="21"/>
                <w:szCs w:val="21"/>
                <w:highlight w:val="none"/>
              </w:rPr>
            </w:pPr>
            <w:r>
              <w:rPr>
                <w:rFonts w:hint="eastAsia" w:ascii="宋体" w:hAnsi="宋体" w:eastAsia="宋体" w:cs="宋体"/>
                <w:sz w:val="21"/>
                <w:szCs w:val="21"/>
                <w:highlight w:val="none"/>
              </w:rPr>
              <w:t>新建课程门数、自建课程运行、活跃课程门数可视化分析，以趋势图形式展示课程运行的变化趋势。</w:t>
            </w:r>
          </w:p>
          <w:p w14:paraId="3C9F5E97">
            <w:pPr>
              <w:numPr>
                <w:ilvl w:val="0"/>
                <w:numId w:val="32"/>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▲课程建设情况</w:t>
            </w:r>
          </w:p>
          <w:p w14:paraId="12F67883">
            <w:pPr>
              <w:rPr>
                <w:rFonts w:hint="eastAsia" w:ascii="宋体" w:hAnsi="宋体" w:eastAsia="宋体" w:cs="宋体"/>
                <w:sz w:val="21"/>
                <w:szCs w:val="21"/>
                <w:highlight w:val="none"/>
              </w:rPr>
            </w:pPr>
            <w:r>
              <w:rPr>
                <w:rFonts w:hint="eastAsia" w:ascii="宋体" w:hAnsi="宋体" w:eastAsia="宋体" w:cs="宋体"/>
                <w:sz w:val="21"/>
                <w:szCs w:val="21"/>
                <w:highlight w:val="none"/>
              </w:rPr>
              <w:t>统计所选院系的课程建设总体情况，包括创建试卷数、创建作业数、创建题目数、创建章节总数；以院系维度展示各院系课程建设情况排行；以课程维度展示各课程建设情况排名，可按总数、创建章节总数、创建题目数、创建作业数、创建试卷数进行排名。</w:t>
            </w:r>
          </w:p>
          <w:p w14:paraId="3A3BE038">
            <w:pPr>
              <w:numPr>
                <w:ilvl w:val="0"/>
                <w:numId w:val="32"/>
              </w:numPr>
              <w:rPr>
                <w:rFonts w:hint="eastAsia" w:ascii="宋体" w:hAnsi="宋体" w:eastAsia="宋体" w:cs="宋体"/>
                <w:sz w:val="21"/>
                <w:szCs w:val="21"/>
                <w:highlight w:val="none"/>
              </w:rPr>
            </w:pPr>
            <w:r>
              <w:rPr>
                <w:rFonts w:hint="eastAsia" w:ascii="宋体" w:hAnsi="宋体" w:eastAsia="宋体" w:cs="宋体"/>
                <w:sz w:val="21"/>
                <w:szCs w:val="21"/>
                <w:highlight w:val="none"/>
              </w:rPr>
              <w:t>活跃课程TOP100</w:t>
            </w:r>
          </w:p>
          <w:p w14:paraId="0A24859E">
            <w:pPr>
              <w:rPr>
                <w:rFonts w:hint="eastAsia" w:ascii="宋体" w:hAnsi="宋体" w:eastAsia="宋体" w:cs="宋体"/>
                <w:sz w:val="21"/>
                <w:szCs w:val="21"/>
                <w:highlight w:val="none"/>
              </w:rPr>
            </w:pPr>
            <w:r>
              <w:rPr>
                <w:rFonts w:hint="eastAsia" w:ascii="宋体" w:hAnsi="宋体" w:eastAsia="宋体" w:cs="宋体"/>
                <w:sz w:val="21"/>
                <w:szCs w:val="21"/>
                <w:highlight w:val="none"/>
              </w:rPr>
              <w:t>展示课程活跃度前100名，可查看、导出活跃课程详情数据。</w:t>
            </w:r>
          </w:p>
          <w:p w14:paraId="3660B2D8">
            <w:pPr>
              <w:numPr>
                <w:ilvl w:val="0"/>
                <w:numId w:val="32"/>
              </w:numPr>
              <w:rPr>
                <w:rFonts w:hint="eastAsia" w:ascii="宋体" w:hAnsi="宋体" w:eastAsia="宋体" w:cs="宋体"/>
                <w:sz w:val="21"/>
                <w:szCs w:val="21"/>
                <w:highlight w:val="none"/>
              </w:rPr>
            </w:pPr>
            <w:r>
              <w:rPr>
                <w:rFonts w:hint="eastAsia" w:ascii="宋体" w:hAnsi="宋体" w:eastAsia="宋体" w:cs="宋体"/>
                <w:sz w:val="21"/>
                <w:szCs w:val="21"/>
                <w:highlight w:val="none"/>
              </w:rPr>
              <w:t>在线督导</w:t>
            </w:r>
          </w:p>
          <w:p w14:paraId="40735EB8">
            <w:pPr>
              <w:pStyle w:val="12"/>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线上考察某一课程的教师教学和学生学习情况，筛选今日在线课程、今日直播课程、点击进入该课程的旁听，查看该课程的基础信息、发布的班级任务、该课程具体的学员学习情况、该课程的操作日志、方便管理者随时进入旁听，掌握该课程的进行情况。</w:t>
            </w:r>
          </w:p>
          <w:p w14:paraId="395C68AF">
            <w:pPr>
              <w:numPr>
                <w:ilvl w:val="0"/>
                <w:numId w:val="29"/>
              </w:numPr>
              <w:rPr>
                <w:rFonts w:hint="eastAsia" w:ascii="宋体" w:hAnsi="宋体" w:eastAsia="宋体" w:cs="宋体"/>
                <w:sz w:val="21"/>
                <w:szCs w:val="21"/>
                <w:highlight w:val="none"/>
              </w:rPr>
            </w:pPr>
            <w:r>
              <w:rPr>
                <w:rFonts w:hint="eastAsia" w:ascii="宋体" w:hAnsi="宋体" w:eastAsia="宋体" w:cs="宋体"/>
                <w:sz w:val="21"/>
                <w:szCs w:val="21"/>
                <w:highlight w:val="none"/>
              </w:rPr>
              <w:t>教学运行</w:t>
            </w:r>
          </w:p>
          <w:p w14:paraId="14EE4DA1">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在教师教学数据当中分为五个板块：任务点/章节测验、作业/考试、课堂活动、互动讨论、教师教学数据。</w:t>
            </w:r>
          </w:p>
          <w:p w14:paraId="24BEEF7A">
            <w:pPr>
              <w:rPr>
                <w:rFonts w:hint="eastAsia" w:ascii="宋体" w:hAnsi="宋体" w:eastAsia="宋体" w:cs="宋体"/>
                <w:sz w:val="21"/>
                <w:szCs w:val="21"/>
                <w:highlight w:val="none"/>
              </w:rPr>
            </w:pPr>
            <w:r>
              <w:rPr>
                <w:rFonts w:hint="eastAsia" w:ascii="宋体" w:hAnsi="宋体" w:eastAsia="宋体" w:cs="宋体"/>
                <w:sz w:val="21"/>
                <w:szCs w:val="21"/>
                <w:highlight w:val="none"/>
              </w:rPr>
              <w:t>比如：教师教学数据：可按教师、按课程两种维度，按学期、按日、按周、按月四种时间维度查看教学数据。</w:t>
            </w:r>
          </w:p>
          <w:p w14:paraId="0971210A">
            <w:pPr>
              <w:numPr>
                <w:ilvl w:val="0"/>
                <w:numId w:val="33"/>
              </w:numPr>
              <w:rPr>
                <w:rFonts w:hint="eastAsia" w:ascii="宋体" w:hAnsi="宋体" w:eastAsia="宋体" w:cs="宋体"/>
                <w:sz w:val="21"/>
                <w:szCs w:val="21"/>
                <w:highlight w:val="none"/>
              </w:rPr>
            </w:pPr>
            <w:r>
              <w:rPr>
                <w:rFonts w:hint="eastAsia" w:ascii="宋体" w:hAnsi="宋体" w:eastAsia="宋体" w:cs="宋体"/>
                <w:sz w:val="21"/>
                <w:szCs w:val="21"/>
                <w:highlight w:val="none"/>
              </w:rPr>
              <w:t>数据概览</w:t>
            </w:r>
          </w:p>
          <w:p w14:paraId="6EE2C12F">
            <w:pPr>
              <w:rPr>
                <w:rFonts w:hint="eastAsia" w:ascii="宋体" w:hAnsi="宋体" w:eastAsia="宋体" w:cs="宋体"/>
                <w:sz w:val="21"/>
                <w:szCs w:val="21"/>
                <w:highlight w:val="none"/>
              </w:rPr>
            </w:pPr>
            <w:r>
              <w:rPr>
                <w:rFonts w:hint="eastAsia" w:ascii="宋体" w:hAnsi="宋体" w:eastAsia="宋体" w:cs="宋体"/>
                <w:sz w:val="21"/>
                <w:szCs w:val="21"/>
                <w:highlight w:val="none"/>
              </w:rPr>
              <w:t>上线教师人数、资源上传量、在线总时长。</w:t>
            </w:r>
          </w:p>
          <w:p w14:paraId="376E65ED">
            <w:pPr>
              <w:numPr>
                <w:ilvl w:val="0"/>
                <w:numId w:val="33"/>
              </w:numPr>
              <w:rPr>
                <w:rFonts w:hint="eastAsia" w:ascii="宋体" w:hAnsi="宋体" w:eastAsia="宋体" w:cs="宋体"/>
                <w:sz w:val="21"/>
                <w:szCs w:val="21"/>
                <w:highlight w:val="none"/>
              </w:rPr>
            </w:pPr>
            <w:r>
              <w:rPr>
                <w:rFonts w:hint="eastAsia" w:ascii="宋体" w:hAnsi="宋体" w:eastAsia="宋体" w:cs="宋体"/>
                <w:sz w:val="21"/>
                <w:szCs w:val="21"/>
                <w:highlight w:val="none"/>
              </w:rPr>
              <w:t>教学数据具体包括</w:t>
            </w:r>
          </w:p>
          <w:p w14:paraId="7DE6A140">
            <w:pPr>
              <w:rPr>
                <w:rFonts w:hint="eastAsia" w:ascii="宋体" w:hAnsi="宋体" w:eastAsia="宋体" w:cs="宋体"/>
                <w:sz w:val="21"/>
                <w:szCs w:val="21"/>
                <w:highlight w:val="none"/>
              </w:rPr>
            </w:pPr>
            <w:r>
              <w:rPr>
                <w:rFonts w:hint="eastAsia" w:ascii="宋体" w:hAnsi="宋体" w:eastAsia="宋体" w:cs="宋体"/>
                <w:sz w:val="21"/>
                <w:szCs w:val="21"/>
                <w:highlight w:val="none"/>
              </w:rPr>
              <w:t>访问量、在线时长、上传图片等资源建设数据、发签到等活动数据，以及新增积分。</w:t>
            </w:r>
          </w:p>
          <w:p w14:paraId="489500FD">
            <w:pPr>
              <w:numPr>
                <w:ilvl w:val="0"/>
                <w:numId w:val="33"/>
              </w:numPr>
              <w:rPr>
                <w:rFonts w:hint="eastAsia" w:ascii="宋体" w:hAnsi="宋体" w:eastAsia="宋体" w:cs="宋体"/>
                <w:sz w:val="21"/>
                <w:szCs w:val="21"/>
                <w:highlight w:val="none"/>
              </w:rPr>
            </w:pPr>
            <w:r>
              <w:rPr>
                <w:rFonts w:hint="eastAsia" w:ascii="宋体" w:hAnsi="宋体" w:eastAsia="宋体" w:cs="宋体"/>
                <w:sz w:val="21"/>
                <w:szCs w:val="21"/>
                <w:highlight w:val="none"/>
              </w:rPr>
              <w:t>积分设置</w:t>
            </w:r>
          </w:p>
          <w:p w14:paraId="340DBB0E">
            <w:pPr>
              <w:rPr>
                <w:rFonts w:hint="eastAsia" w:ascii="宋体" w:hAnsi="宋体" w:eastAsia="宋体" w:cs="宋体"/>
                <w:sz w:val="21"/>
                <w:szCs w:val="21"/>
                <w:highlight w:val="none"/>
              </w:rPr>
            </w:pPr>
            <w:r>
              <w:rPr>
                <w:rFonts w:hint="eastAsia" w:ascii="宋体" w:hAnsi="宋体" w:eastAsia="宋体" w:cs="宋体"/>
                <w:sz w:val="21"/>
                <w:szCs w:val="21"/>
                <w:highlight w:val="none"/>
              </w:rPr>
              <w:t>可自定义查看项及积分规则。</w:t>
            </w:r>
          </w:p>
          <w:p w14:paraId="1A602102">
            <w:pPr>
              <w:numPr>
                <w:ilvl w:val="0"/>
                <w:numId w:val="29"/>
              </w:numPr>
              <w:rPr>
                <w:rFonts w:hint="eastAsia" w:ascii="宋体" w:hAnsi="宋体" w:eastAsia="宋体" w:cs="宋体"/>
                <w:sz w:val="21"/>
                <w:szCs w:val="21"/>
                <w:highlight w:val="none"/>
              </w:rPr>
            </w:pPr>
            <w:r>
              <w:rPr>
                <w:rFonts w:hint="eastAsia" w:ascii="宋体" w:hAnsi="宋体" w:eastAsia="宋体" w:cs="宋体"/>
                <w:sz w:val="21"/>
                <w:szCs w:val="21"/>
                <w:highlight w:val="none"/>
              </w:rPr>
              <w:t>学情分析</w:t>
            </w:r>
          </w:p>
          <w:p w14:paraId="191E5691">
            <w:pPr>
              <w:numPr>
                <w:ilvl w:val="0"/>
                <w:numId w:val="34"/>
              </w:numPr>
              <w:rPr>
                <w:rFonts w:hint="eastAsia" w:ascii="宋体" w:hAnsi="宋体" w:eastAsia="宋体" w:cs="宋体"/>
                <w:sz w:val="21"/>
                <w:szCs w:val="21"/>
                <w:highlight w:val="none"/>
              </w:rPr>
            </w:pPr>
            <w:r>
              <w:rPr>
                <w:rFonts w:hint="eastAsia" w:ascii="宋体" w:hAnsi="宋体" w:eastAsia="宋体" w:cs="宋体"/>
                <w:sz w:val="21"/>
                <w:szCs w:val="21"/>
                <w:highlight w:val="none"/>
              </w:rPr>
              <w:t>任务点分析</w:t>
            </w:r>
          </w:p>
          <w:p w14:paraId="3345455F">
            <w:pPr>
              <w:numPr>
                <w:ilvl w:val="0"/>
                <w:numId w:val="35"/>
              </w:numPr>
              <w:rPr>
                <w:rFonts w:hint="eastAsia" w:ascii="宋体" w:hAnsi="宋体" w:eastAsia="宋体" w:cs="宋体"/>
                <w:sz w:val="21"/>
                <w:szCs w:val="21"/>
                <w:highlight w:val="none"/>
              </w:rPr>
            </w:pPr>
            <w:r>
              <w:rPr>
                <w:rFonts w:hint="eastAsia" w:ascii="宋体" w:hAnsi="宋体" w:eastAsia="宋体" w:cs="宋体"/>
                <w:sz w:val="21"/>
                <w:szCs w:val="21"/>
                <w:highlight w:val="none"/>
              </w:rPr>
              <w:t>任务点完成情况</w:t>
            </w:r>
          </w:p>
          <w:p w14:paraId="0203357A">
            <w:pPr>
              <w:rPr>
                <w:rFonts w:hint="eastAsia" w:ascii="宋体" w:hAnsi="宋体" w:eastAsia="宋体" w:cs="宋体"/>
                <w:sz w:val="21"/>
                <w:szCs w:val="21"/>
                <w:highlight w:val="none"/>
              </w:rPr>
            </w:pPr>
            <w:r>
              <w:rPr>
                <w:rFonts w:hint="eastAsia" w:ascii="宋体" w:hAnsi="宋体" w:eastAsia="宋体" w:cs="宋体"/>
                <w:sz w:val="21"/>
                <w:szCs w:val="21"/>
                <w:highlight w:val="none"/>
              </w:rPr>
              <w:t>以趋势图的形式展示任务点完成数的变化趋势；按院系维度，以柱状图形式展示各院系的任务点完成数及排行情况；按课程维度，以柱状图形式展示各课程的任务点完成数及排行情况。</w:t>
            </w:r>
          </w:p>
          <w:p w14:paraId="76E4D6C6">
            <w:pPr>
              <w:numPr>
                <w:ilvl w:val="0"/>
                <w:numId w:val="35"/>
              </w:numPr>
              <w:rPr>
                <w:rFonts w:hint="eastAsia" w:ascii="宋体" w:hAnsi="宋体" w:eastAsia="宋体" w:cs="宋体"/>
                <w:sz w:val="21"/>
                <w:szCs w:val="21"/>
                <w:highlight w:val="none"/>
              </w:rPr>
            </w:pPr>
            <w:r>
              <w:rPr>
                <w:rFonts w:hint="eastAsia" w:ascii="宋体" w:hAnsi="宋体" w:eastAsia="宋体" w:cs="宋体"/>
                <w:sz w:val="21"/>
                <w:szCs w:val="21"/>
                <w:highlight w:val="none"/>
              </w:rPr>
              <w:t>任务点完成数TOP100学生、任务点完成数TOP100课程。</w:t>
            </w:r>
          </w:p>
          <w:p w14:paraId="3288511A">
            <w:pPr>
              <w:numPr>
                <w:ilvl w:val="0"/>
                <w:numId w:val="34"/>
              </w:numPr>
              <w:rPr>
                <w:rFonts w:hint="eastAsia" w:ascii="宋体" w:hAnsi="宋体" w:eastAsia="宋体" w:cs="宋体"/>
                <w:sz w:val="21"/>
                <w:szCs w:val="21"/>
                <w:highlight w:val="none"/>
              </w:rPr>
            </w:pPr>
            <w:r>
              <w:rPr>
                <w:rFonts w:hint="eastAsia" w:ascii="宋体" w:hAnsi="宋体" w:eastAsia="宋体" w:cs="宋体"/>
                <w:sz w:val="21"/>
                <w:szCs w:val="21"/>
                <w:highlight w:val="none"/>
              </w:rPr>
              <w:t>章节测验分析</w:t>
            </w:r>
          </w:p>
          <w:p w14:paraId="2593939F">
            <w:pPr>
              <w:numPr>
                <w:ilvl w:val="0"/>
                <w:numId w:val="36"/>
              </w:numPr>
              <w:rPr>
                <w:rFonts w:hint="eastAsia" w:ascii="宋体" w:hAnsi="宋体" w:eastAsia="宋体" w:cs="宋体"/>
                <w:sz w:val="21"/>
                <w:szCs w:val="21"/>
                <w:highlight w:val="none"/>
              </w:rPr>
            </w:pPr>
            <w:r>
              <w:rPr>
                <w:rFonts w:hint="eastAsia" w:ascii="宋体" w:hAnsi="宋体" w:eastAsia="宋体" w:cs="宋体"/>
                <w:sz w:val="21"/>
                <w:szCs w:val="21"/>
                <w:highlight w:val="none"/>
              </w:rPr>
              <w:t>数据概览</w:t>
            </w:r>
          </w:p>
          <w:p w14:paraId="67FB5849">
            <w:pPr>
              <w:rPr>
                <w:rFonts w:hint="eastAsia" w:ascii="宋体" w:hAnsi="宋体" w:eastAsia="宋体" w:cs="宋体"/>
                <w:sz w:val="21"/>
                <w:szCs w:val="21"/>
                <w:highlight w:val="none"/>
              </w:rPr>
            </w:pPr>
            <w:r>
              <w:rPr>
                <w:rFonts w:hint="eastAsia" w:ascii="宋体" w:hAnsi="宋体" w:eastAsia="宋体" w:cs="宋体"/>
                <w:sz w:val="21"/>
                <w:szCs w:val="21"/>
                <w:highlight w:val="none"/>
              </w:rPr>
              <w:t>章节测验已完成人次、章节测验平均分、章节测验及格率、章节测验优良率。</w:t>
            </w:r>
          </w:p>
          <w:p w14:paraId="0D38A7F7">
            <w:pPr>
              <w:numPr>
                <w:ilvl w:val="0"/>
                <w:numId w:val="36"/>
              </w:numPr>
              <w:rPr>
                <w:rFonts w:hint="eastAsia" w:ascii="宋体" w:hAnsi="宋体" w:eastAsia="宋体" w:cs="宋体"/>
                <w:sz w:val="21"/>
                <w:szCs w:val="21"/>
                <w:highlight w:val="none"/>
              </w:rPr>
            </w:pPr>
            <w:r>
              <w:rPr>
                <w:rFonts w:hint="eastAsia" w:ascii="宋体" w:hAnsi="宋体" w:eastAsia="宋体" w:cs="宋体"/>
                <w:sz w:val="21"/>
                <w:szCs w:val="21"/>
                <w:highlight w:val="none"/>
              </w:rPr>
              <w:t>章节测验完成情况</w:t>
            </w:r>
          </w:p>
          <w:p w14:paraId="2F03A1F8">
            <w:pPr>
              <w:rPr>
                <w:rFonts w:hint="eastAsia" w:ascii="宋体" w:hAnsi="宋体" w:eastAsia="宋体" w:cs="宋体"/>
                <w:sz w:val="21"/>
                <w:szCs w:val="21"/>
                <w:highlight w:val="none"/>
              </w:rPr>
            </w:pPr>
            <w:r>
              <w:rPr>
                <w:rFonts w:hint="eastAsia" w:ascii="宋体" w:hAnsi="宋体" w:eastAsia="宋体" w:cs="宋体"/>
                <w:sz w:val="21"/>
                <w:szCs w:val="21"/>
                <w:highlight w:val="none"/>
              </w:rPr>
              <w:t>以趋势图的形式展示章节测验完成数的变化趋势；按院系维度，以柱状图形式展示各院系的章节测验完成数及排行情况；按课程维度，以柱状图形式展示各课程的章节测验完成数及排行情况。</w:t>
            </w:r>
          </w:p>
          <w:p w14:paraId="4412751B">
            <w:pPr>
              <w:numPr>
                <w:ilvl w:val="0"/>
                <w:numId w:val="36"/>
              </w:numPr>
              <w:rPr>
                <w:rFonts w:hint="eastAsia" w:ascii="宋体" w:hAnsi="宋体" w:eastAsia="宋体" w:cs="宋体"/>
                <w:sz w:val="21"/>
                <w:szCs w:val="21"/>
                <w:highlight w:val="none"/>
              </w:rPr>
            </w:pPr>
            <w:r>
              <w:rPr>
                <w:rFonts w:hint="eastAsia" w:ascii="宋体" w:hAnsi="宋体" w:eastAsia="宋体" w:cs="宋体"/>
                <w:sz w:val="21"/>
                <w:szCs w:val="21"/>
                <w:highlight w:val="none"/>
              </w:rPr>
              <w:t>章节测验成绩情况</w:t>
            </w:r>
          </w:p>
          <w:p w14:paraId="3FC3BD1A">
            <w:pPr>
              <w:rPr>
                <w:rFonts w:hint="eastAsia" w:ascii="宋体" w:hAnsi="宋体" w:eastAsia="宋体" w:cs="宋体"/>
                <w:sz w:val="21"/>
                <w:szCs w:val="21"/>
                <w:highlight w:val="none"/>
              </w:rPr>
            </w:pPr>
            <w:r>
              <w:rPr>
                <w:rFonts w:hint="eastAsia" w:ascii="宋体" w:hAnsi="宋体" w:eastAsia="宋体" w:cs="宋体"/>
                <w:sz w:val="21"/>
                <w:szCs w:val="21"/>
                <w:highlight w:val="none"/>
              </w:rPr>
              <w:t>以柱形图的形式展示各分数区间学生人数分布情况；按院系维度，以柱形图形式展示各院系的章节测验平均分及排行情况；按课程维度，以柱形图形式展示各课程的章节测验平均分及排行情况任务点完成数章</w:t>
            </w:r>
          </w:p>
          <w:p w14:paraId="0E8AE474">
            <w:pPr>
              <w:numPr>
                <w:ilvl w:val="0"/>
                <w:numId w:val="36"/>
              </w:numPr>
              <w:rPr>
                <w:rFonts w:hint="eastAsia" w:ascii="宋体" w:hAnsi="宋体" w:eastAsia="宋体" w:cs="宋体"/>
                <w:sz w:val="21"/>
                <w:szCs w:val="21"/>
                <w:highlight w:val="none"/>
              </w:rPr>
            </w:pPr>
            <w:r>
              <w:rPr>
                <w:rFonts w:hint="eastAsia" w:ascii="宋体" w:hAnsi="宋体" w:eastAsia="宋体" w:cs="宋体"/>
                <w:sz w:val="21"/>
                <w:szCs w:val="21"/>
                <w:highlight w:val="none"/>
              </w:rPr>
              <w:t>节测验完成TOP100学生、章节测验成绩TOP100。</w:t>
            </w:r>
          </w:p>
          <w:p w14:paraId="4F89097B">
            <w:pPr>
              <w:numPr>
                <w:ilvl w:val="0"/>
                <w:numId w:val="34"/>
              </w:numPr>
              <w:rPr>
                <w:rFonts w:hint="eastAsia" w:ascii="宋体" w:hAnsi="宋体" w:eastAsia="宋体" w:cs="宋体"/>
                <w:sz w:val="21"/>
                <w:szCs w:val="21"/>
                <w:highlight w:val="none"/>
              </w:rPr>
            </w:pPr>
            <w:r>
              <w:rPr>
                <w:rFonts w:hint="eastAsia" w:ascii="宋体" w:hAnsi="宋体" w:eastAsia="宋体" w:cs="宋体"/>
                <w:sz w:val="21"/>
                <w:szCs w:val="21"/>
                <w:highlight w:val="none"/>
              </w:rPr>
              <w:t>课堂活动分析</w:t>
            </w:r>
          </w:p>
          <w:p w14:paraId="26C2B78C">
            <w:pPr>
              <w:numPr>
                <w:ilvl w:val="0"/>
                <w:numId w:val="37"/>
              </w:numPr>
              <w:rPr>
                <w:rFonts w:hint="eastAsia" w:ascii="宋体" w:hAnsi="宋体" w:eastAsia="宋体" w:cs="宋体"/>
                <w:sz w:val="21"/>
                <w:szCs w:val="21"/>
                <w:highlight w:val="none"/>
              </w:rPr>
            </w:pPr>
            <w:r>
              <w:rPr>
                <w:rFonts w:hint="eastAsia" w:ascii="宋体" w:hAnsi="宋体" w:eastAsia="宋体" w:cs="宋体"/>
                <w:sz w:val="21"/>
                <w:szCs w:val="21"/>
                <w:highlight w:val="none"/>
              </w:rPr>
              <w:t>课堂活动参与情况</w:t>
            </w:r>
          </w:p>
          <w:p w14:paraId="62E5C0E5">
            <w:pPr>
              <w:rPr>
                <w:rFonts w:hint="eastAsia" w:ascii="宋体" w:hAnsi="宋体" w:eastAsia="宋体" w:cs="宋体"/>
                <w:sz w:val="21"/>
                <w:szCs w:val="21"/>
                <w:highlight w:val="none"/>
              </w:rPr>
            </w:pPr>
            <w:r>
              <w:rPr>
                <w:rFonts w:hint="eastAsia" w:ascii="宋体" w:hAnsi="宋体" w:eastAsia="宋体" w:cs="宋体"/>
                <w:sz w:val="21"/>
                <w:szCs w:val="21"/>
                <w:highlight w:val="none"/>
              </w:rPr>
              <w:t>以饼状图形式展示各类型课堂活动的数量；以趋势图的形式展示课堂活动参与数的变化趋势。</w:t>
            </w:r>
          </w:p>
          <w:p w14:paraId="26E2F0EA">
            <w:pPr>
              <w:numPr>
                <w:ilvl w:val="0"/>
                <w:numId w:val="37"/>
              </w:numPr>
              <w:rPr>
                <w:rFonts w:hint="eastAsia" w:ascii="宋体" w:hAnsi="宋体" w:eastAsia="宋体" w:cs="宋体"/>
                <w:sz w:val="21"/>
                <w:szCs w:val="21"/>
                <w:highlight w:val="none"/>
              </w:rPr>
            </w:pPr>
            <w:r>
              <w:rPr>
                <w:rFonts w:hint="eastAsia" w:ascii="宋体" w:hAnsi="宋体" w:eastAsia="宋体" w:cs="宋体"/>
                <w:sz w:val="21"/>
                <w:szCs w:val="21"/>
                <w:highlight w:val="none"/>
              </w:rPr>
              <w:t>课堂活动参与排行</w:t>
            </w:r>
          </w:p>
          <w:p w14:paraId="18A5F295">
            <w:pPr>
              <w:rPr>
                <w:rFonts w:hint="eastAsia" w:ascii="宋体" w:hAnsi="宋体" w:eastAsia="宋体" w:cs="宋体"/>
                <w:sz w:val="21"/>
                <w:szCs w:val="21"/>
                <w:highlight w:val="none"/>
              </w:rPr>
            </w:pPr>
            <w:r>
              <w:rPr>
                <w:rFonts w:hint="eastAsia" w:ascii="宋体" w:hAnsi="宋体" w:eastAsia="宋体" w:cs="宋体"/>
                <w:sz w:val="21"/>
                <w:szCs w:val="21"/>
                <w:highlight w:val="none"/>
              </w:rPr>
              <w:t>按院系维度，以柱状图形式展示各院系各类型课堂活动发布数及排行情况。</w:t>
            </w:r>
          </w:p>
          <w:p w14:paraId="655E7634">
            <w:pPr>
              <w:numPr>
                <w:ilvl w:val="0"/>
                <w:numId w:val="37"/>
              </w:numPr>
              <w:rPr>
                <w:rFonts w:hint="eastAsia" w:ascii="宋体" w:hAnsi="宋体" w:eastAsia="宋体" w:cs="宋体"/>
                <w:sz w:val="21"/>
                <w:szCs w:val="21"/>
                <w:highlight w:val="none"/>
              </w:rPr>
            </w:pPr>
            <w:r>
              <w:rPr>
                <w:rFonts w:hint="eastAsia" w:ascii="宋体" w:hAnsi="宋体" w:eastAsia="宋体" w:cs="宋体"/>
                <w:sz w:val="21"/>
                <w:szCs w:val="21"/>
                <w:highlight w:val="none"/>
              </w:rPr>
              <w:t>课堂活动TOP100课程、课堂活动TOP100班级。</w:t>
            </w:r>
          </w:p>
          <w:p w14:paraId="4D1F9037">
            <w:pPr>
              <w:numPr>
                <w:ilvl w:val="0"/>
                <w:numId w:val="34"/>
              </w:numPr>
              <w:rPr>
                <w:rFonts w:hint="eastAsia" w:ascii="宋体" w:hAnsi="宋体" w:eastAsia="宋体" w:cs="宋体"/>
                <w:sz w:val="21"/>
                <w:szCs w:val="21"/>
                <w:highlight w:val="none"/>
              </w:rPr>
            </w:pPr>
            <w:r>
              <w:rPr>
                <w:rFonts w:hint="eastAsia" w:ascii="宋体" w:hAnsi="宋体" w:eastAsia="宋体" w:cs="宋体"/>
                <w:sz w:val="21"/>
                <w:szCs w:val="21"/>
                <w:highlight w:val="none"/>
              </w:rPr>
              <w:t>作业分析</w:t>
            </w:r>
          </w:p>
          <w:p w14:paraId="77D9F1DF">
            <w:pPr>
              <w:numPr>
                <w:ilvl w:val="0"/>
                <w:numId w:val="38"/>
              </w:numPr>
              <w:rPr>
                <w:rFonts w:hint="eastAsia" w:ascii="宋体" w:hAnsi="宋体" w:eastAsia="宋体" w:cs="宋体"/>
                <w:sz w:val="21"/>
                <w:szCs w:val="21"/>
                <w:highlight w:val="none"/>
              </w:rPr>
            </w:pPr>
            <w:r>
              <w:rPr>
                <w:rFonts w:hint="eastAsia" w:ascii="宋体" w:hAnsi="宋体" w:eastAsia="宋体" w:cs="宋体"/>
                <w:sz w:val="21"/>
                <w:szCs w:val="21"/>
                <w:highlight w:val="none"/>
              </w:rPr>
              <w:t>数据概况</w:t>
            </w:r>
          </w:p>
          <w:p w14:paraId="4D80F9B3">
            <w:pPr>
              <w:rPr>
                <w:rFonts w:hint="eastAsia" w:ascii="宋体" w:hAnsi="宋体" w:eastAsia="宋体" w:cs="宋体"/>
                <w:sz w:val="21"/>
                <w:szCs w:val="21"/>
                <w:highlight w:val="none"/>
              </w:rPr>
            </w:pPr>
            <w:r>
              <w:rPr>
                <w:rFonts w:hint="eastAsia" w:ascii="宋体" w:hAnsi="宋体" w:eastAsia="宋体" w:cs="宋体"/>
                <w:sz w:val="21"/>
                <w:szCs w:val="21"/>
                <w:highlight w:val="none"/>
              </w:rPr>
              <w:t>作业已完成人次、作业应完成人次、作业平均分、作业及格率、作业优良率。</w:t>
            </w:r>
          </w:p>
          <w:p w14:paraId="32CD51E0">
            <w:pPr>
              <w:numPr>
                <w:ilvl w:val="0"/>
                <w:numId w:val="38"/>
              </w:numPr>
              <w:rPr>
                <w:rFonts w:hint="eastAsia" w:ascii="宋体" w:hAnsi="宋体" w:eastAsia="宋体" w:cs="宋体"/>
                <w:sz w:val="21"/>
                <w:szCs w:val="21"/>
                <w:highlight w:val="none"/>
              </w:rPr>
            </w:pPr>
            <w:r>
              <w:rPr>
                <w:rFonts w:hint="eastAsia" w:ascii="宋体" w:hAnsi="宋体" w:eastAsia="宋体" w:cs="宋体"/>
                <w:sz w:val="21"/>
                <w:szCs w:val="21"/>
                <w:highlight w:val="none"/>
              </w:rPr>
              <w:t>作业完成情况</w:t>
            </w:r>
          </w:p>
          <w:p w14:paraId="515D14C1">
            <w:pPr>
              <w:rPr>
                <w:rFonts w:hint="eastAsia" w:ascii="宋体" w:hAnsi="宋体" w:eastAsia="宋体" w:cs="宋体"/>
                <w:sz w:val="21"/>
                <w:szCs w:val="21"/>
                <w:highlight w:val="none"/>
              </w:rPr>
            </w:pPr>
            <w:r>
              <w:rPr>
                <w:rFonts w:hint="eastAsia" w:ascii="宋体" w:hAnsi="宋体" w:eastAsia="宋体" w:cs="宋体"/>
                <w:sz w:val="21"/>
                <w:szCs w:val="21"/>
                <w:highlight w:val="none"/>
              </w:rPr>
              <w:t>以趋势图形式展示作业完成人次的变化趋势；按院系维度，以柱状图形式展示各院系的作业完成人次及排行情况；按课程维度，以柱状图形式展示各课程的作业完成人次及排行情况。</w:t>
            </w:r>
          </w:p>
          <w:p w14:paraId="7105A24E">
            <w:pPr>
              <w:numPr>
                <w:ilvl w:val="0"/>
                <w:numId w:val="38"/>
              </w:numPr>
              <w:rPr>
                <w:rFonts w:hint="eastAsia" w:ascii="宋体" w:hAnsi="宋体" w:eastAsia="宋体" w:cs="宋体"/>
                <w:sz w:val="21"/>
                <w:szCs w:val="21"/>
                <w:highlight w:val="none"/>
              </w:rPr>
            </w:pPr>
            <w:r>
              <w:rPr>
                <w:rFonts w:hint="eastAsia" w:ascii="宋体" w:hAnsi="宋体" w:eastAsia="宋体" w:cs="宋体"/>
                <w:sz w:val="21"/>
                <w:szCs w:val="21"/>
                <w:highlight w:val="none"/>
              </w:rPr>
              <w:t>作业成绩情况</w:t>
            </w:r>
          </w:p>
          <w:p w14:paraId="408C9FD6">
            <w:pPr>
              <w:rPr>
                <w:rFonts w:hint="eastAsia" w:ascii="宋体" w:hAnsi="宋体" w:eastAsia="宋体" w:cs="宋体"/>
                <w:sz w:val="21"/>
                <w:szCs w:val="21"/>
                <w:highlight w:val="none"/>
              </w:rPr>
            </w:pPr>
            <w:r>
              <w:rPr>
                <w:rFonts w:hint="eastAsia" w:ascii="宋体" w:hAnsi="宋体" w:eastAsia="宋体" w:cs="宋体"/>
                <w:sz w:val="21"/>
                <w:szCs w:val="21"/>
                <w:highlight w:val="none"/>
              </w:rPr>
              <w:t>以柱形图的形式展示各分数区间学生人数分布情况；按院系维度，以柱形图形式展示各院系的作业平均分及排行情况；按课程维度，以柱形图形式展示各课程的作业平均分及排行情况。</w:t>
            </w:r>
          </w:p>
          <w:p w14:paraId="4A7A235B">
            <w:pPr>
              <w:numPr>
                <w:ilvl w:val="0"/>
                <w:numId w:val="38"/>
              </w:numPr>
              <w:rPr>
                <w:rFonts w:hint="eastAsia" w:ascii="宋体" w:hAnsi="宋体" w:eastAsia="宋体" w:cs="宋体"/>
                <w:sz w:val="21"/>
                <w:szCs w:val="21"/>
                <w:highlight w:val="none"/>
              </w:rPr>
            </w:pPr>
            <w:r>
              <w:rPr>
                <w:rFonts w:hint="eastAsia" w:ascii="宋体" w:hAnsi="宋体" w:eastAsia="宋体" w:cs="宋体"/>
                <w:sz w:val="21"/>
                <w:szCs w:val="21"/>
                <w:highlight w:val="none"/>
              </w:rPr>
              <w:t>作业完成TOP100学生、作业成绩TOP100学生。</w:t>
            </w:r>
          </w:p>
          <w:p w14:paraId="45802DBC">
            <w:pPr>
              <w:numPr>
                <w:ilvl w:val="0"/>
                <w:numId w:val="34"/>
              </w:numPr>
              <w:rPr>
                <w:rFonts w:hint="eastAsia" w:ascii="宋体" w:hAnsi="宋体" w:eastAsia="宋体" w:cs="宋体"/>
                <w:sz w:val="21"/>
                <w:szCs w:val="21"/>
                <w:highlight w:val="none"/>
              </w:rPr>
            </w:pPr>
            <w:r>
              <w:rPr>
                <w:rFonts w:hint="eastAsia" w:ascii="宋体" w:hAnsi="宋体" w:eastAsia="宋体" w:cs="宋体"/>
                <w:sz w:val="21"/>
                <w:szCs w:val="21"/>
                <w:highlight w:val="none"/>
              </w:rPr>
              <w:t>考试分析</w:t>
            </w:r>
          </w:p>
          <w:p w14:paraId="1C783BF4">
            <w:pPr>
              <w:numPr>
                <w:ilvl w:val="0"/>
                <w:numId w:val="39"/>
              </w:numPr>
              <w:rPr>
                <w:rFonts w:hint="eastAsia" w:ascii="宋体" w:hAnsi="宋体" w:eastAsia="宋体" w:cs="宋体"/>
                <w:sz w:val="21"/>
                <w:szCs w:val="21"/>
                <w:highlight w:val="none"/>
              </w:rPr>
            </w:pPr>
            <w:r>
              <w:rPr>
                <w:rFonts w:hint="eastAsia" w:ascii="宋体" w:hAnsi="宋体" w:eastAsia="宋体" w:cs="宋体"/>
                <w:sz w:val="21"/>
                <w:szCs w:val="21"/>
                <w:highlight w:val="none"/>
              </w:rPr>
              <w:t>数据概况</w:t>
            </w:r>
          </w:p>
          <w:p w14:paraId="7C744020">
            <w:pPr>
              <w:rPr>
                <w:rFonts w:hint="eastAsia" w:ascii="宋体" w:hAnsi="宋体" w:eastAsia="宋体" w:cs="宋体"/>
                <w:sz w:val="21"/>
                <w:szCs w:val="21"/>
                <w:highlight w:val="none"/>
              </w:rPr>
            </w:pPr>
            <w:r>
              <w:rPr>
                <w:rFonts w:hint="eastAsia" w:ascii="宋体" w:hAnsi="宋体" w:eastAsia="宋体" w:cs="宋体"/>
                <w:sz w:val="21"/>
                <w:szCs w:val="21"/>
                <w:highlight w:val="none"/>
              </w:rPr>
              <w:t>考试已完成人次、考试应完成人次、考试平均分、考试及格率、考试优良率。</w:t>
            </w:r>
          </w:p>
          <w:p w14:paraId="244CD2F7">
            <w:pPr>
              <w:numPr>
                <w:ilvl w:val="0"/>
                <w:numId w:val="39"/>
              </w:numPr>
              <w:rPr>
                <w:rFonts w:hint="eastAsia" w:ascii="宋体" w:hAnsi="宋体" w:eastAsia="宋体" w:cs="宋体"/>
                <w:sz w:val="21"/>
                <w:szCs w:val="21"/>
                <w:highlight w:val="none"/>
              </w:rPr>
            </w:pPr>
            <w:r>
              <w:rPr>
                <w:rFonts w:hint="eastAsia" w:ascii="宋体" w:hAnsi="宋体" w:eastAsia="宋体" w:cs="宋体"/>
                <w:sz w:val="21"/>
                <w:szCs w:val="21"/>
                <w:highlight w:val="none"/>
              </w:rPr>
              <w:t>考试完成情况</w:t>
            </w:r>
          </w:p>
          <w:p w14:paraId="13606E53">
            <w:pPr>
              <w:rPr>
                <w:rFonts w:hint="eastAsia" w:ascii="宋体" w:hAnsi="宋体" w:eastAsia="宋体" w:cs="宋体"/>
                <w:sz w:val="21"/>
                <w:szCs w:val="21"/>
                <w:highlight w:val="none"/>
              </w:rPr>
            </w:pPr>
            <w:r>
              <w:rPr>
                <w:rFonts w:hint="eastAsia" w:ascii="宋体" w:hAnsi="宋体" w:eastAsia="宋体" w:cs="宋体"/>
                <w:sz w:val="21"/>
                <w:szCs w:val="21"/>
                <w:highlight w:val="none"/>
              </w:rPr>
              <w:t>以趋势图形式展示考试完成人次的变化趋势；按院系维度，以柱状图形式展示各院系的考试完成人次及排行情况；按课程维度，以柱状图形式展示各课程的考试完成人次及排行情况。</w:t>
            </w:r>
          </w:p>
          <w:p w14:paraId="0ADB858D">
            <w:pPr>
              <w:numPr>
                <w:ilvl w:val="0"/>
                <w:numId w:val="39"/>
              </w:numPr>
              <w:rPr>
                <w:rFonts w:hint="eastAsia" w:ascii="宋体" w:hAnsi="宋体" w:eastAsia="宋体" w:cs="宋体"/>
                <w:sz w:val="21"/>
                <w:szCs w:val="21"/>
                <w:highlight w:val="none"/>
              </w:rPr>
            </w:pPr>
            <w:r>
              <w:rPr>
                <w:rFonts w:hint="eastAsia" w:ascii="宋体" w:hAnsi="宋体" w:eastAsia="宋体" w:cs="宋体"/>
                <w:sz w:val="21"/>
                <w:szCs w:val="21"/>
                <w:highlight w:val="none"/>
              </w:rPr>
              <w:t>考试成绩情况</w:t>
            </w:r>
          </w:p>
          <w:p w14:paraId="27950D55">
            <w:pPr>
              <w:rPr>
                <w:rFonts w:hint="eastAsia" w:ascii="宋体" w:hAnsi="宋体" w:eastAsia="宋体" w:cs="宋体"/>
                <w:sz w:val="21"/>
                <w:szCs w:val="21"/>
                <w:highlight w:val="none"/>
              </w:rPr>
            </w:pPr>
            <w:r>
              <w:rPr>
                <w:rFonts w:hint="eastAsia" w:ascii="宋体" w:hAnsi="宋体" w:eastAsia="宋体" w:cs="宋体"/>
                <w:sz w:val="21"/>
                <w:szCs w:val="21"/>
                <w:highlight w:val="none"/>
              </w:rPr>
              <w:t>以柱形图的形式展示各分数区间学生人数分布情况；按院系维度，以柱形图形式展示各院系的考试平均分及排行情况；按课程维度，以柱形图形式展示各课程的考试平均分及排行情况。</w:t>
            </w:r>
          </w:p>
          <w:p w14:paraId="16AF4488">
            <w:pPr>
              <w:numPr>
                <w:ilvl w:val="0"/>
                <w:numId w:val="39"/>
              </w:numPr>
              <w:rPr>
                <w:rFonts w:hint="eastAsia" w:ascii="宋体" w:hAnsi="宋体" w:eastAsia="宋体" w:cs="宋体"/>
                <w:sz w:val="21"/>
                <w:szCs w:val="21"/>
                <w:highlight w:val="none"/>
              </w:rPr>
            </w:pPr>
            <w:r>
              <w:rPr>
                <w:rFonts w:hint="eastAsia" w:ascii="宋体" w:hAnsi="宋体" w:eastAsia="宋体" w:cs="宋体"/>
                <w:sz w:val="21"/>
                <w:szCs w:val="21"/>
                <w:highlight w:val="none"/>
              </w:rPr>
              <w:t>考试完成TOP100学生、考试成绩TOP100学生。</w:t>
            </w:r>
          </w:p>
          <w:p w14:paraId="7D3E1944">
            <w:pPr>
              <w:numPr>
                <w:ilvl w:val="0"/>
                <w:numId w:val="34"/>
              </w:numPr>
              <w:rPr>
                <w:rFonts w:hint="eastAsia" w:ascii="宋体" w:hAnsi="宋体" w:eastAsia="宋体" w:cs="宋体"/>
                <w:sz w:val="21"/>
                <w:szCs w:val="21"/>
                <w:highlight w:val="none"/>
              </w:rPr>
            </w:pPr>
            <w:r>
              <w:rPr>
                <w:rFonts w:hint="eastAsia" w:ascii="宋体" w:hAnsi="宋体" w:eastAsia="宋体" w:cs="宋体"/>
                <w:sz w:val="21"/>
                <w:szCs w:val="21"/>
                <w:highlight w:val="none"/>
              </w:rPr>
              <w:t>互动讨论分析</w:t>
            </w:r>
          </w:p>
          <w:p w14:paraId="41BDD473">
            <w:pPr>
              <w:numPr>
                <w:ilvl w:val="0"/>
                <w:numId w:val="40"/>
              </w:numPr>
              <w:rPr>
                <w:rFonts w:hint="eastAsia" w:ascii="宋体" w:hAnsi="宋体" w:eastAsia="宋体" w:cs="宋体"/>
                <w:sz w:val="21"/>
                <w:szCs w:val="21"/>
                <w:highlight w:val="none"/>
              </w:rPr>
            </w:pPr>
            <w:r>
              <w:rPr>
                <w:rFonts w:hint="eastAsia" w:ascii="宋体" w:hAnsi="宋体" w:eastAsia="宋体" w:cs="宋体"/>
                <w:sz w:val="21"/>
                <w:szCs w:val="21"/>
                <w:highlight w:val="none"/>
              </w:rPr>
              <w:t>互动讨论趋势</w:t>
            </w:r>
          </w:p>
          <w:p w14:paraId="4E58507B">
            <w:pPr>
              <w:rPr>
                <w:rFonts w:hint="eastAsia" w:ascii="宋体" w:hAnsi="宋体" w:eastAsia="宋体" w:cs="宋体"/>
                <w:sz w:val="21"/>
                <w:szCs w:val="21"/>
                <w:highlight w:val="none"/>
              </w:rPr>
            </w:pPr>
            <w:r>
              <w:rPr>
                <w:rFonts w:hint="eastAsia" w:ascii="宋体" w:hAnsi="宋体" w:eastAsia="宋体" w:cs="宋体"/>
                <w:sz w:val="21"/>
                <w:szCs w:val="21"/>
                <w:highlight w:val="none"/>
              </w:rPr>
              <w:t>以趋势图形式展示互动讨论数的变化趋势。</w:t>
            </w:r>
          </w:p>
          <w:p w14:paraId="57A7E76A">
            <w:pPr>
              <w:numPr>
                <w:ilvl w:val="0"/>
                <w:numId w:val="40"/>
              </w:numPr>
              <w:rPr>
                <w:rFonts w:hint="eastAsia" w:ascii="宋体" w:hAnsi="宋体" w:eastAsia="宋体" w:cs="宋体"/>
                <w:sz w:val="21"/>
                <w:szCs w:val="21"/>
                <w:highlight w:val="none"/>
              </w:rPr>
            </w:pPr>
            <w:r>
              <w:rPr>
                <w:rFonts w:hint="eastAsia" w:ascii="宋体" w:hAnsi="宋体" w:eastAsia="宋体" w:cs="宋体"/>
                <w:sz w:val="21"/>
                <w:szCs w:val="21"/>
                <w:highlight w:val="none"/>
              </w:rPr>
              <w:t>互动讨论排行情况</w:t>
            </w:r>
          </w:p>
          <w:p w14:paraId="141E8125">
            <w:pPr>
              <w:rPr>
                <w:rFonts w:hint="eastAsia" w:ascii="宋体" w:hAnsi="宋体" w:eastAsia="宋体" w:cs="宋体"/>
                <w:sz w:val="21"/>
                <w:szCs w:val="21"/>
                <w:highlight w:val="none"/>
              </w:rPr>
            </w:pPr>
            <w:r>
              <w:rPr>
                <w:rFonts w:hint="eastAsia" w:ascii="宋体" w:hAnsi="宋体" w:eastAsia="宋体" w:cs="宋体"/>
                <w:sz w:val="21"/>
                <w:szCs w:val="21"/>
                <w:highlight w:val="none"/>
              </w:rPr>
              <w:t>按院系维度，以柱状图的形式展示各院系的发帖数、回帖数及排行情况；按教学班维度，以柱状图的形式展示各教学班的发帖数、回帖数及排行情况。</w:t>
            </w:r>
          </w:p>
          <w:p w14:paraId="0C9C8C8D">
            <w:pPr>
              <w:numPr>
                <w:ilvl w:val="0"/>
                <w:numId w:val="40"/>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学生发帖数TOP100、学生回帖数TOP100。</w:t>
            </w:r>
          </w:p>
          <w:p w14:paraId="0CDF0067">
            <w:pPr>
              <w:numPr>
                <w:ilvl w:val="0"/>
                <w:numId w:val="34"/>
              </w:numPr>
              <w:rPr>
                <w:rFonts w:hint="eastAsia" w:ascii="宋体" w:hAnsi="宋体" w:eastAsia="宋体" w:cs="宋体"/>
                <w:sz w:val="21"/>
                <w:szCs w:val="21"/>
                <w:highlight w:val="none"/>
              </w:rPr>
            </w:pPr>
            <w:r>
              <w:rPr>
                <w:rFonts w:hint="eastAsia" w:ascii="宋体" w:hAnsi="宋体" w:eastAsia="宋体" w:cs="宋体"/>
                <w:sz w:val="21"/>
                <w:szCs w:val="21"/>
                <w:highlight w:val="none"/>
              </w:rPr>
              <w:t>过程考核分析</w:t>
            </w:r>
          </w:p>
          <w:p w14:paraId="28CCBC46">
            <w:pPr>
              <w:rPr>
                <w:rFonts w:hint="eastAsia" w:ascii="宋体" w:hAnsi="宋体" w:eastAsia="宋体" w:cs="宋体"/>
                <w:sz w:val="21"/>
                <w:szCs w:val="21"/>
                <w:highlight w:val="none"/>
              </w:rPr>
            </w:pPr>
            <w:r>
              <w:rPr>
                <w:rFonts w:hint="eastAsia" w:ascii="宋体" w:hAnsi="宋体" w:eastAsia="宋体" w:cs="宋体"/>
                <w:sz w:val="21"/>
                <w:szCs w:val="21"/>
                <w:highlight w:val="none"/>
              </w:rPr>
              <w:t>以柱状图的形式展示各分数区间学生人数分布情况；按院系维度，以柱形图形式展示各院系的过程考核平均分及排行情况；按课程维度，以柱形图形式展示各课程的过程考核平均分及排行情况。</w:t>
            </w:r>
          </w:p>
          <w:p w14:paraId="3D15C5FF">
            <w:pPr>
              <w:numPr>
                <w:ilvl w:val="0"/>
                <w:numId w:val="29"/>
              </w:numPr>
              <w:rPr>
                <w:rFonts w:hint="eastAsia" w:ascii="宋体" w:hAnsi="宋体" w:eastAsia="宋体" w:cs="宋体"/>
                <w:sz w:val="21"/>
                <w:szCs w:val="21"/>
                <w:highlight w:val="none"/>
              </w:rPr>
            </w:pPr>
            <w:r>
              <w:rPr>
                <w:rFonts w:hint="eastAsia" w:ascii="宋体" w:hAnsi="宋体" w:eastAsia="宋体" w:cs="宋体"/>
                <w:sz w:val="21"/>
                <w:szCs w:val="21"/>
                <w:highlight w:val="none"/>
              </w:rPr>
              <w:t>出勤分析</w:t>
            </w:r>
          </w:p>
          <w:p w14:paraId="218EA43D">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展示全校平均到课率 学生应签到总数、完成签到人次、学生整体出勤情况、今日上课班级出勤率、各院系学生出勤率排行、院系学生签到异常监测等。</w:t>
            </w:r>
          </w:p>
          <w:p w14:paraId="1838020F">
            <w:pPr>
              <w:numPr>
                <w:ilvl w:val="0"/>
                <w:numId w:val="29"/>
              </w:numPr>
              <w:rPr>
                <w:rFonts w:hint="eastAsia" w:ascii="宋体" w:hAnsi="宋体" w:eastAsia="宋体" w:cs="宋体"/>
                <w:sz w:val="21"/>
                <w:szCs w:val="21"/>
                <w:highlight w:val="none"/>
              </w:rPr>
            </w:pPr>
            <w:r>
              <w:rPr>
                <w:rFonts w:hint="eastAsia" w:ascii="宋体" w:hAnsi="宋体" w:eastAsia="宋体" w:cs="宋体"/>
                <w:sz w:val="21"/>
                <w:szCs w:val="21"/>
                <w:highlight w:val="none"/>
              </w:rPr>
              <w:t>资源建设</w:t>
            </w:r>
          </w:p>
          <w:p w14:paraId="76AED475">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▲展示上传资源总量、创建题目数、创建作业数、创建试卷数、资源上传趋势图、各类型资源上传量、各类型题目创建量等。</w:t>
            </w:r>
          </w:p>
          <w:p w14:paraId="3435035F">
            <w:pPr>
              <w:numPr>
                <w:ilvl w:val="0"/>
                <w:numId w:val="29"/>
              </w:numPr>
              <w:rPr>
                <w:rFonts w:hint="eastAsia" w:ascii="宋体" w:hAnsi="宋体" w:eastAsia="宋体" w:cs="宋体"/>
                <w:sz w:val="21"/>
                <w:szCs w:val="21"/>
                <w:highlight w:val="none"/>
              </w:rPr>
            </w:pPr>
            <w:r>
              <w:rPr>
                <w:rFonts w:hint="eastAsia" w:ascii="宋体" w:hAnsi="宋体" w:eastAsia="宋体" w:cs="宋体"/>
                <w:sz w:val="21"/>
                <w:szCs w:val="21"/>
                <w:highlight w:val="none"/>
              </w:rPr>
              <w:t>用户画像</w:t>
            </w:r>
          </w:p>
          <w:p w14:paraId="7CB9D79D">
            <w:pPr>
              <w:numPr>
                <w:ilvl w:val="0"/>
                <w:numId w:val="41"/>
              </w:numPr>
              <w:rPr>
                <w:rFonts w:hint="eastAsia" w:ascii="宋体" w:hAnsi="宋体" w:eastAsia="宋体" w:cs="宋体"/>
                <w:sz w:val="21"/>
                <w:szCs w:val="21"/>
                <w:highlight w:val="none"/>
              </w:rPr>
            </w:pPr>
            <w:r>
              <w:rPr>
                <w:rFonts w:hint="eastAsia" w:ascii="宋体" w:hAnsi="宋体" w:eastAsia="宋体" w:cs="宋体"/>
                <w:sz w:val="21"/>
                <w:szCs w:val="21"/>
                <w:highlight w:val="none"/>
              </w:rPr>
              <w:t>全校画像</w:t>
            </w:r>
          </w:p>
          <w:p w14:paraId="6813B4DC">
            <w:pPr>
              <w:rPr>
                <w:rFonts w:hint="eastAsia" w:ascii="宋体" w:hAnsi="宋体" w:eastAsia="宋体" w:cs="宋体"/>
                <w:sz w:val="21"/>
                <w:szCs w:val="21"/>
                <w:highlight w:val="none"/>
              </w:rPr>
            </w:pPr>
            <w:r>
              <w:rPr>
                <w:rFonts w:hint="eastAsia" w:ascii="宋体" w:hAnsi="宋体" w:eastAsia="宋体" w:cs="宋体"/>
                <w:sz w:val="21"/>
                <w:szCs w:val="21"/>
                <w:highlight w:val="none"/>
              </w:rPr>
              <w:t>以教师、学生、课程三个维度，展示全校整体数据，把标准抽象的画像用图表和标签展示，把数据具体化，把各个数据量清晰</w:t>
            </w:r>
            <w:r>
              <w:rPr>
                <w:rFonts w:hint="eastAsia" w:ascii="宋体" w:hAnsi="宋体" w:eastAsia="宋体" w:cs="宋体"/>
                <w:sz w:val="21"/>
                <w:szCs w:val="21"/>
                <w:highlight w:val="none"/>
                <w:lang w:eastAsia="zh-CN"/>
              </w:rPr>
              <w:t>地</w:t>
            </w:r>
            <w:r>
              <w:rPr>
                <w:rFonts w:hint="eastAsia" w:ascii="宋体" w:hAnsi="宋体" w:eastAsia="宋体" w:cs="宋体"/>
                <w:sz w:val="21"/>
                <w:szCs w:val="21"/>
                <w:highlight w:val="none"/>
              </w:rPr>
              <w:t>展示出来，进而反映出全校的整体情况。</w:t>
            </w:r>
          </w:p>
          <w:p w14:paraId="71A054CE">
            <w:pPr>
              <w:numPr>
                <w:ilvl w:val="0"/>
                <w:numId w:val="41"/>
              </w:numPr>
              <w:rPr>
                <w:rFonts w:hint="eastAsia" w:ascii="宋体" w:hAnsi="宋体" w:eastAsia="宋体" w:cs="宋体"/>
                <w:sz w:val="21"/>
                <w:szCs w:val="21"/>
                <w:highlight w:val="none"/>
              </w:rPr>
            </w:pPr>
            <w:r>
              <w:rPr>
                <w:rFonts w:hint="eastAsia" w:ascii="宋体" w:hAnsi="宋体" w:eastAsia="宋体" w:cs="宋体"/>
                <w:sz w:val="21"/>
                <w:szCs w:val="21"/>
                <w:highlight w:val="none"/>
              </w:rPr>
              <w:t>院系画像</w:t>
            </w:r>
          </w:p>
          <w:p w14:paraId="42FB1974">
            <w:pPr>
              <w:numPr>
                <w:ilvl w:val="0"/>
                <w:numId w:val="42"/>
              </w:numPr>
              <w:rPr>
                <w:rFonts w:hint="eastAsia" w:ascii="宋体" w:hAnsi="宋体" w:eastAsia="宋体" w:cs="宋体"/>
                <w:sz w:val="21"/>
                <w:szCs w:val="21"/>
                <w:highlight w:val="none"/>
              </w:rPr>
            </w:pPr>
            <w:r>
              <w:rPr>
                <w:rFonts w:hint="eastAsia" w:ascii="宋体" w:hAnsi="宋体" w:eastAsia="宋体" w:cs="宋体"/>
                <w:sz w:val="21"/>
                <w:szCs w:val="21"/>
                <w:highlight w:val="none"/>
              </w:rPr>
              <w:t>根据管理者的管理范围，可看到对应院系画像。</w:t>
            </w:r>
          </w:p>
          <w:p w14:paraId="1B825002">
            <w:pPr>
              <w:numPr>
                <w:ilvl w:val="0"/>
                <w:numId w:val="42"/>
              </w:numPr>
              <w:rPr>
                <w:rFonts w:hint="eastAsia" w:ascii="宋体" w:hAnsi="宋体" w:eastAsia="宋体" w:cs="宋体"/>
                <w:sz w:val="21"/>
                <w:szCs w:val="21"/>
                <w:highlight w:val="none"/>
              </w:rPr>
            </w:pPr>
            <w:r>
              <w:rPr>
                <w:rFonts w:hint="eastAsia" w:ascii="宋体" w:hAnsi="宋体" w:eastAsia="宋体" w:cs="宋体"/>
                <w:sz w:val="21"/>
                <w:szCs w:val="21"/>
                <w:highlight w:val="none"/>
              </w:rPr>
              <w:t>院系画像由教师、学生、课程三个维度显示，展示院系维度的教师、学生、课程情况。</w:t>
            </w:r>
          </w:p>
          <w:p w14:paraId="774C392D">
            <w:pPr>
              <w:numPr>
                <w:ilvl w:val="0"/>
                <w:numId w:val="41"/>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教师画像</w:t>
            </w:r>
          </w:p>
          <w:p w14:paraId="6F876BFB">
            <w:pPr>
              <w:numPr>
                <w:ilvl w:val="0"/>
                <w:numId w:val="43"/>
              </w:numPr>
              <w:rPr>
                <w:rFonts w:hint="eastAsia" w:ascii="宋体" w:hAnsi="宋体" w:eastAsia="宋体" w:cs="宋体"/>
                <w:sz w:val="21"/>
                <w:szCs w:val="21"/>
                <w:highlight w:val="none"/>
              </w:rPr>
            </w:pPr>
            <w:r>
              <w:rPr>
                <w:rFonts w:hint="eastAsia" w:ascii="宋体" w:hAnsi="宋体" w:eastAsia="宋体" w:cs="宋体"/>
                <w:sz w:val="21"/>
                <w:szCs w:val="21"/>
                <w:highlight w:val="none"/>
              </w:rPr>
              <w:t>展示全校教师情况，画像上方有不同学期和累计数据的切换选择，还可进入具体的学生列表当中。</w:t>
            </w:r>
          </w:p>
          <w:p w14:paraId="43454642">
            <w:pPr>
              <w:numPr>
                <w:ilvl w:val="0"/>
                <w:numId w:val="43"/>
              </w:numPr>
              <w:rPr>
                <w:rFonts w:hint="eastAsia" w:ascii="宋体" w:hAnsi="宋体" w:eastAsia="宋体" w:cs="宋体"/>
                <w:sz w:val="21"/>
                <w:szCs w:val="21"/>
                <w:highlight w:val="none"/>
              </w:rPr>
            </w:pPr>
            <w:r>
              <w:rPr>
                <w:rFonts w:hint="eastAsia" w:ascii="宋体" w:hAnsi="宋体" w:eastAsia="宋体" w:cs="宋体"/>
                <w:sz w:val="21"/>
                <w:szCs w:val="21"/>
                <w:highlight w:val="none"/>
              </w:rPr>
              <w:t>全校教师画像的头部通过标签、雷达图等展示整体教师的情况。画像底部，以教师活动类型top5、上线教师人数趋势图、课堂互动发布排行、各类型资源上传量、综合成绩、在线总时长分布、教师综合得分top100来展示整体课况。</w:t>
            </w:r>
          </w:p>
          <w:p w14:paraId="7338B633">
            <w:pPr>
              <w:numPr>
                <w:ilvl w:val="0"/>
                <w:numId w:val="43"/>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教师画像以教师活动数和综合指标为指标进行展示，可进入到</w:t>
            </w:r>
            <w:r>
              <w:rPr>
                <w:rFonts w:hint="eastAsia" w:ascii="宋体" w:hAnsi="宋体" w:eastAsia="宋体" w:cs="宋体"/>
                <w:sz w:val="21"/>
                <w:szCs w:val="21"/>
                <w:highlight w:val="none"/>
                <w:lang w:val="en-US" w:eastAsia="zh-CN"/>
              </w:rPr>
              <w:t>任一</w:t>
            </w:r>
            <w:r>
              <w:rPr>
                <w:rFonts w:hint="eastAsia" w:ascii="宋体" w:hAnsi="宋体" w:eastAsia="宋体" w:cs="宋体"/>
                <w:sz w:val="21"/>
                <w:szCs w:val="21"/>
                <w:highlight w:val="none"/>
              </w:rPr>
              <w:t>教师的</w:t>
            </w:r>
            <w:r>
              <w:rPr>
                <w:rFonts w:hint="eastAsia" w:ascii="宋体" w:hAnsi="宋体" w:eastAsia="宋体" w:cs="宋体"/>
                <w:sz w:val="21"/>
                <w:szCs w:val="21"/>
                <w:highlight w:val="none"/>
                <w:lang w:val="en-US" w:eastAsia="zh-CN"/>
              </w:rPr>
              <w:t>个人</w:t>
            </w:r>
            <w:r>
              <w:rPr>
                <w:rFonts w:hint="eastAsia" w:ascii="宋体" w:hAnsi="宋体" w:eastAsia="宋体" w:cs="宋体"/>
                <w:sz w:val="21"/>
                <w:szCs w:val="21"/>
                <w:highlight w:val="none"/>
              </w:rPr>
              <w:t>画像。</w:t>
            </w:r>
          </w:p>
          <w:p w14:paraId="09ED1FDC">
            <w:pPr>
              <w:numPr>
                <w:ilvl w:val="0"/>
                <w:numId w:val="43"/>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个人画像头部分为三部分，第一部分是教师的标签与个人信息，第二部分是平台教师评比等级、第三部分是教师雷达图分为六个维度（发布任务、资源建设、在线时长、学生成绩、平台活跃度、课堂活动）展示教师的综合情况。画像底部分为四个板块展示，所教课程、基础数据、教学分析、教学轨迹。</w:t>
            </w:r>
          </w:p>
          <w:p w14:paraId="3B5DB708">
            <w:pPr>
              <w:numPr>
                <w:ilvl w:val="0"/>
                <w:numId w:val="41"/>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学生画像</w:t>
            </w:r>
          </w:p>
          <w:p w14:paraId="11CC95A1">
            <w:pPr>
              <w:numPr>
                <w:ilvl w:val="0"/>
                <w:numId w:val="44"/>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学生画像展示整体学生情况，画像有不同学期和累计数据的切换选择，还可进入具体的学生列表当中。</w:t>
            </w:r>
          </w:p>
          <w:p w14:paraId="77CC66FB">
            <w:pPr>
              <w:numPr>
                <w:ilvl w:val="0"/>
                <w:numId w:val="44"/>
              </w:numPr>
              <w:rPr>
                <w:rFonts w:hint="eastAsia" w:ascii="宋体" w:hAnsi="宋体" w:eastAsia="宋体" w:cs="宋体"/>
                <w:sz w:val="21"/>
                <w:szCs w:val="21"/>
                <w:highlight w:val="none"/>
              </w:rPr>
            </w:pPr>
            <w:r>
              <w:rPr>
                <w:rFonts w:hint="eastAsia" w:ascii="宋体" w:hAnsi="宋体" w:eastAsia="宋体" w:cs="宋体"/>
                <w:sz w:val="21"/>
                <w:szCs w:val="21"/>
                <w:highlight w:val="none"/>
              </w:rPr>
              <w:t>全校学生画像的头部通过标签、雷达图等展示整体学生的情况。画像底部，以学生活动类型top5、上线学生人数趋势图、签到率、学习完成率、课堂活动参与排行、全校学生综合成绩、学生综合表现top100来展示整体课程情况。</w:t>
            </w:r>
          </w:p>
          <w:p w14:paraId="4EE51745">
            <w:pPr>
              <w:numPr>
                <w:ilvl w:val="0"/>
                <w:numId w:val="44"/>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学生画像以学生活动数和综合表现为指标进行展示，可</w:t>
            </w:r>
            <w:r>
              <w:rPr>
                <w:rFonts w:hint="eastAsia" w:ascii="宋体" w:hAnsi="宋体" w:eastAsia="宋体" w:cs="宋体"/>
                <w:sz w:val="21"/>
                <w:szCs w:val="21"/>
                <w:highlight w:val="none"/>
                <w:lang w:eastAsia="zh-CN"/>
              </w:rPr>
              <w:t>进入</w:t>
            </w:r>
            <w:r>
              <w:rPr>
                <w:rFonts w:hint="eastAsia" w:ascii="宋体" w:hAnsi="宋体" w:eastAsia="宋体" w:cs="宋体"/>
                <w:sz w:val="21"/>
                <w:szCs w:val="21"/>
                <w:highlight w:val="none"/>
              </w:rPr>
              <w:t>该学生的学生画像。</w:t>
            </w:r>
          </w:p>
          <w:p w14:paraId="6375639B">
            <w:pPr>
              <w:numPr>
                <w:ilvl w:val="0"/>
                <w:numId w:val="44"/>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个人画像头部分为三部分展示，第一部分是学生的标签与个人信息，第二部分是平台学生表现等级、第三部分是学生雷达图分为六个维度（自主学习、到课率、学习完成率、学习成绩、平台活跃度、学生成绩）展示课程的综合情况。画像中间部分展示学生成绩趋势图。画像底部分为四个板块展示，所学课程、基础数据、学习分析、学生轨迹。</w:t>
            </w:r>
          </w:p>
          <w:p w14:paraId="1BB2DCD3">
            <w:pPr>
              <w:numPr>
                <w:ilvl w:val="0"/>
                <w:numId w:val="41"/>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课程画像</w:t>
            </w:r>
          </w:p>
          <w:p w14:paraId="1C77A7FD">
            <w:pPr>
              <w:numPr>
                <w:ilvl w:val="0"/>
                <w:numId w:val="45"/>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课程画像展示整体课程情况，画像上方有不同学期和累计数据的切换选择，还可进入具体的课程列表当中。</w:t>
            </w:r>
          </w:p>
          <w:p w14:paraId="48EA363A">
            <w:pPr>
              <w:numPr>
                <w:ilvl w:val="0"/>
                <w:numId w:val="45"/>
              </w:numPr>
              <w:rPr>
                <w:rFonts w:hint="eastAsia" w:ascii="宋体" w:hAnsi="宋体" w:eastAsia="宋体" w:cs="宋体"/>
                <w:sz w:val="21"/>
                <w:szCs w:val="21"/>
                <w:highlight w:val="none"/>
              </w:rPr>
            </w:pPr>
            <w:r>
              <w:rPr>
                <w:rFonts w:hint="eastAsia" w:ascii="宋体" w:hAnsi="宋体" w:eastAsia="宋体" w:cs="宋体"/>
                <w:sz w:val="21"/>
                <w:szCs w:val="21"/>
                <w:highlight w:val="none"/>
              </w:rPr>
              <w:t>全校课程画像的头部通过标签、雷达图等展示整体课程的情况。画像底部，以教学课堂活动统计、课程建设情况、课程活跃度趋势图、综合成绩、资源与题库建设、学习完成率、课程质量排名TOP100展示整体课程情况。</w:t>
            </w:r>
          </w:p>
          <w:p w14:paraId="2E664C54">
            <w:pPr>
              <w:numPr>
                <w:ilvl w:val="0"/>
                <w:numId w:val="45"/>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课程画像以课程质量排名和课程pv值为指标进行展示，“查看”可进入到该课程的课程画像。</w:t>
            </w:r>
          </w:p>
          <w:p w14:paraId="5C66ECBD">
            <w:pPr>
              <w:numPr>
                <w:ilvl w:val="0"/>
                <w:numId w:val="45"/>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画像头部分为三部分展示，第一部分是课程的标签与信息，可跳转到课程门户和线上巡课页面，第二部分是课程质量排名，第三部分是课程雷达图分为六个维度（课程活跃度、课堂活动、课程资源、课程讨论、学习完成度、学生成绩）展示课程的综合情况。画像底部分为五个板块展示，基础数据、课堂报告、学情分析、学生成绩、课程日志。</w:t>
            </w:r>
          </w:p>
          <w:p w14:paraId="30F4614D">
            <w:pPr>
              <w:numPr>
                <w:ilvl w:val="0"/>
                <w:numId w:val="29"/>
              </w:numPr>
              <w:rPr>
                <w:rFonts w:hint="eastAsia" w:ascii="宋体" w:hAnsi="宋体" w:eastAsia="宋体" w:cs="宋体"/>
                <w:sz w:val="21"/>
                <w:szCs w:val="21"/>
                <w:highlight w:val="none"/>
              </w:rPr>
            </w:pPr>
            <w:r>
              <w:rPr>
                <w:rFonts w:hint="eastAsia" w:ascii="宋体" w:hAnsi="宋体" w:eastAsia="宋体" w:cs="宋体"/>
                <w:sz w:val="21"/>
                <w:szCs w:val="21"/>
                <w:highlight w:val="none"/>
              </w:rPr>
              <w:t>教学报告</w:t>
            </w:r>
          </w:p>
          <w:p w14:paraId="2C689E31">
            <w:pPr>
              <w:numPr>
                <w:ilvl w:val="0"/>
                <w:numId w:val="46"/>
              </w:numPr>
              <w:rPr>
                <w:rFonts w:hint="eastAsia" w:ascii="宋体" w:hAnsi="宋体" w:eastAsia="宋体" w:cs="宋体"/>
                <w:sz w:val="21"/>
                <w:szCs w:val="21"/>
                <w:highlight w:val="none"/>
              </w:rPr>
            </w:pPr>
            <w:r>
              <w:rPr>
                <w:rFonts w:hint="eastAsia" w:ascii="宋体" w:hAnsi="宋体" w:eastAsia="宋体" w:cs="宋体"/>
                <w:sz w:val="21"/>
                <w:szCs w:val="21"/>
                <w:highlight w:val="none"/>
              </w:rPr>
              <w:t>日常报告</w:t>
            </w:r>
          </w:p>
          <w:p w14:paraId="147ABD32">
            <w:pPr>
              <w:rPr>
                <w:rFonts w:hint="eastAsia" w:ascii="宋体" w:hAnsi="宋体" w:eastAsia="宋体" w:cs="宋体"/>
                <w:sz w:val="21"/>
                <w:szCs w:val="21"/>
                <w:highlight w:val="none"/>
              </w:rPr>
            </w:pPr>
            <w:r>
              <w:rPr>
                <w:rFonts w:hint="eastAsia" w:ascii="宋体" w:hAnsi="宋体" w:eastAsia="宋体" w:cs="宋体"/>
                <w:sz w:val="21"/>
                <w:szCs w:val="21"/>
                <w:highlight w:val="none"/>
              </w:rPr>
              <w:t>平台每日、每周、每月会自动生成运行报告，支持生成自定义报告（时间跨度在30天内），以课程、教师、学生、资源、活动数五个维度，统计运行情况。</w:t>
            </w:r>
          </w:p>
          <w:p w14:paraId="4A7B505A">
            <w:pPr>
              <w:numPr>
                <w:ilvl w:val="0"/>
                <w:numId w:val="46"/>
              </w:numPr>
              <w:rPr>
                <w:rFonts w:hint="eastAsia" w:ascii="宋体" w:hAnsi="宋体" w:eastAsia="宋体" w:cs="宋体"/>
                <w:sz w:val="21"/>
                <w:szCs w:val="21"/>
                <w:highlight w:val="none"/>
              </w:rPr>
            </w:pPr>
            <w:r>
              <w:rPr>
                <w:rFonts w:hint="eastAsia" w:ascii="宋体" w:hAnsi="宋体" w:eastAsia="宋体" w:cs="宋体"/>
                <w:sz w:val="21"/>
                <w:szCs w:val="21"/>
                <w:highlight w:val="none"/>
              </w:rPr>
              <w:t>学期报告</w:t>
            </w:r>
          </w:p>
          <w:p w14:paraId="1EBDAD52">
            <w:pPr>
              <w:rPr>
                <w:rFonts w:hint="eastAsia" w:ascii="宋体" w:hAnsi="宋体" w:eastAsia="宋体" w:cs="宋体"/>
                <w:sz w:val="21"/>
                <w:szCs w:val="21"/>
                <w:highlight w:val="none"/>
              </w:rPr>
            </w:pPr>
            <w:r>
              <w:rPr>
                <w:rFonts w:hint="eastAsia" w:ascii="宋体" w:hAnsi="宋体" w:eastAsia="宋体" w:cs="宋体"/>
                <w:sz w:val="21"/>
                <w:szCs w:val="21"/>
                <w:highlight w:val="none"/>
              </w:rPr>
              <w:t>平台每学期会自动生成学期报告（平台支持学期设置），以院系、教师、学生、课程、资源、活动数、签到七个维度，统计运行情况。</w:t>
            </w:r>
          </w:p>
          <w:p w14:paraId="6B276945">
            <w:pPr>
              <w:numPr>
                <w:ilvl w:val="0"/>
                <w:numId w:val="29"/>
              </w:numPr>
              <w:rPr>
                <w:rFonts w:hint="eastAsia" w:ascii="宋体" w:hAnsi="宋体" w:eastAsia="宋体" w:cs="宋体"/>
                <w:sz w:val="21"/>
                <w:szCs w:val="21"/>
                <w:highlight w:val="none"/>
              </w:rPr>
            </w:pPr>
            <w:r>
              <w:rPr>
                <w:rFonts w:hint="eastAsia" w:ascii="宋体" w:hAnsi="宋体" w:eastAsia="宋体" w:cs="宋体"/>
                <w:sz w:val="21"/>
                <w:szCs w:val="21"/>
                <w:highlight w:val="none"/>
              </w:rPr>
              <w:t>教学预警</w:t>
            </w:r>
          </w:p>
          <w:p w14:paraId="13A73AC6">
            <w:pPr>
              <w:numPr>
                <w:ilvl w:val="0"/>
                <w:numId w:val="47"/>
              </w:num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课程预警</w:t>
            </w:r>
          </w:p>
          <w:p w14:paraId="2475878F">
            <w:pPr>
              <w:rPr>
                <w:rFonts w:hint="eastAsia" w:ascii="宋体" w:hAnsi="宋体" w:eastAsia="宋体" w:cs="宋体"/>
                <w:sz w:val="21"/>
                <w:szCs w:val="21"/>
                <w:highlight w:val="none"/>
              </w:rPr>
            </w:pPr>
            <w:r>
              <w:rPr>
                <w:rFonts w:hint="eastAsia" w:ascii="宋体" w:hAnsi="宋体" w:eastAsia="宋体" w:cs="宋体"/>
                <w:sz w:val="21"/>
                <w:szCs w:val="21"/>
                <w:highlight w:val="none"/>
              </w:rPr>
              <w:t>设置筛选项对课程进行筛选，展示满足筛选条件的课程门数及院系分布情况；展示满足筛选条件课程的基本信息，支持导出满足条件的课程数据，支持对达到预警标准的课程发送预警通知。</w:t>
            </w:r>
          </w:p>
          <w:p w14:paraId="5ED7D12C">
            <w:pPr>
              <w:numPr>
                <w:ilvl w:val="0"/>
                <w:numId w:val="47"/>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教师预警</w:t>
            </w:r>
          </w:p>
          <w:p w14:paraId="5541867C">
            <w:pPr>
              <w:rPr>
                <w:rFonts w:hint="eastAsia" w:ascii="宋体" w:hAnsi="宋体" w:eastAsia="宋体" w:cs="宋体"/>
                <w:sz w:val="21"/>
                <w:szCs w:val="21"/>
                <w:highlight w:val="none"/>
              </w:rPr>
            </w:pPr>
            <w:r>
              <w:rPr>
                <w:rFonts w:hint="eastAsia" w:ascii="宋体" w:hAnsi="宋体" w:eastAsia="宋体" w:cs="宋体"/>
                <w:sz w:val="21"/>
                <w:szCs w:val="21"/>
                <w:highlight w:val="none"/>
              </w:rPr>
              <w:t>设置筛选项对教师进行筛选，展示满足筛选条件的教师人数及院系分布情况；展示满足筛选条件教师的基本信息，支持导出满足条件的教师数据，支持对达到预警标准的教师发送预警通知。</w:t>
            </w:r>
          </w:p>
          <w:p w14:paraId="6D0DC6ED">
            <w:pPr>
              <w:numPr>
                <w:ilvl w:val="0"/>
                <w:numId w:val="47"/>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学生预警</w:t>
            </w:r>
          </w:p>
          <w:p w14:paraId="71FE4E5A">
            <w:pPr>
              <w:rPr>
                <w:rFonts w:hint="eastAsia" w:ascii="宋体" w:hAnsi="宋体" w:eastAsia="宋体" w:cs="宋体"/>
                <w:sz w:val="21"/>
                <w:szCs w:val="21"/>
                <w:highlight w:val="none"/>
              </w:rPr>
            </w:pPr>
            <w:r>
              <w:rPr>
                <w:rFonts w:hint="eastAsia" w:ascii="宋体" w:hAnsi="宋体" w:eastAsia="宋体" w:cs="宋体"/>
                <w:sz w:val="21"/>
                <w:szCs w:val="21"/>
                <w:highlight w:val="none"/>
              </w:rPr>
              <w:t>设置筛选项对学生进行筛选，展示满足筛选条件的学生人数及院系分布情况；展示满足筛选条件学生的基本信息，支持导出满足条件的学生数据，支持对达到预警标准的学生发送预警通知。</w:t>
            </w:r>
          </w:p>
          <w:p w14:paraId="6B00845A">
            <w:pPr>
              <w:numPr>
                <w:ilvl w:val="0"/>
                <w:numId w:val="47"/>
              </w:numPr>
              <w:rPr>
                <w:rFonts w:hint="eastAsia" w:ascii="宋体" w:hAnsi="宋体" w:eastAsia="宋体" w:cs="宋体"/>
                <w:sz w:val="21"/>
                <w:szCs w:val="21"/>
                <w:highlight w:val="none"/>
              </w:rPr>
            </w:pPr>
            <w:r>
              <w:rPr>
                <w:rFonts w:hint="eastAsia" w:ascii="宋体" w:hAnsi="宋体" w:eastAsia="宋体" w:cs="宋体"/>
                <w:sz w:val="21"/>
                <w:szCs w:val="21"/>
                <w:highlight w:val="none"/>
              </w:rPr>
              <w:t>班级预警</w:t>
            </w:r>
          </w:p>
          <w:p w14:paraId="2EAAD14F">
            <w:pPr>
              <w:rPr>
                <w:rFonts w:hint="eastAsia" w:ascii="宋体" w:hAnsi="宋体" w:eastAsia="宋体" w:cs="宋体"/>
                <w:sz w:val="21"/>
                <w:szCs w:val="21"/>
                <w:highlight w:val="none"/>
              </w:rPr>
            </w:pPr>
            <w:r>
              <w:rPr>
                <w:rFonts w:hint="eastAsia" w:ascii="宋体" w:hAnsi="宋体" w:eastAsia="宋体" w:cs="宋体"/>
                <w:sz w:val="21"/>
                <w:szCs w:val="21"/>
                <w:highlight w:val="none"/>
              </w:rPr>
              <w:t>设置筛选项对班级进行筛选，展示满足筛选条件的班级人数及院系分布情况；展示满足筛选条件班级的基本信息，支持导出满足条件的班级数据，支持对达到预警标准的班级发送预警通知。</w:t>
            </w:r>
          </w:p>
          <w:p w14:paraId="1773382D">
            <w:pPr>
              <w:numPr>
                <w:ilvl w:val="0"/>
                <w:numId w:val="47"/>
              </w:numPr>
              <w:rPr>
                <w:rFonts w:hint="eastAsia" w:ascii="宋体" w:hAnsi="宋体" w:eastAsia="宋体" w:cs="宋体"/>
                <w:sz w:val="21"/>
                <w:szCs w:val="21"/>
                <w:highlight w:val="none"/>
              </w:rPr>
            </w:pPr>
            <w:r>
              <w:rPr>
                <w:rFonts w:hint="eastAsia" w:ascii="宋体" w:hAnsi="宋体" w:eastAsia="宋体" w:cs="宋体"/>
                <w:sz w:val="21"/>
                <w:szCs w:val="21"/>
                <w:highlight w:val="none"/>
              </w:rPr>
              <w:t>预警分析</w:t>
            </w:r>
          </w:p>
          <w:p w14:paraId="5A70E340">
            <w:pPr>
              <w:rPr>
                <w:rFonts w:hint="eastAsia" w:ascii="宋体" w:hAnsi="宋体" w:eastAsia="宋体" w:cs="宋体"/>
                <w:sz w:val="21"/>
                <w:szCs w:val="21"/>
                <w:highlight w:val="none"/>
              </w:rPr>
            </w:pPr>
            <w:r>
              <w:rPr>
                <w:rFonts w:hint="eastAsia" w:ascii="宋体" w:hAnsi="宋体" w:eastAsia="宋体" w:cs="宋体"/>
                <w:sz w:val="21"/>
                <w:szCs w:val="21"/>
                <w:highlight w:val="none"/>
              </w:rPr>
              <w:t>以柱状图形式展示各院系教师、学生被预警次数；以环形图形式展示各被预警次数区间的课程门数及占比，并支持查看课程预警记录；以环形图形式展示各被预警次数区间的教师人数及占比，并支持查看教师预警记录；以环形图形式展示各被预警次数区间的学生人数及占比，并支持查看学生预警记录；以环形图形式展示各预警项使用情况。</w:t>
            </w:r>
          </w:p>
          <w:p w14:paraId="2C3E8DBC">
            <w:pPr>
              <w:numPr>
                <w:ilvl w:val="0"/>
                <w:numId w:val="28"/>
              </w:num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教学大数据监控平台——大数据展示屏</w:t>
            </w:r>
          </w:p>
          <w:p w14:paraId="7E379695">
            <w:pPr>
              <w:numPr>
                <w:ilvl w:val="0"/>
                <w:numId w:val="48"/>
              </w:numPr>
              <w:rPr>
                <w:rFonts w:hint="eastAsia" w:ascii="宋体" w:hAnsi="宋体" w:eastAsia="宋体" w:cs="宋体"/>
                <w:sz w:val="21"/>
                <w:szCs w:val="21"/>
                <w:highlight w:val="none"/>
              </w:rPr>
            </w:pPr>
            <w:r>
              <w:rPr>
                <w:rFonts w:hint="eastAsia" w:ascii="宋体" w:hAnsi="宋体" w:eastAsia="宋体" w:cs="宋体"/>
                <w:sz w:val="21"/>
                <w:szCs w:val="21"/>
                <w:highlight w:val="none"/>
              </w:rPr>
              <w:t>今日动态</w:t>
            </w:r>
          </w:p>
          <w:p w14:paraId="409569C3">
            <w:pPr>
              <w:rPr>
                <w:rFonts w:hint="eastAsia" w:ascii="宋体" w:hAnsi="宋体" w:eastAsia="宋体" w:cs="宋体"/>
                <w:sz w:val="21"/>
                <w:szCs w:val="21"/>
                <w:highlight w:val="none"/>
              </w:rPr>
            </w:pPr>
            <w:r>
              <w:rPr>
                <w:rFonts w:hint="eastAsia" w:ascii="宋体" w:hAnsi="宋体" w:eastAsia="宋体" w:cs="宋体"/>
                <w:sz w:val="21"/>
                <w:szCs w:val="21"/>
                <w:highlight w:val="none"/>
              </w:rPr>
              <w:t>呈现今日的实时动态，包括今日教师资源上传量、今日学生签到率、今日上线师生人数、今日运行课程数、今日运行班级数、今日师生活动数、今日师生活动类型分布、今日活跃院系、今日活跃课，以</w:t>
            </w:r>
            <w:r>
              <w:rPr>
                <w:rFonts w:hint="eastAsia" w:ascii="宋体" w:hAnsi="宋体" w:eastAsia="宋体" w:cs="宋体"/>
                <w:sz w:val="21"/>
                <w:szCs w:val="21"/>
                <w:highlight w:val="none"/>
                <w:lang w:eastAsia="zh-CN"/>
              </w:rPr>
              <w:t>及</w:t>
            </w:r>
            <w:r>
              <w:rPr>
                <w:rFonts w:hint="eastAsia" w:ascii="宋体" w:hAnsi="宋体" w:eastAsia="宋体" w:cs="宋体"/>
                <w:sz w:val="21"/>
                <w:szCs w:val="21"/>
                <w:highlight w:val="none"/>
              </w:rPr>
              <w:t>师生实时动态。</w:t>
            </w:r>
          </w:p>
          <w:p w14:paraId="581D18A6">
            <w:pPr>
              <w:numPr>
                <w:ilvl w:val="0"/>
                <w:numId w:val="48"/>
              </w:numPr>
              <w:rPr>
                <w:rFonts w:hint="eastAsia" w:ascii="宋体" w:hAnsi="宋体" w:eastAsia="宋体" w:cs="宋体"/>
                <w:sz w:val="21"/>
                <w:szCs w:val="21"/>
                <w:highlight w:val="none"/>
              </w:rPr>
            </w:pPr>
            <w:r>
              <w:rPr>
                <w:rFonts w:hint="eastAsia" w:ascii="宋体" w:hAnsi="宋体" w:eastAsia="宋体" w:cs="宋体"/>
                <w:sz w:val="21"/>
                <w:szCs w:val="21"/>
                <w:highlight w:val="none"/>
              </w:rPr>
              <w:t>整体概况</w:t>
            </w:r>
          </w:p>
          <w:p w14:paraId="4D11162B">
            <w:pPr>
              <w:numPr>
                <w:ilvl w:val="0"/>
                <w:numId w:val="49"/>
              </w:numPr>
              <w:rPr>
                <w:rFonts w:hint="eastAsia" w:ascii="宋体" w:hAnsi="宋体" w:eastAsia="宋体" w:cs="宋体"/>
                <w:sz w:val="21"/>
                <w:szCs w:val="21"/>
                <w:highlight w:val="none"/>
              </w:rPr>
            </w:pPr>
            <w:r>
              <w:rPr>
                <w:rFonts w:hint="eastAsia" w:ascii="宋体" w:hAnsi="宋体" w:eastAsia="宋体" w:cs="宋体"/>
                <w:sz w:val="21"/>
                <w:szCs w:val="21"/>
                <w:highlight w:val="none"/>
              </w:rPr>
              <w:t>以课程维度</w:t>
            </w:r>
          </w:p>
          <w:p w14:paraId="17C35168">
            <w:pPr>
              <w:numPr>
                <w:ilvl w:val="0"/>
                <w:numId w:val="49"/>
              </w:numPr>
              <w:rPr>
                <w:rFonts w:hint="eastAsia" w:ascii="宋体" w:hAnsi="宋体" w:eastAsia="宋体" w:cs="宋体"/>
                <w:sz w:val="21"/>
                <w:szCs w:val="21"/>
                <w:highlight w:val="none"/>
              </w:rPr>
            </w:pPr>
            <w:r>
              <w:rPr>
                <w:rFonts w:hint="eastAsia" w:ascii="宋体" w:hAnsi="宋体" w:eastAsia="宋体" w:cs="宋体"/>
                <w:sz w:val="21"/>
                <w:szCs w:val="21"/>
                <w:highlight w:val="none"/>
              </w:rPr>
              <w:t>展示平台本学期累计活跃课程数、近7日运行课程院系排行、近7日课程访问量变化趋势。</w:t>
            </w:r>
          </w:p>
          <w:p w14:paraId="28A412F9">
            <w:pPr>
              <w:numPr>
                <w:ilvl w:val="0"/>
                <w:numId w:val="49"/>
              </w:numPr>
              <w:rPr>
                <w:rFonts w:hint="eastAsia" w:ascii="宋体" w:hAnsi="宋体" w:eastAsia="宋体" w:cs="宋体"/>
                <w:sz w:val="21"/>
                <w:szCs w:val="21"/>
                <w:highlight w:val="none"/>
              </w:rPr>
            </w:pPr>
            <w:r>
              <w:rPr>
                <w:rFonts w:hint="eastAsia" w:ascii="宋体" w:hAnsi="宋体" w:eastAsia="宋体" w:cs="宋体"/>
                <w:sz w:val="21"/>
                <w:szCs w:val="21"/>
                <w:highlight w:val="none"/>
              </w:rPr>
              <w:t>以教师维度</w:t>
            </w:r>
          </w:p>
          <w:p w14:paraId="373AC387">
            <w:pPr>
              <w:numPr>
                <w:ilvl w:val="0"/>
                <w:numId w:val="49"/>
              </w:numPr>
              <w:rPr>
                <w:rFonts w:hint="eastAsia" w:ascii="宋体" w:hAnsi="宋体" w:eastAsia="宋体" w:cs="宋体"/>
                <w:sz w:val="21"/>
                <w:szCs w:val="21"/>
                <w:highlight w:val="none"/>
              </w:rPr>
            </w:pPr>
            <w:r>
              <w:rPr>
                <w:rFonts w:hint="eastAsia" w:ascii="宋体" w:hAnsi="宋体" w:eastAsia="宋体" w:cs="宋体"/>
                <w:sz w:val="21"/>
                <w:szCs w:val="21"/>
                <w:highlight w:val="none"/>
              </w:rPr>
              <w:t>展示平台本学期累计使用教师数、教师发布任务点数、发布课堂活动数、发布测验作业数、发布考试数、线上发起讨论数，以及本学期教师累计访问时长。</w:t>
            </w:r>
          </w:p>
          <w:p w14:paraId="06945882">
            <w:pPr>
              <w:numPr>
                <w:ilvl w:val="0"/>
                <w:numId w:val="49"/>
              </w:numPr>
              <w:rPr>
                <w:rFonts w:hint="eastAsia" w:ascii="宋体" w:hAnsi="宋体" w:eastAsia="宋体" w:cs="宋体"/>
                <w:sz w:val="21"/>
                <w:szCs w:val="21"/>
                <w:highlight w:val="none"/>
              </w:rPr>
            </w:pPr>
            <w:r>
              <w:rPr>
                <w:rFonts w:hint="eastAsia" w:ascii="宋体" w:hAnsi="宋体" w:eastAsia="宋体" w:cs="宋体"/>
                <w:sz w:val="21"/>
                <w:szCs w:val="21"/>
                <w:highlight w:val="none"/>
              </w:rPr>
              <w:t>以学生维度</w:t>
            </w:r>
          </w:p>
          <w:p w14:paraId="158D076E">
            <w:pPr>
              <w:numPr>
                <w:ilvl w:val="0"/>
                <w:numId w:val="49"/>
              </w:numPr>
              <w:rPr>
                <w:rFonts w:hint="eastAsia" w:ascii="宋体" w:hAnsi="宋体" w:eastAsia="宋体" w:cs="宋体"/>
                <w:sz w:val="21"/>
                <w:szCs w:val="21"/>
                <w:highlight w:val="none"/>
              </w:rPr>
            </w:pPr>
            <w:r>
              <w:rPr>
                <w:rFonts w:hint="eastAsia" w:ascii="宋体" w:hAnsi="宋体" w:eastAsia="宋体" w:cs="宋体"/>
                <w:sz w:val="21"/>
                <w:szCs w:val="21"/>
                <w:highlight w:val="none"/>
              </w:rPr>
              <w:t>展示平台本学期累计使用学生数、学生参与任务点数、参与课堂活动数、参与测验作业数、参与考试数、线上参与讨论数、本学期学生累计访问时长。</w:t>
            </w:r>
          </w:p>
          <w:p w14:paraId="0CAA68C4">
            <w:pPr>
              <w:numPr>
                <w:ilvl w:val="0"/>
                <w:numId w:val="48"/>
              </w:numPr>
              <w:rPr>
                <w:rFonts w:hint="eastAsia" w:ascii="宋体" w:hAnsi="宋体" w:eastAsia="宋体" w:cs="宋体"/>
                <w:sz w:val="21"/>
                <w:szCs w:val="21"/>
                <w:highlight w:val="none"/>
              </w:rPr>
            </w:pPr>
            <w:r>
              <w:rPr>
                <w:rFonts w:hint="eastAsia" w:ascii="宋体" w:hAnsi="宋体" w:eastAsia="宋体" w:cs="宋体"/>
                <w:sz w:val="21"/>
                <w:szCs w:val="21"/>
                <w:highlight w:val="none"/>
              </w:rPr>
              <w:t>签到监测</w:t>
            </w:r>
          </w:p>
          <w:p w14:paraId="462623AE">
            <w:pPr>
              <w:numPr>
                <w:ilvl w:val="0"/>
                <w:numId w:val="50"/>
              </w:numPr>
              <w:rPr>
                <w:rFonts w:hint="eastAsia" w:ascii="宋体" w:hAnsi="宋体" w:eastAsia="宋体" w:cs="宋体"/>
                <w:sz w:val="21"/>
                <w:szCs w:val="21"/>
                <w:highlight w:val="none"/>
              </w:rPr>
            </w:pPr>
            <w:r>
              <w:rPr>
                <w:rFonts w:hint="eastAsia" w:ascii="宋体" w:hAnsi="宋体" w:eastAsia="宋体" w:cs="宋体"/>
                <w:sz w:val="21"/>
                <w:szCs w:val="21"/>
                <w:highlight w:val="none"/>
              </w:rPr>
              <w:t>统计展示今日全校整体签到率、签到人次、签到班级数。</w:t>
            </w:r>
          </w:p>
          <w:p w14:paraId="7449A087">
            <w:pPr>
              <w:numPr>
                <w:ilvl w:val="0"/>
                <w:numId w:val="50"/>
              </w:numPr>
              <w:rPr>
                <w:rFonts w:hint="eastAsia" w:ascii="宋体" w:hAnsi="宋体" w:eastAsia="宋体" w:cs="宋体"/>
                <w:sz w:val="21"/>
                <w:szCs w:val="21"/>
                <w:highlight w:val="none"/>
              </w:rPr>
            </w:pPr>
            <w:r>
              <w:rPr>
                <w:rFonts w:hint="eastAsia" w:ascii="宋体" w:hAnsi="宋体" w:eastAsia="宋体" w:cs="宋体"/>
                <w:sz w:val="21"/>
                <w:szCs w:val="21"/>
                <w:highlight w:val="none"/>
              </w:rPr>
              <w:t>统计展示近7日教师发布签到数排行、班级签到率排行。</w:t>
            </w:r>
          </w:p>
          <w:p w14:paraId="353298C3">
            <w:pPr>
              <w:numPr>
                <w:ilvl w:val="0"/>
                <w:numId w:val="50"/>
              </w:numPr>
              <w:rPr>
                <w:rFonts w:hint="eastAsia" w:ascii="宋体" w:hAnsi="宋体" w:eastAsia="宋体" w:cs="宋体"/>
                <w:sz w:val="21"/>
                <w:szCs w:val="21"/>
                <w:highlight w:val="none"/>
              </w:rPr>
            </w:pPr>
            <w:r>
              <w:rPr>
                <w:rFonts w:hint="eastAsia" w:ascii="宋体" w:hAnsi="宋体" w:eastAsia="宋体" w:cs="宋体"/>
                <w:sz w:val="21"/>
                <w:szCs w:val="21"/>
                <w:highlight w:val="none"/>
              </w:rPr>
              <w:t>统计展示近30日整体签到趋势、课程签到率排行、院系签到率排行。</w:t>
            </w:r>
          </w:p>
          <w:p w14:paraId="5B4234A3">
            <w:pPr>
              <w:numPr>
                <w:ilvl w:val="0"/>
                <w:numId w:val="48"/>
              </w:numPr>
              <w:rPr>
                <w:rFonts w:hint="eastAsia" w:ascii="宋体" w:hAnsi="宋体" w:eastAsia="宋体" w:cs="宋体"/>
                <w:sz w:val="21"/>
                <w:szCs w:val="21"/>
                <w:highlight w:val="none"/>
              </w:rPr>
            </w:pPr>
            <w:r>
              <w:rPr>
                <w:rFonts w:hint="eastAsia" w:ascii="宋体" w:hAnsi="宋体" w:eastAsia="宋体" w:cs="宋体"/>
                <w:sz w:val="21"/>
                <w:szCs w:val="21"/>
                <w:highlight w:val="none"/>
              </w:rPr>
              <w:t>课堂活动</w:t>
            </w:r>
          </w:p>
          <w:p w14:paraId="4ABB9405">
            <w:pPr>
              <w:numPr>
                <w:ilvl w:val="0"/>
                <w:numId w:val="51"/>
              </w:numPr>
              <w:rPr>
                <w:rFonts w:hint="eastAsia" w:ascii="宋体" w:hAnsi="宋体" w:eastAsia="宋体" w:cs="宋体"/>
                <w:sz w:val="21"/>
                <w:szCs w:val="21"/>
                <w:highlight w:val="none"/>
              </w:rPr>
            </w:pPr>
            <w:r>
              <w:rPr>
                <w:rFonts w:hint="eastAsia" w:ascii="宋体" w:hAnsi="宋体" w:eastAsia="宋体" w:cs="宋体"/>
                <w:sz w:val="21"/>
                <w:szCs w:val="21"/>
                <w:highlight w:val="none"/>
              </w:rPr>
              <w:t>统计展示近30日师生课堂活动总数、发起课堂活动教师数、参与课堂活动学生数、课堂活动完成率、院系课堂活动数排行，以及评分、问卷、分组任务、投票、主题讨论、抢答、选人这七种课堂活动类型的教师发布情况、学生完成情况。</w:t>
            </w:r>
          </w:p>
          <w:p w14:paraId="6BD7B968">
            <w:pPr>
              <w:numPr>
                <w:ilvl w:val="0"/>
                <w:numId w:val="51"/>
              </w:numPr>
              <w:rPr>
                <w:rFonts w:hint="eastAsia" w:ascii="宋体" w:hAnsi="宋体" w:eastAsia="宋体" w:cs="宋体"/>
                <w:sz w:val="21"/>
                <w:szCs w:val="21"/>
                <w:highlight w:val="none"/>
              </w:rPr>
            </w:pPr>
            <w:r>
              <w:rPr>
                <w:rFonts w:hint="eastAsia" w:ascii="宋体" w:hAnsi="宋体" w:eastAsia="宋体" w:cs="宋体"/>
                <w:sz w:val="21"/>
                <w:szCs w:val="21"/>
                <w:highlight w:val="none"/>
              </w:rPr>
              <w:t>展示近7日师生课堂活动数变化趋势、课堂活动数最多的5门课程。</w:t>
            </w:r>
          </w:p>
          <w:p w14:paraId="34470593">
            <w:pPr>
              <w:numPr>
                <w:ilvl w:val="0"/>
                <w:numId w:val="51"/>
              </w:numPr>
              <w:rPr>
                <w:rFonts w:hint="eastAsia" w:ascii="宋体" w:hAnsi="宋体" w:eastAsia="宋体" w:cs="宋体"/>
                <w:sz w:val="21"/>
                <w:szCs w:val="21"/>
                <w:highlight w:val="none"/>
              </w:rPr>
            </w:pPr>
            <w:r>
              <w:rPr>
                <w:rFonts w:hint="eastAsia" w:ascii="宋体" w:hAnsi="宋体" w:eastAsia="宋体" w:cs="宋体"/>
                <w:sz w:val="21"/>
                <w:szCs w:val="21"/>
                <w:highlight w:val="none"/>
              </w:rPr>
              <w:t>点击院系排行、课堂活动榜、师生活跃榜跳转到分析平台对应</w:t>
            </w:r>
            <w:r>
              <w:rPr>
                <w:rFonts w:hint="eastAsia" w:ascii="宋体" w:hAnsi="宋体" w:eastAsia="宋体" w:cs="宋体"/>
                <w:sz w:val="21"/>
                <w:szCs w:val="21"/>
                <w:highlight w:val="none"/>
                <w:lang w:eastAsia="zh-CN"/>
              </w:rPr>
              <w:t>的</w:t>
            </w:r>
            <w:r>
              <w:rPr>
                <w:rFonts w:hint="eastAsia" w:ascii="宋体" w:hAnsi="宋体" w:eastAsia="宋体" w:cs="宋体"/>
                <w:sz w:val="21"/>
                <w:szCs w:val="21"/>
                <w:highlight w:val="none"/>
              </w:rPr>
              <w:t>院系画像、课程画像、教师画像、学生画像实现快速查看</w:t>
            </w:r>
            <w:r>
              <w:rPr>
                <w:rFonts w:hint="eastAsia" w:ascii="宋体" w:hAnsi="宋体" w:eastAsia="宋体" w:cs="宋体"/>
                <w:sz w:val="21"/>
                <w:szCs w:val="21"/>
                <w:highlight w:val="none"/>
                <w:lang w:eastAsia="zh-CN"/>
              </w:rPr>
              <w:t>对应</w:t>
            </w:r>
            <w:r>
              <w:rPr>
                <w:rFonts w:hint="eastAsia" w:ascii="宋体" w:hAnsi="宋体" w:eastAsia="宋体" w:cs="宋体"/>
                <w:sz w:val="21"/>
                <w:szCs w:val="21"/>
                <w:highlight w:val="none"/>
              </w:rPr>
              <w:t>详情。</w:t>
            </w:r>
          </w:p>
          <w:p w14:paraId="13EF0639">
            <w:pPr>
              <w:numPr>
                <w:ilvl w:val="0"/>
                <w:numId w:val="48"/>
              </w:numPr>
              <w:rPr>
                <w:rFonts w:hint="eastAsia" w:ascii="宋体" w:hAnsi="宋体" w:eastAsia="宋体" w:cs="宋体"/>
                <w:sz w:val="21"/>
                <w:szCs w:val="21"/>
                <w:highlight w:val="none"/>
              </w:rPr>
            </w:pPr>
            <w:r>
              <w:rPr>
                <w:rFonts w:hint="eastAsia" w:ascii="宋体" w:hAnsi="宋体" w:eastAsia="宋体" w:cs="宋体"/>
                <w:sz w:val="21"/>
                <w:szCs w:val="21"/>
                <w:highlight w:val="none"/>
              </w:rPr>
              <w:t>活跃师生</w:t>
            </w:r>
          </w:p>
          <w:p w14:paraId="6573AB54">
            <w:pPr>
              <w:numPr>
                <w:ilvl w:val="0"/>
                <w:numId w:val="52"/>
              </w:numPr>
              <w:rPr>
                <w:rFonts w:hint="eastAsia" w:ascii="宋体" w:hAnsi="宋体" w:eastAsia="宋体" w:cs="宋体"/>
                <w:sz w:val="21"/>
                <w:szCs w:val="21"/>
                <w:highlight w:val="none"/>
              </w:rPr>
            </w:pPr>
            <w:r>
              <w:rPr>
                <w:rFonts w:hint="eastAsia" w:ascii="宋体" w:hAnsi="宋体" w:eastAsia="宋体" w:cs="宋体"/>
                <w:sz w:val="21"/>
                <w:szCs w:val="21"/>
                <w:highlight w:val="none"/>
              </w:rPr>
              <w:t>统计展示近7日师生活动数、活跃师生数、活跃课程数及班级数。</w:t>
            </w:r>
          </w:p>
          <w:p w14:paraId="484753DA">
            <w:pPr>
              <w:numPr>
                <w:ilvl w:val="0"/>
                <w:numId w:val="52"/>
              </w:numPr>
              <w:rPr>
                <w:rFonts w:hint="eastAsia" w:ascii="宋体" w:hAnsi="宋体" w:eastAsia="宋体" w:cs="宋体"/>
                <w:sz w:val="21"/>
                <w:szCs w:val="21"/>
                <w:highlight w:val="none"/>
              </w:rPr>
            </w:pPr>
            <w:r>
              <w:rPr>
                <w:rFonts w:hint="eastAsia" w:ascii="宋体" w:hAnsi="宋体" w:eastAsia="宋体" w:cs="宋体"/>
                <w:sz w:val="21"/>
                <w:szCs w:val="21"/>
                <w:highlight w:val="none"/>
              </w:rPr>
              <w:t>统计展示近7日活跃院系排行、活跃课程排行、活跃师生榜。</w:t>
            </w:r>
          </w:p>
          <w:p w14:paraId="02B81372">
            <w:pPr>
              <w:numPr>
                <w:ilvl w:val="0"/>
                <w:numId w:val="52"/>
              </w:numPr>
              <w:rPr>
                <w:rFonts w:hint="eastAsia" w:ascii="宋体" w:hAnsi="宋体" w:eastAsia="宋体" w:cs="宋体"/>
                <w:sz w:val="21"/>
                <w:szCs w:val="21"/>
                <w:highlight w:val="none"/>
              </w:rPr>
            </w:pPr>
            <w:r>
              <w:rPr>
                <w:rFonts w:hint="eastAsia" w:ascii="宋体" w:hAnsi="宋体" w:eastAsia="宋体" w:cs="宋体"/>
                <w:sz w:val="21"/>
                <w:szCs w:val="21"/>
                <w:highlight w:val="none"/>
              </w:rPr>
              <w:t>统计展示近7日师生活跃趋势、近24小时师生活跃趋势。</w:t>
            </w:r>
          </w:p>
          <w:p w14:paraId="7AF5A470">
            <w:pPr>
              <w:numPr>
                <w:ilvl w:val="0"/>
                <w:numId w:val="48"/>
              </w:numPr>
              <w:rPr>
                <w:rFonts w:hint="eastAsia" w:ascii="宋体" w:hAnsi="宋体" w:eastAsia="宋体" w:cs="宋体"/>
                <w:sz w:val="21"/>
                <w:szCs w:val="21"/>
                <w:highlight w:val="none"/>
              </w:rPr>
            </w:pPr>
            <w:r>
              <w:rPr>
                <w:rFonts w:hint="eastAsia" w:ascii="宋体" w:hAnsi="宋体" w:eastAsia="宋体" w:cs="宋体"/>
                <w:sz w:val="21"/>
                <w:szCs w:val="21"/>
                <w:highlight w:val="none"/>
              </w:rPr>
              <w:t>资源建设</w:t>
            </w:r>
          </w:p>
          <w:p w14:paraId="59CE4797">
            <w:pPr>
              <w:numPr>
                <w:ilvl w:val="0"/>
                <w:numId w:val="53"/>
              </w:numP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统计</w:t>
            </w:r>
            <w:r>
              <w:rPr>
                <w:rFonts w:hint="eastAsia" w:ascii="宋体" w:hAnsi="宋体" w:eastAsia="宋体" w:cs="宋体"/>
                <w:sz w:val="21"/>
                <w:szCs w:val="21"/>
                <w:highlight w:val="none"/>
              </w:rPr>
              <w:t>平台累计全校题库量、资源总量、资源类型分布、院系资源建设排行、题库题型情况、院系题库建设占比、教师资源上传排行。</w:t>
            </w:r>
          </w:p>
          <w:p w14:paraId="02B434EC">
            <w:pPr>
              <w:numPr>
                <w:ilvl w:val="0"/>
                <w:numId w:val="53"/>
              </w:numPr>
              <w:rPr>
                <w:rFonts w:hint="eastAsia" w:ascii="宋体" w:hAnsi="宋体" w:eastAsia="宋体" w:cs="宋体"/>
                <w:sz w:val="21"/>
                <w:szCs w:val="21"/>
                <w:highlight w:val="none"/>
              </w:rPr>
            </w:pPr>
            <w:r>
              <w:rPr>
                <w:rFonts w:hint="eastAsia" w:ascii="宋体" w:hAnsi="宋体" w:eastAsia="宋体" w:cs="宋体"/>
                <w:sz w:val="21"/>
                <w:szCs w:val="21"/>
                <w:highlight w:val="none"/>
              </w:rPr>
              <w:t>统计展示近30日资源新增趋势。</w:t>
            </w:r>
          </w:p>
          <w:p w14:paraId="4880763B">
            <w:pPr>
              <w:numPr>
                <w:ilvl w:val="0"/>
                <w:numId w:val="28"/>
              </w:num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教学大数据分析平台——移动端监控平台</w:t>
            </w:r>
          </w:p>
          <w:p w14:paraId="7E64BE2E">
            <w:pPr>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移动端分析系统提供多个监控入口，包括教学日报、签到监控、教学监控、学情分析、资源监控、日常监控等。解决教务管理者使用移动端即可对教学运行状况进行实时监控的需求。</w:t>
            </w:r>
          </w:p>
          <w:p w14:paraId="143B2C1F">
            <w:pPr>
              <w:numPr>
                <w:ilvl w:val="0"/>
                <w:numId w:val="54"/>
              </w:numPr>
              <w:rPr>
                <w:rFonts w:hint="eastAsia" w:ascii="宋体" w:hAnsi="宋体" w:eastAsia="宋体" w:cs="宋体"/>
                <w:sz w:val="21"/>
                <w:szCs w:val="21"/>
                <w:highlight w:val="none"/>
              </w:rPr>
            </w:pPr>
            <w:r>
              <w:rPr>
                <w:rFonts w:hint="eastAsia" w:ascii="宋体" w:hAnsi="宋体" w:eastAsia="宋体" w:cs="宋体"/>
                <w:sz w:val="21"/>
                <w:szCs w:val="21"/>
                <w:highlight w:val="none"/>
              </w:rPr>
              <w:t>教学日报</w:t>
            </w:r>
          </w:p>
          <w:p w14:paraId="612BC169">
            <w:pPr>
              <w:numPr>
                <w:ilvl w:val="0"/>
                <w:numId w:val="55"/>
              </w:numPr>
              <w:rPr>
                <w:rFonts w:hint="eastAsia" w:ascii="宋体" w:hAnsi="宋体" w:eastAsia="宋体" w:cs="宋体"/>
                <w:sz w:val="21"/>
                <w:szCs w:val="21"/>
                <w:highlight w:val="none"/>
              </w:rPr>
            </w:pPr>
            <w:r>
              <w:rPr>
                <w:rFonts w:hint="eastAsia" w:ascii="宋体" w:hAnsi="宋体" w:eastAsia="宋体" w:cs="宋体"/>
                <w:sz w:val="21"/>
                <w:szCs w:val="21"/>
                <w:highlight w:val="none"/>
              </w:rPr>
              <w:t>对本日的教学运行情况进行统计汇报，以课程、教师、学生三个维度展示具体数据。</w:t>
            </w:r>
          </w:p>
          <w:p w14:paraId="17430195">
            <w:pPr>
              <w:numPr>
                <w:ilvl w:val="0"/>
                <w:numId w:val="55"/>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课程维度统计今日自建课程运行数、新建课程数量、运行班级、资源上传数、运行班次、课堂活动数、师生讨论数，反馈今日学校的开课情况。</w:t>
            </w:r>
          </w:p>
          <w:p w14:paraId="1F1726EF">
            <w:pPr>
              <w:numPr>
                <w:ilvl w:val="0"/>
                <w:numId w:val="55"/>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教师维度统计今日教师活动数、发布课堂活动数、发起讨论数、发布作业数、批阅作业数，反映今日教师的教学情况。</w:t>
            </w:r>
          </w:p>
          <w:p w14:paraId="3E5E01B8">
            <w:pPr>
              <w:numPr>
                <w:ilvl w:val="0"/>
                <w:numId w:val="55"/>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学生维度统计今日学生活动数、完成任务点数、参与课堂活动数、学生讨论数、完成作业数，反映今日学生的上课情况。</w:t>
            </w:r>
          </w:p>
          <w:p w14:paraId="13BAC998">
            <w:pPr>
              <w:numPr>
                <w:ilvl w:val="0"/>
                <w:numId w:val="55"/>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支持查看今日师生在线/访问趋势、互动/讨论趋势、资源上传趋势以及各院系使用数据、今日最活跃的5位教师、5位学生。</w:t>
            </w:r>
          </w:p>
          <w:p w14:paraId="59C08756">
            <w:pPr>
              <w:numPr>
                <w:ilvl w:val="0"/>
                <w:numId w:val="54"/>
              </w:numPr>
              <w:rPr>
                <w:rFonts w:hint="eastAsia" w:ascii="宋体" w:hAnsi="宋体" w:eastAsia="宋体" w:cs="宋体"/>
                <w:sz w:val="21"/>
                <w:szCs w:val="21"/>
                <w:highlight w:val="none"/>
              </w:rPr>
            </w:pPr>
            <w:r>
              <w:rPr>
                <w:rFonts w:hint="eastAsia" w:ascii="宋体" w:hAnsi="宋体" w:eastAsia="宋体" w:cs="宋体"/>
                <w:sz w:val="21"/>
                <w:szCs w:val="21"/>
                <w:highlight w:val="none"/>
              </w:rPr>
              <w:t>签到监控</w:t>
            </w:r>
          </w:p>
          <w:p w14:paraId="601E4C63">
            <w:pPr>
              <w:numPr>
                <w:ilvl w:val="0"/>
                <w:numId w:val="56"/>
              </w:numPr>
              <w:rPr>
                <w:rFonts w:hint="eastAsia" w:ascii="宋体" w:hAnsi="宋体" w:eastAsia="宋体" w:cs="宋体"/>
                <w:sz w:val="21"/>
                <w:szCs w:val="21"/>
                <w:highlight w:val="none"/>
              </w:rPr>
            </w:pPr>
            <w:r>
              <w:rPr>
                <w:rFonts w:hint="eastAsia" w:ascii="宋体" w:hAnsi="宋体" w:eastAsia="宋体" w:cs="宋体"/>
                <w:sz w:val="21"/>
                <w:szCs w:val="21"/>
                <w:highlight w:val="none"/>
              </w:rPr>
              <w:t>展示全校今日学生签到情况，包括今日已发签到班级数、签到人次、整体签到率，展示学生签到实时动态、今日班级签到情况，以及学生签到榜TOP5。</w:t>
            </w:r>
          </w:p>
          <w:p w14:paraId="1B2BA346">
            <w:pPr>
              <w:numPr>
                <w:ilvl w:val="0"/>
                <w:numId w:val="56"/>
              </w:numPr>
              <w:rPr>
                <w:rFonts w:hint="eastAsia" w:ascii="宋体" w:hAnsi="宋体" w:eastAsia="宋体" w:cs="宋体"/>
                <w:sz w:val="21"/>
                <w:szCs w:val="21"/>
                <w:highlight w:val="none"/>
              </w:rPr>
            </w:pPr>
            <w:r>
              <w:rPr>
                <w:rFonts w:hint="eastAsia" w:ascii="宋体" w:hAnsi="宋体" w:eastAsia="宋体" w:cs="宋体"/>
                <w:sz w:val="21"/>
                <w:szCs w:val="21"/>
                <w:highlight w:val="none"/>
              </w:rPr>
              <w:t>以院系课程、学生维度展示签到率变化趋势，展示最近</w:t>
            </w:r>
            <w:r>
              <w:rPr>
                <w:rFonts w:hint="eastAsia" w:ascii="宋体" w:hAnsi="宋体" w:eastAsia="宋体" w:cs="宋体"/>
                <w:sz w:val="21"/>
                <w:szCs w:val="21"/>
                <w:highlight w:val="none"/>
                <w:lang w:eastAsia="zh-CN"/>
              </w:rPr>
              <w:t>一个</w:t>
            </w:r>
            <w:r>
              <w:rPr>
                <w:rFonts w:hint="eastAsia" w:ascii="宋体" w:hAnsi="宋体" w:eastAsia="宋体" w:cs="宋体"/>
                <w:sz w:val="21"/>
                <w:szCs w:val="21"/>
                <w:highlight w:val="none"/>
              </w:rPr>
              <w:t>月/一周学生的出勤情况。</w:t>
            </w:r>
          </w:p>
          <w:p w14:paraId="242B44B5">
            <w:pPr>
              <w:numPr>
                <w:ilvl w:val="0"/>
                <w:numId w:val="54"/>
              </w:numPr>
              <w:rPr>
                <w:rFonts w:hint="eastAsia" w:ascii="宋体" w:hAnsi="宋体" w:eastAsia="宋体" w:cs="宋体"/>
                <w:sz w:val="21"/>
                <w:szCs w:val="21"/>
                <w:highlight w:val="none"/>
              </w:rPr>
            </w:pPr>
            <w:r>
              <w:rPr>
                <w:rFonts w:hint="eastAsia" w:ascii="宋体" w:hAnsi="宋体" w:eastAsia="宋体" w:cs="宋体"/>
                <w:sz w:val="21"/>
                <w:szCs w:val="21"/>
                <w:highlight w:val="none"/>
              </w:rPr>
              <w:t>教学监控</w:t>
            </w:r>
          </w:p>
          <w:p w14:paraId="76AE8BE9">
            <w:pPr>
              <w:rPr>
                <w:rFonts w:hint="eastAsia" w:ascii="宋体" w:hAnsi="宋体" w:eastAsia="宋体" w:cs="宋体"/>
                <w:sz w:val="21"/>
                <w:szCs w:val="21"/>
                <w:highlight w:val="none"/>
              </w:rPr>
            </w:pPr>
            <w:r>
              <w:rPr>
                <w:rFonts w:hint="eastAsia" w:ascii="宋体" w:hAnsi="宋体" w:eastAsia="宋体" w:cs="宋体"/>
                <w:sz w:val="21"/>
                <w:szCs w:val="21"/>
                <w:highlight w:val="none"/>
              </w:rPr>
              <w:t>通过采集平台使用数据，实时展示全校教师数、今日活跃教师、建课教师数、近日动态、活跃教师排行top10，并通过图表展示今日及历史平均单日的课程活动发放情况、课堂作业布置情况、课堂作业评阅情况、师生互动情况，通过趋势图展示本周师生访问量变化趋势、今日教师、学生讨论数对比。</w:t>
            </w:r>
          </w:p>
          <w:p w14:paraId="690E6A47">
            <w:pPr>
              <w:numPr>
                <w:ilvl w:val="0"/>
                <w:numId w:val="54"/>
              </w:numPr>
              <w:rPr>
                <w:rFonts w:hint="eastAsia" w:ascii="宋体" w:hAnsi="宋体" w:eastAsia="宋体" w:cs="宋体"/>
                <w:sz w:val="21"/>
                <w:szCs w:val="21"/>
                <w:highlight w:val="none"/>
              </w:rPr>
            </w:pPr>
            <w:r>
              <w:rPr>
                <w:rFonts w:hint="eastAsia" w:ascii="宋体" w:hAnsi="宋体" w:eastAsia="宋体" w:cs="宋体"/>
                <w:sz w:val="21"/>
                <w:szCs w:val="21"/>
                <w:highlight w:val="none"/>
              </w:rPr>
              <w:t>学情分析</w:t>
            </w:r>
          </w:p>
          <w:p w14:paraId="6492C695">
            <w:pPr>
              <w:rPr>
                <w:rFonts w:hint="eastAsia" w:ascii="宋体" w:hAnsi="宋体" w:eastAsia="宋体" w:cs="宋体"/>
                <w:sz w:val="21"/>
                <w:szCs w:val="21"/>
                <w:highlight w:val="none"/>
              </w:rPr>
            </w:pPr>
            <w:r>
              <w:rPr>
                <w:rFonts w:hint="eastAsia" w:ascii="宋体" w:hAnsi="宋体" w:eastAsia="宋体" w:cs="宋体"/>
                <w:sz w:val="21"/>
                <w:szCs w:val="21"/>
                <w:highlight w:val="none"/>
              </w:rPr>
              <w:t>通过采集平台使用数据，实时展示今日完成任务量、完成视频数、完成其他任务点数及学生实时动态，并通过图表展示学习终端占比、学生参与课堂活动详情、完成作业考试详情，通过趋势图展示近24小时访问量变化趋势。</w:t>
            </w:r>
          </w:p>
          <w:p w14:paraId="21C2C012">
            <w:pPr>
              <w:numPr>
                <w:ilvl w:val="0"/>
                <w:numId w:val="54"/>
              </w:numPr>
              <w:rPr>
                <w:rFonts w:hint="eastAsia" w:ascii="宋体" w:hAnsi="宋体" w:eastAsia="宋体" w:cs="宋体"/>
                <w:sz w:val="21"/>
                <w:szCs w:val="21"/>
                <w:highlight w:val="none"/>
              </w:rPr>
            </w:pPr>
            <w:r>
              <w:rPr>
                <w:rFonts w:hint="eastAsia" w:ascii="宋体" w:hAnsi="宋体" w:eastAsia="宋体" w:cs="宋体"/>
                <w:sz w:val="21"/>
                <w:szCs w:val="21"/>
                <w:highlight w:val="none"/>
              </w:rPr>
              <w:t>资源监控</w:t>
            </w:r>
          </w:p>
          <w:p w14:paraId="00359902">
            <w:pPr>
              <w:rPr>
                <w:rFonts w:hint="eastAsia" w:ascii="宋体" w:hAnsi="宋体" w:eastAsia="宋体" w:cs="宋体"/>
                <w:sz w:val="21"/>
                <w:szCs w:val="21"/>
                <w:highlight w:val="none"/>
              </w:rPr>
            </w:pPr>
            <w:r>
              <w:rPr>
                <w:rFonts w:hint="eastAsia" w:ascii="宋体" w:hAnsi="宋体" w:eastAsia="宋体" w:cs="宋体"/>
                <w:sz w:val="21"/>
                <w:szCs w:val="21"/>
                <w:highlight w:val="none"/>
              </w:rPr>
              <w:t>通过采集平台使用数据，实时展示今日上传资源量、资源总量、上传最多资源类型实时动态，并通过图表展示各类型</w:t>
            </w:r>
            <w:r>
              <w:rPr>
                <w:rFonts w:hint="eastAsia" w:ascii="宋体" w:hAnsi="宋体" w:eastAsia="宋体" w:cs="宋体"/>
                <w:sz w:val="21"/>
                <w:szCs w:val="21"/>
                <w:highlight w:val="none"/>
                <w:lang w:eastAsia="zh-CN"/>
              </w:rPr>
              <w:t>资源</w:t>
            </w:r>
            <w:r>
              <w:rPr>
                <w:rFonts w:hint="eastAsia" w:ascii="宋体" w:hAnsi="宋体" w:eastAsia="宋体" w:cs="宋体"/>
                <w:sz w:val="21"/>
                <w:szCs w:val="21"/>
                <w:highlight w:val="none"/>
              </w:rPr>
              <w:t>分布、上传资源量趋势、课程资源排名、学院资源排名、上传资源数教师排名。</w:t>
            </w:r>
          </w:p>
          <w:p w14:paraId="74D773DC">
            <w:pPr>
              <w:numPr>
                <w:ilvl w:val="0"/>
                <w:numId w:val="54"/>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学生画像</w:t>
            </w:r>
          </w:p>
          <w:p w14:paraId="02032BAC">
            <w:pPr>
              <w:numPr>
                <w:ilvl w:val="0"/>
                <w:numId w:val="57"/>
              </w:numPr>
              <w:rPr>
                <w:rFonts w:hint="eastAsia" w:ascii="宋体" w:hAnsi="宋体" w:eastAsia="宋体" w:cs="宋体"/>
                <w:sz w:val="21"/>
                <w:szCs w:val="21"/>
                <w:highlight w:val="none"/>
              </w:rPr>
            </w:pPr>
            <w:r>
              <w:rPr>
                <w:rFonts w:hint="eastAsia" w:ascii="宋体" w:hAnsi="宋体" w:eastAsia="宋体" w:cs="宋体"/>
                <w:sz w:val="21"/>
                <w:szCs w:val="21"/>
                <w:highlight w:val="none"/>
              </w:rPr>
              <w:t>通过学生的数据采集和分析，生成学生画像。</w:t>
            </w:r>
          </w:p>
          <w:p w14:paraId="08FD1653">
            <w:pPr>
              <w:numPr>
                <w:ilvl w:val="0"/>
                <w:numId w:val="57"/>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学生画像</w:t>
            </w:r>
          </w:p>
          <w:p w14:paraId="22A16CF9">
            <w:pPr>
              <w:rPr>
                <w:rFonts w:hint="eastAsia" w:ascii="宋体" w:hAnsi="宋体" w:eastAsia="宋体" w:cs="宋体"/>
                <w:sz w:val="21"/>
                <w:szCs w:val="21"/>
                <w:highlight w:val="none"/>
              </w:rPr>
            </w:pPr>
            <w:r>
              <w:rPr>
                <w:rFonts w:hint="eastAsia" w:ascii="宋体" w:hAnsi="宋体" w:eastAsia="宋体" w:cs="宋体"/>
                <w:sz w:val="21"/>
                <w:szCs w:val="21"/>
                <w:highlight w:val="none"/>
              </w:rPr>
              <w:t>包括其个人标签、平台学习表现、包含课堂表现考核维度、自主学习考核维度、学习完成率考核维度、到课率考核维度、学习成绩考核维度、平台活跃度考核维度等。</w:t>
            </w:r>
          </w:p>
          <w:p w14:paraId="2F425EF4">
            <w:pPr>
              <w:numPr>
                <w:ilvl w:val="0"/>
                <w:numId w:val="57"/>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学生数据</w:t>
            </w:r>
          </w:p>
          <w:p w14:paraId="7E4BDF49">
            <w:pPr>
              <w:rPr>
                <w:rFonts w:hint="eastAsia" w:ascii="宋体" w:hAnsi="宋体" w:eastAsia="宋体" w:cs="宋体"/>
                <w:sz w:val="21"/>
                <w:szCs w:val="21"/>
                <w:highlight w:val="none"/>
              </w:rPr>
            </w:pPr>
            <w:r>
              <w:rPr>
                <w:rFonts w:hint="eastAsia" w:ascii="宋体" w:hAnsi="宋体" w:eastAsia="宋体" w:cs="宋体"/>
                <w:sz w:val="21"/>
                <w:szCs w:val="21"/>
                <w:highlight w:val="none"/>
              </w:rPr>
              <w:t>展示学生的所学课程、基础数据、学习分析、学习轨迹等具体学习数据。</w:t>
            </w:r>
          </w:p>
          <w:p w14:paraId="3155C130">
            <w:pPr>
              <w:numPr>
                <w:ilvl w:val="0"/>
                <w:numId w:val="54"/>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教师画像</w:t>
            </w:r>
          </w:p>
          <w:p w14:paraId="07DC4A8E">
            <w:pPr>
              <w:numPr>
                <w:ilvl w:val="0"/>
                <w:numId w:val="58"/>
              </w:numPr>
              <w:rPr>
                <w:rFonts w:hint="eastAsia" w:ascii="宋体" w:hAnsi="宋体" w:eastAsia="宋体" w:cs="宋体"/>
                <w:sz w:val="21"/>
                <w:szCs w:val="21"/>
                <w:highlight w:val="none"/>
              </w:rPr>
            </w:pPr>
            <w:r>
              <w:rPr>
                <w:rFonts w:hint="eastAsia" w:ascii="宋体" w:hAnsi="宋体" w:eastAsia="宋体" w:cs="宋体"/>
                <w:sz w:val="21"/>
                <w:szCs w:val="21"/>
                <w:highlight w:val="none"/>
              </w:rPr>
              <w:t>通过教师的数据采集和分析，生成教师画像。</w:t>
            </w:r>
          </w:p>
          <w:p w14:paraId="1EE983D0">
            <w:pPr>
              <w:numPr>
                <w:ilvl w:val="0"/>
                <w:numId w:val="58"/>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教师画像</w:t>
            </w:r>
          </w:p>
          <w:p w14:paraId="7175BE9F">
            <w:pPr>
              <w:rPr>
                <w:rFonts w:hint="eastAsia" w:ascii="宋体" w:hAnsi="宋体" w:eastAsia="宋体" w:cs="宋体"/>
                <w:sz w:val="21"/>
                <w:szCs w:val="21"/>
                <w:highlight w:val="none"/>
              </w:rPr>
            </w:pPr>
            <w:r>
              <w:rPr>
                <w:rFonts w:hint="eastAsia" w:ascii="宋体" w:hAnsi="宋体" w:eastAsia="宋体" w:cs="宋体"/>
                <w:sz w:val="21"/>
                <w:szCs w:val="21"/>
                <w:highlight w:val="none"/>
              </w:rPr>
              <w:t>包括个人标签、平台教师评比、包含课堂互动考核维度、日常评测考核维度、在线时长考核维度、资源建设考核维度、学生成绩考核维度、活跃度考核维度等。</w:t>
            </w:r>
          </w:p>
          <w:p w14:paraId="35C7BD56">
            <w:pPr>
              <w:numPr>
                <w:ilvl w:val="0"/>
                <w:numId w:val="58"/>
              </w:numPr>
              <w:rPr>
                <w:rFonts w:hint="eastAsia" w:ascii="宋体" w:hAnsi="宋体" w:eastAsia="宋体" w:cs="宋体"/>
                <w:sz w:val="21"/>
                <w:szCs w:val="21"/>
                <w:highlight w:val="none"/>
              </w:rPr>
            </w:pPr>
            <w:r>
              <w:rPr>
                <w:rFonts w:hint="eastAsia" w:ascii="宋体" w:hAnsi="宋体" w:eastAsia="宋体" w:cs="宋体"/>
                <w:sz w:val="21"/>
                <w:szCs w:val="21"/>
                <w:highlight w:val="none"/>
              </w:rPr>
              <w:t>教学数据</w:t>
            </w:r>
          </w:p>
          <w:p w14:paraId="56E3F466">
            <w:pPr>
              <w:rPr>
                <w:rFonts w:hint="eastAsia" w:ascii="宋体" w:hAnsi="宋体" w:eastAsia="宋体" w:cs="宋体"/>
                <w:sz w:val="21"/>
                <w:szCs w:val="21"/>
                <w:highlight w:val="none"/>
              </w:rPr>
            </w:pPr>
            <w:r>
              <w:rPr>
                <w:rFonts w:hint="eastAsia" w:ascii="宋体" w:hAnsi="宋体" w:eastAsia="宋体" w:cs="宋体"/>
                <w:sz w:val="21"/>
                <w:szCs w:val="21"/>
                <w:highlight w:val="none"/>
              </w:rPr>
              <w:t>展示所教课程、基础数据、教学分析、教学轨迹等教学数据。</w:t>
            </w:r>
          </w:p>
          <w:p w14:paraId="7381E71B">
            <w:pPr>
              <w:numPr>
                <w:ilvl w:val="0"/>
                <w:numId w:val="54"/>
              </w:numPr>
              <w:rPr>
                <w:rFonts w:hint="eastAsia" w:ascii="宋体" w:hAnsi="宋体" w:eastAsia="宋体" w:cs="宋体"/>
                <w:sz w:val="21"/>
                <w:szCs w:val="21"/>
                <w:highlight w:val="none"/>
              </w:rPr>
            </w:pPr>
            <w:r>
              <w:rPr>
                <w:rFonts w:hint="eastAsia" w:ascii="宋体" w:hAnsi="宋体" w:eastAsia="宋体" w:cs="宋体"/>
                <w:sz w:val="21"/>
                <w:szCs w:val="21"/>
                <w:highlight w:val="none"/>
              </w:rPr>
              <w:t>在线督导</w:t>
            </w:r>
          </w:p>
          <w:p w14:paraId="3B2F1714">
            <w:pPr>
              <w:numPr>
                <w:ilvl w:val="0"/>
                <w:numId w:val="59"/>
              </w:numPr>
              <w:rPr>
                <w:rFonts w:hint="eastAsia" w:ascii="宋体" w:hAnsi="宋体" w:eastAsia="宋体" w:cs="宋体"/>
                <w:sz w:val="21"/>
                <w:szCs w:val="21"/>
                <w:highlight w:val="none"/>
              </w:rPr>
            </w:pPr>
            <w:r>
              <w:rPr>
                <w:rFonts w:hint="eastAsia" w:ascii="宋体" w:hAnsi="宋体" w:eastAsia="宋体" w:cs="宋体"/>
                <w:sz w:val="21"/>
                <w:szCs w:val="21"/>
                <w:highlight w:val="none"/>
              </w:rPr>
              <w:t>展示网络课程数、课程活动数、课程资源数。支持查看活跃课程，包含课堂报告、学情统计、成绩统计。支持查看课程建设，包含教师团队、网络课程的班级情况、课程资源建设情况、课堂运行情况、活跃学生排行、综合成绩排行。</w:t>
            </w:r>
          </w:p>
          <w:p w14:paraId="3AA91C1D">
            <w:pPr>
              <w:numPr>
                <w:ilvl w:val="0"/>
                <w:numId w:val="59"/>
              </w:numPr>
              <w:rPr>
                <w:rFonts w:hint="eastAsia" w:ascii="宋体" w:hAnsi="宋体" w:eastAsia="宋体" w:cs="宋体"/>
                <w:sz w:val="21"/>
                <w:szCs w:val="21"/>
                <w:highlight w:val="none"/>
              </w:rPr>
            </w:pPr>
            <w:r>
              <w:rPr>
                <w:rFonts w:hint="eastAsia" w:ascii="宋体" w:hAnsi="宋体" w:eastAsia="宋体" w:cs="宋体"/>
                <w:sz w:val="21"/>
                <w:szCs w:val="21"/>
              </w:rPr>
              <w:t>教学大数据展示实时展示日常监控、教学监控、学情分析、签到监控、资源监控等，支持调用ai能力生成相关数据报表并下载</w:t>
            </w:r>
            <w:r>
              <w:rPr>
                <w:rFonts w:hint="eastAsia" w:ascii="宋体" w:hAnsi="宋体" w:eastAsia="宋体" w:cs="宋体"/>
                <w:sz w:val="21"/>
                <w:szCs w:val="21"/>
                <w:lang w:eastAsia="zh-CN"/>
              </w:rPr>
              <w:t>。</w:t>
            </w:r>
          </w:p>
        </w:tc>
      </w:tr>
      <w:tr w14:paraId="7E334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57134BAB">
            <w:pPr>
              <w:rPr>
                <w:rFonts w:hint="eastAsia" w:ascii="宋体" w:hAnsi="宋体" w:eastAsia="宋体" w:cs="宋体"/>
                <w:sz w:val="21"/>
                <w:szCs w:val="21"/>
                <w:highlight w:val="none"/>
              </w:rPr>
            </w:pPr>
          </w:p>
        </w:tc>
        <w:tc>
          <w:tcPr>
            <w:tcW w:w="1276" w:type="dxa"/>
            <w:noWrap w:val="0"/>
            <w:vAlign w:val="center"/>
          </w:tcPr>
          <w:p w14:paraId="315A921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教学资源库</w:t>
            </w:r>
          </w:p>
        </w:tc>
        <w:tc>
          <w:tcPr>
            <w:tcW w:w="7305" w:type="dxa"/>
            <w:noWrap w:val="0"/>
            <w:vAlign w:val="top"/>
          </w:tcPr>
          <w:p w14:paraId="6F8AA048">
            <w:pPr>
              <w:rPr>
                <w:rFonts w:hint="eastAsia" w:ascii="宋体" w:hAnsi="宋体" w:eastAsia="宋体" w:cs="宋体"/>
                <w:sz w:val="21"/>
                <w:szCs w:val="21"/>
                <w:highlight w:val="none"/>
              </w:rPr>
            </w:pPr>
            <w:r>
              <w:rPr>
                <w:rFonts w:hint="eastAsia" w:ascii="宋体" w:hAnsi="宋体" w:eastAsia="宋体" w:cs="宋体"/>
                <w:sz w:val="21"/>
                <w:szCs w:val="21"/>
                <w:highlight w:val="none"/>
              </w:rPr>
              <w:t>教学资源库提供教师备课、制作课件、制作网络课程等工作中随时需要查阅、引用的海量资源。</w:t>
            </w:r>
          </w:p>
          <w:p w14:paraId="1894A900">
            <w:pPr>
              <w:numPr>
                <w:ilvl w:val="0"/>
                <w:numId w:val="60"/>
              </w:numPr>
              <w:rPr>
                <w:rFonts w:hint="eastAsia" w:ascii="宋体" w:hAnsi="宋体" w:eastAsia="宋体" w:cs="宋体"/>
                <w:sz w:val="21"/>
                <w:szCs w:val="21"/>
                <w:highlight w:val="none"/>
              </w:rPr>
            </w:pPr>
            <w:r>
              <w:rPr>
                <w:rFonts w:hint="eastAsia" w:ascii="宋体" w:hAnsi="宋体" w:eastAsia="宋体" w:cs="宋体"/>
                <w:sz w:val="21"/>
                <w:szCs w:val="21"/>
                <w:highlight w:val="none"/>
              </w:rPr>
              <w:t>备课资源库</w:t>
            </w:r>
          </w:p>
          <w:p w14:paraId="4EDB1C10">
            <w:pPr>
              <w:rPr>
                <w:rFonts w:hint="eastAsia" w:ascii="宋体" w:hAnsi="宋体" w:eastAsia="宋体" w:cs="宋体"/>
                <w:sz w:val="21"/>
                <w:szCs w:val="21"/>
                <w:highlight w:val="none"/>
              </w:rPr>
            </w:pPr>
            <w:r>
              <w:rPr>
                <w:rFonts w:hint="eastAsia" w:ascii="宋体" w:hAnsi="宋体" w:eastAsia="宋体" w:cs="宋体"/>
                <w:sz w:val="21"/>
                <w:szCs w:val="21"/>
                <w:highlight w:val="none"/>
              </w:rPr>
              <w:t>与网络教学平台无缝对接，教师在使用网络教学平台进行课程建设、备课、授课过程中随时可以搜索、引用、无缝插入备课资源库中的资源，全面辅助教师教学和学生学习。可以搜索相关电子书</w:t>
            </w:r>
            <w:r>
              <w:rPr>
                <w:rFonts w:hint="eastAsia" w:ascii="宋体" w:hAnsi="宋体" w:eastAsia="宋体" w:cs="宋体"/>
                <w:sz w:val="21"/>
                <w:szCs w:val="21"/>
                <w:highlight w:val="none"/>
                <w:lang w:eastAsia="zh-CN"/>
              </w:rPr>
              <w:t>插入</w:t>
            </w:r>
            <w:r>
              <w:rPr>
                <w:rFonts w:hint="eastAsia" w:ascii="宋体" w:hAnsi="宋体" w:eastAsia="宋体" w:cs="宋体"/>
                <w:sz w:val="21"/>
                <w:szCs w:val="21"/>
                <w:highlight w:val="none"/>
              </w:rPr>
              <w:t>课程，进行在线阅读，可以进行文字摘录。搜索相关学术视频。需要名校、名师的视频及讲座，可以在线进行播放。</w:t>
            </w:r>
          </w:p>
          <w:p w14:paraId="435E4F68">
            <w:pPr>
              <w:numPr>
                <w:ilvl w:val="0"/>
                <w:numId w:val="60"/>
              </w:numPr>
              <w:rPr>
                <w:rFonts w:hint="eastAsia" w:ascii="宋体" w:hAnsi="宋体" w:eastAsia="宋体" w:cs="宋体"/>
                <w:sz w:val="21"/>
                <w:szCs w:val="21"/>
                <w:highlight w:val="none"/>
              </w:rPr>
            </w:pPr>
            <w:r>
              <w:rPr>
                <w:rFonts w:hint="eastAsia" w:ascii="宋体" w:hAnsi="宋体" w:eastAsia="宋体" w:cs="宋体"/>
                <w:sz w:val="21"/>
                <w:szCs w:val="21"/>
                <w:highlight w:val="none"/>
              </w:rPr>
              <w:t>课程资源</w:t>
            </w:r>
          </w:p>
          <w:p w14:paraId="501A358C">
            <w:pPr>
              <w:rPr>
                <w:rFonts w:hint="eastAsia" w:ascii="宋体" w:hAnsi="宋体" w:eastAsia="宋体" w:cs="宋体"/>
                <w:sz w:val="21"/>
                <w:szCs w:val="21"/>
                <w:highlight w:val="none"/>
              </w:rPr>
            </w:pPr>
            <w:r>
              <w:rPr>
                <w:rFonts w:hint="eastAsia" w:ascii="宋体" w:hAnsi="宋体" w:eastAsia="宋体" w:cs="宋体"/>
                <w:sz w:val="21"/>
                <w:szCs w:val="21"/>
                <w:highlight w:val="none"/>
              </w:rPr>
              <w:t>提供跟课程紧密相关的课程资源，包括ppt、音视频、文档、图片等素材。</w:t>
            </w:r>
          </w:p>
        </w:tc>
      </w:tr>
      <w:tr w14:paraId="0E9A5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4" w:hRule="atLeast"/>
        </w:trPr>
        <w:tc>
          <w:tcPr>
            <w:tcW w:w="817" w:type="dxa"/>
            <w:vMerge w:val="restart"/>
            <w:noWrap w:val="0"/>
            <w:vAlign w:val="center"/>
          </w:tcPr>
          <w:p w14:paraId="28F42C58">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知识图谱</w:t>
            </w:r>
          </w:p>
        </w:tc>
        <w:tc>
          <w:tcPr>
            <w:tcW w:w="1276" w:type="dxa"/>
            <w:noWrap w:val="0"/>
            <w:vAlign w:val="center"/>
          </w:tcPr>
          <w:p w14:paraId="60C54D95">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知识图谱</w:t>
            </w:r>
          </w:p>
          <w:p w14:paraId="24B98CAB">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管理</w:t>
            </w:r>
          </w:p>
        </w:tc>
        <w:tc>
          <w:tcPr>
            <w:tcW w:w="7305" w:type="dxa"/>
            <w:noWrap w:val="0"/>
            <w:vAlign w:val="center"/>
          </w:tcPr>
          <w:p w14:paraId="59FB1CB7">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支持建立以学校的教务课程知识点为体系的知识点架构进行后台知识图谱框架管理。</w:t>
            </w:r>
          </w:p>
          <w:p w14:paraId="50E4CE13">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支持对教务课程的课程类别、课程性质进行增删改查管理。</w:t>
            </w:r>
          </w:p>
          <w:p w14:paraId="0D457337">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支持为网络课程和教务课程建立独立的知识图谱，便于统一管理。</w:t>
            </w:r>
          </w:p>
          <w:p w14:paraId="2912E76D">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支持知识点之间进行前置关系、后置关系、关联关系的设置。</w:t>
            </w:r>
          </w:p>
          <w:p w14:paraId="46E9575C">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支持关联关系自定义，可进行添加描述并显示在图谱页面</w:t>
            </w:r>
          </w:p>
          <w:p w14:paraId="6C1D02F9">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支持给知识点打标签，自定义标签内容，支持同一个支持点标记多个标签。</w:t>
            </w:r>
          </w:p>
          <w:p w14:paraId="1CBB2E06">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支持引用后台教务课程的知识图谱先进行审核，审核通过才允许引用，并记录引用次数。</w:t>
            </w:r>
          </w:p>
          <w:p w14:paraId="2A4F6F83">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支持进行跨课知识点关联，实现不同</w:t>
            </w:r>
            <w:r>
              <w:rPr>
                <w:rFonts w:hint="eastAsia" w:ascii="宋体" w:hAnsi="宋体" w:eastAsia="宋体" w:cs="宋体"/>
                <w:color w:val="000000"/>
                <w:sz w:val="21"/>
                <w:szCs w:val="21"/>
                <w:highlight w:val="none"/>
                <w:lang w:eastAsia="zh-CN"/>
              </w:rPr>
              <w:t>课程</w:t>
            </w:r>
            <w:r>
              <w:rPr>
                <w:rFonts w:hint="eastAsia" w:ascii="宋体" w:hAnsi="宋体" w:eastAsia="宋体" w:cs="宋体"/>
                <w:color w:val="000000"/>
                <w:sz w:val="21"/>
                <w:szCs w:val="21"/>
                <w:highlight w:val="none"/>
              </w:rPr>
              <w:t>之间知识的聚合联动，关联后可以实现跨课学习并进行专业下多门课程的知识点关联展示应用。</w:t>
            </w:r>
          </w:p>
          <w:p w14:paraId="2D1C4716">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支持教师调整知识点在课程空间菜单栏的显示顺序。</w:t>
            </w:r>
          </w:p>
          <w:p w14:paraId="73D623F3">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跨课知识点支持用户通过点击实现一键跳转。</w:t>
            </w:r>
          </w:p>
          <w:p w14:paraId="3CE46758">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支持点击知识点后，其父级知识点节点高亮显示。</w:t>
            </w:r>
          </w:p>
          <w:p w14:paraId="2B6CCDFF">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支持对已删除知识点资源的实时更新。</w:t>
            </w:r>
          </w:p>
          <w:p w14:paraId="29A09C17">
            <w:pPr>
              <w:numPr>
                <w:ilvl w:val="0"/>
                <w:numId w:val="61"/>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具备附加标签功能，能够实现知识点的分类和标识，支持知识点设定重点、难点以及考点等标签，同时支持用户自定义标签名称。</w:t>
            </w:r>
          </w:p>
          <w:p w14:paraId="0ACD0BE8">
            <w:pPr>
              <w:numPr>
                <w:ilvl w:val="0"/>
                <w:numId w:val="61"/>
              </w:numP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支持知识点被赋予多种分类属性，包括事实性、概念性、程序性、元认知等。</w:t>
            </w:r>
          </w:p>
        </w:tc>
      </w:tr>
      <w:tr w14:paraId="58EBF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1" w:hRule="atLeast"/>
        </w:trPr>
        <w:tc>
          <w:tcPr>
            <w:tcW w:w="817" w:type="dxa"/>
            <w:vMerge w:val="continue"/>
            <w:noWrap w:val="0"/>
            <w:vAlign w:val="top"/>
          </w:tcPr>
          <w:p w14:paraId="3FAE899B">
            <w:pPr>
              <w:rPr>
                <w:rFonts w:hint="eastAsia" w:ascii="宋体" w:hAnsi="宋体" w:eastAsia="宋体" w:cs="宋体"/>
                <w:sz w:val="21"/>
                <w:szCs w:val="21"/>
                <w:highlight w:val="none"/>
              </w:rPr>
            </w:pPr>
          </w:p>
        </w:tc>
        <w:tc>
          <w:tcPr>
            <w:tcW w:w="1276" w:type="dxa"/>
            <w:noWrap w:val="0"/>
            <w:vAlign w:val="center"/>
          </w:tcPr>
          <w:p w14:paraId="08AC17E5">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知识图谱</w:t>
            </w:r>
          </w:p>
          <w:p w14:paraId="47B30A56">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构建</w:t>
            </w:r>
          </w:p>
        </w:tc>
        <w:tc>
          <w:tcPr>
            <w:tcW w:w="7305" w:type="dxa"/>
            <w:noWrap w:val="0"/>
            <w:vAlign w:val="center"/>
          </w:tcPr>
          <w:p w14:paraId="4FD110A8">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支持知识点多层级架构建立，生成子父级知识点关系。</w:t>
            </w:r>
          </w:p>
          <w:p w14:paraId="59975B19">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手动添加、批量导入等方式构建知识图谱。批量导入需支持填写知识点名称、标签信息、认知维度、分类属性、教学目标、知识点说明等信息数据。手动编辑需支持单个或批量修改知识点属性编辑，可批量或单独对当前知识点进行移动。</w:t>
            </w:r>
          </w:p>
          <w:p w14:paraId="18E8A234">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支持智能导入，用户上传课程大纲、教材等，系统智能识别构建生成知识图谱。</w:t>
            </w:r>
          </w:p>
          <w:p w14:paraId="69E6300B">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支持本地导入xmind格式的思维导图文件，自动读取文件数据，生成课程知识图谱，并能够导出xmind格式文件。</w:t>
            </w:r>
          </w:p>
          <w:p w14:paraId="18BE6217">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支持教务课程和网络课程知识图谱互相同步调用。</w:t>
            </w:r>
          </w:p>
          <w:p w14:paraId="72C59056">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支持课程章节</w:t>
            </w:r>
            <w:r>
              <w:rPr>
                <w:rFonts w:hint="eastAsia" w:ascii="宋体" w:hAnsi="宋体" w:eastAsia="宋体" w:cs="宋体"/>
                <w:color w:val="000000"/>
                <w:sz w:val="21"/>
                <w:szCs w:val="21"/>
                <w:highlight w:val="none"/>
                <w:lang w:eastAsia="zh-CN"/>
              </w:rPr>
              <w:t>一键</w:t>
            </w:r>
            <w:r>
              <w:rPr>
                <w:rFonts w:hint="eastAsia" w:ascii="宋体" w:hAnsi="宋体" w:eastAsia="宋体" w:cs="宋体"/>
                <w:color w:val="000000"/>
                <w:sz w:val="21"/>
                <w:szCs w:val="21"/>
                <w:highlight w:val="none"/>
              </w:rPr>
              <w:t>转化生成知识图谱，并同时进行资源关联。</w:t>
            </w:r>
          </w:p>
          <w:p w14:paraId="38B5FAC1">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创建图谱支持同步其他课程图谱，支持全量同步或者部分选择同步。支持教学平台所教的</w:t>
            </w:r>
            <w:r>
              <w:rPr>
                <w:rFonts w:hint="eastAsia" w:ascii="宋体" w:hAnsi="宋体" w:eastAsia="宋体" w:cs="宋体"/>
                <w:color w:val="000000"/>
                <w:sz w:val="21"/>
                <w:szCs w:val="21"/>
                <w:highlight w:val="none"/>
                <w:lang w:eastAsia="zh-CN"/>
              </w:rPr>
              <w:t>课程</w:t>
            </w:r>
            <w:r>
              <w:rPr>
                <w:rFonts w:hint="eastAsia" w:ascii="宋体" w:hAnsi="宋体" w:eastAsia="宋体" w:cs="宋体"/>
                <w:color w:val="000000"/>
                <w:sz w:val="21"/>
                <w:szCs w:val="21"/>
                <w:highlight w:val="none"/>
              </w:rPr>
              <w:t>导入及从教务课程导入功能支持导入知识点之间的关系。</w:t>
            </w:r>
          </w:p>
          <w:p w14:paraId="4544DE08">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支持AI生成图谱功能，系统可以基于教师已经建设好的网络课程结合AI应用自动生成知识图谱，并支持直接使用生成的图谱，支持在生成的图谱上进行自定义化修改；</w:t>
            </w:r>
          </w:p>
          <w:p w14:paraId="13E53FB4">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支持教师根据课程属性设定是否显示课程中心点。</w:t>
            </w:r>
          </w:p>
          <w:p w14:paraId="7BCAA346">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知识图谱知识点支持说明添加，可添加富文本编辑框、公式编辑等富媒体文本。</w:t>
            </w:r>
          </w:p>
          <w:p w14:paraId="19AA7153">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支持与教学平台打通，可通过教学平台现有课程章节选择生成章节图谱。</w:t>
            </w:r>
          </w:p>
          <w:p w14:paraId="6458A8BB">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支持知识图谱自定义编辑功能，系统提供至少6种图谱形态，用户可根据课程性质选择合适的图谱形态进行编辑。</w:t>
            </w:r>
          </w:p>
          <w:p w14:paraId="761CD986">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支持知识图谱自定义颜色设定，可根据具体要求进行图谱知识点颜色的设定。同时支持图谱知识点自定义文字颜色及大小设置。</w:t>
            </w:r>
          </w:p>
          <w:p w14:paraId="4B86115E">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具备批量编辑图谱知识点功能，可实现批量对知识图谱知识点进行编辑修改。大纲模式下可实现对知识点进行批量全选设置。</w:t>
            </w:r>
          </w:p>
          <w:p w14:paraId="6AD801E8">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具备任意拖动功能，可实现对知识图谱知识点的单个节点进行拖动，也可实现对整个知识图谱集合进行拖动。</w:t>
            </w:r>
          </w:p>
          <w:p w14:paraId="6669395D">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图谱显示支持2D和3D展示效果，用户可自主</w:t>
            </w:r>
            <w:r>
              <w:rPr>
                <w:rFonts w:hint="eastAsia" w:ascii="宋体" w:hAnsi="宋体" w:eastAsia="宋体" w:cs="宋体"/>
                <w:color w:val="000000"/>
                <w:sz w:val="21"/>
                <w:szCs w:val="21"/>
                <w:highlight w:val="none"/>
                <w:lang w:eastAsia="zh-CN"/>
              </w:rPr>
              <w:t>地</w:t>
            </w:r>
            <w:r>
              <w:rPr>
                <w:rFonts w:hint="eastAsia" w:ascii="宋体" w:hAnsi="宋体" w:eastAsia="宋体" w:cs="宋体"/>
                <w:color w:val="000000"/>
                <w:sz w:val="21"/>
                <w:szCs w:val="21"/>
                <w:highlight w:val="none"/>
              </w:rPr>
              <w:t>进行模式切换。</w:t>
            </w:r>
          </w:p>
          <w:p w14:paraId="3CB637CB">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具备知识图谱门户系统，能够提供对应的知识图谱门户模板，可展示课程介绍、知识图谱、知识关系、目标图谱、问题图谱。</w:t>
            </w:r>
          </w:p>
          <w:p w14:paraId="33ECA473">
            <w:pPr>
              <w:numPr>
                <w:ilvl w:val="0"/>
                <w:numId w:val="62"/>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图谱系统支持教师在图谱内自由上传图标，上传的</w:t>
            </w:r>
            <w:r>
              <w:rPr>
                <w:rFonts w:hint="eastAsia" w:ascii="宋体" w:hAnsi="宋体" w:eastAsia="宋体" w:cs="宋体"/>
                <w:color w:val="000000"/>
                <w:sz w:val="21"/>
                <w:szCs w:val="21"/>
                <w:highlight w:val="none"/>
                <w:lang w:eastAsia="zh-CN"/>
              </w:rPr>
              <w:t>图标</w:t>
            </w:r>
            <w:r>
              <w:rPr>
                <w:rFonts w:hint="eastAsia" w:ascii="宋体" w:hAnsi="宋体" w:eastAsia="宋体" w:cs="宋体"/>
                <w:color w:val="000000"/>
                <w:sz w:val="21"/>
                <w:szCs w:val="21"/>
                <w:highlight w:val="none"/>
              </w:rPr>
              <w:t>能够作为整体图谱的背景，便于知识图谱的构建与美化。</w:t>
            </w:r>
          </w:p>
          <w:p w14:paraId="45823351">
            <w:pPr>
              <w:numPr>
                <w:ilvl w:val="0"/>
                <w:numId w:val="62"/>
              </w:numP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知识图谱的知识点需支持显隐设置，可以对具体的知识点设置显示或者隐藏；</w:t>
            </w:r>
          </w:p>
          <w:p w14:paraId="25B7D417">
            <w:pPr>
              <w:numPr>
                <w:ilvl w:val="0"/>
                <w:numId w:val="62"/>
              </w:numP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sz w:val="21"/>
                <w:szCs w:val="21"/>
              </w:rPr>
              <w:t>支持智能识别生成知识图谱，可切换不同展示形态，针对某个知识点可以查看学习路径。</w:t>
            </w:r>
          </w:p>
        </w:tc>
      </w:tr>
      <w:tr w14:paraId="5E47E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2" w:hRule="atLeast"/>
        </w:trPr>
        <w:tc>
          <w:tcPr>
            <w:tcW w:w="817" w:type="dxa"/>
            <w:vMerge w:val="continue"/>
            <w:noWrap w:val="0"/>
            <w:vAlign w:val="top"/>
          </w:tcPr>
          <w:p w14:paraId="2BA24C8D">
            <w:pPr>
              <w:rPr>
                <w:rFonts w:hint="eastAsia" w:ascii="宋体" w:hAnsi="宋体" w:eastAsia="宋体" w:cs="宋体"/>
                <w:sz w:val="21"/>
                <w:szCs w:val="21"/>
                <w:highlight w:val="none"/>
              </w:rPr>
            </w:pPr>
          </w:p>
        </w:tc>
        <w:tc>
          <w:tcPr>
            <w:tcW w:w="1276" w:type="dxa"/>
            <w:noWrap w:val="0"/>
            <w:vAlign w:val="center"/>
          </w:tcPr>
          <w:p w14:paraId="38DF3CE3">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知识图谱</w:t>
            </w:r>
          </w:p>
          <w:p w14:paraId="58A6D9A3">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微课</w:t>
            </w:r>
          </w:p>
        </w:tc>
        <w:tc>
          <w:tcPr>
            <w:tcW w:w="7305" w:type="dxa"/>
            <w:noWrap w:val="0"/>
            <w:vAlign w:val="center"/>
          </w:tcPr>
          <w:p w14:paraId="03D9BFB8">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支持教师对课程章节内容，包括——视频、音频、文档、图书、章节测验等进行知识点标记，作为知识点教学任务进行设置，方便学生按知识点进行任务学习。</w:t>
            </w:r>
          </w:p>
          <w:p w14:paraId="1D11EAB3">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知识图谱编辑支持微课设置，可面对老师和学生开放或者关闭学习内容、图书馆资源、作业、资料、讨论、考试、题库、统计内容；</w:t>
            </w:r>
          </w:p>
          <w:p w14:paraId="33B1088A">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支持按知识点上传资源，并查看知识点关联资源数量，方便教师按知识点管理资源。</w:t>
            </w:r>
          </w:p>
          <w:p w14:paraId="7DF94D48">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知识点卡片</w:t>
            </w:r>
            <w:r>
              <w:rPr>
                <w:rFonts w:hint="eastAsia" w:ascii="宋体" w:hAnsi="宋体" w:eastAsia="宋体" w:cs="宋体"/>
                <w:color w:val="000000"/>
                <w:sz w:val="21"/>
                <w:szCs w:val="21"/>
                <w:highlight w:val="none"/>
                <w:lang w:eastAsia="zh-CN"/>
              </w:rPr>
              <w:t>须</w:t>
            </w:r>
            <w:r>
              <w:rPr>
                <w:rFonts w:hint="eastAsia" w:ascii="宋体" w:hAnsi="宋体" w:eastAsia="宋体" w:cs="宋体"/>
                <w:color w:val="000000"/>
                <w:sz w:val="21"/>
                <w:szCs w:val="21"/>
                <w:highlight w:val="none"/>
              </w:rPr>
              <w:t>具备资料添加功能，可通过添加资料关联建设知识点下相关课程资料及其他相关资源。</w:t>
            </w:r>
          </w:p>
          <w:p w14:paraId="4ECA93FE">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支持多种题型的创建管理，包括单选、多选、填空、判断、简答、名词解析、论述、计算、分录、连线、排序、完形填空、阅读理解、口语、听力等常见题型。</w:t>
            </w:r>
          </w:p>
          <w:p w14:paraId="29695E63">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支持在创建或编辑题目时标记每道题对应的知识点标签，并支持按知识点筛选管理题目。</w:t>
            </w:r>
          </w:p>
          <w:p w14:paraId="77466AF4">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支持按模板批量导入题目时导入题目知识点，支持批量编辑题目关联知识点。</w:t>
            </w:r>
          </w:p>
          <w:p w14:paraId="212302BE">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支持AI生成学习内容，系统结合AI可根据教师网络课程内容自动生成知识点学习内容，生成的内容可一键加入微课中；</w:t>
            </w:r>
          </w:p>
          <w:p w14:paraId="20E2D720">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支持错题显示解析以及相关知识点并支持点击跳转知识点学习页面进行自适应学习。</w:t>
            </w:r>
          </w:p>
          <w:p w14:paraId="4C42D0EF">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支持题目关联知识点及教师添加的课程目标，便于教师快速进行关联操作</w:t>
            </w:r>
            <w:r>
              <w:rPr>
                <w:rFonts w:hint="eastAsia" w:ascii="宋体" w:hAnsi="宋体" w:eastAsia="宋体" w:cs="宋体"/>
                <w:color w:val="000000"/>
                <w:sz w:val="21"/>
                <w:szCs w:val="21"/>
                <w:highlight w:val="none"/>
                <w:lang w:eastAsia="zh-CN"/>
              </w:rPr>
              <w:t>。</w:t>
            </w:r>
          </w:p>
          <w:p w14:paraId="72BFF1C8">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支持通过知识卡片直接添加当前知识点相关题目。支持创建作业，添加题目打知识点标签，也支持从题库抽题按知识点抽题，组建带有知识点的作业发放给学生作答。</w:t>
            </w:r>
          </w:p>
          <w:p w14:paraId="0E353E5C">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支持手动组建考试试卷和智能组卷可以按知识点抽题，组建带有知识点的试卷发放给学生考试。</w:t>
            </w:r>
          </w:p>
          <w:p w14:paraId="66C53F54">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支持学生查看课程知识图谱，并查看每个知识点的学习进度情况。</w:t>
            </w:r>
          </w:p>
          <w:p w14:paraId="29BA7835">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支持学生按知识点进行课程任务学习，观看课程视频，阅读课程资料等。</w:t>
            </w:r>
          </w:p>
          <w:p w14:paraId="0773FE0B">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支持学生提交作业、考试，查看自己作答作业、考试题目的知识点掌握情况，并查看知识点推荐资源，巩固学习。</w:t>
            </w:r>
          </w:p>
          <w:p w14:paraId="66D00772">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支持学生按知识点从题库或错题本抽题，逐题自测。</w:t>
            </w:r>
          </w:p>
          <w:p w14:paraId="27553A20">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支持学生自测时可以设置抽题范围，仅抽当前知识点以及前置知识点的题，避免抽到未开始学习的知识点试题。</w:t>
            </w:r>
          </w:p>
          <w:p w14:paraId="6F8758C2">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图谱页面支持多维度筛选以及配色方案的切换。便于更直观</w:t>
            </w:r>
            <w:r>
              <w:rPr>
                <w:rFonts w:hint="eastAsia" w:ascii="宋体" w:hAnsi="宋体" w:eastAsia="宋体" w:cs="宋体"/>
                <w:color w:val="000000"/>
                <w:sz w:val="21"/>
                <w:szCs w:val="21"/>
                <w:highlight w:val="none"/>
                <w:lang w:eastAsia="zh-CN"/>
              </w:rPr>
              <w:t>地</w:t>
            </w:r>
            <w:r>
              <w:rPr>
                <w:rFonts w:hint="eastAsia" w:ascii="宋体" w:hAnsi="宋体" w:eastAsia="宋体" w:cs="宋体"/>
                <w:color w:val="000000"/>
                <w:sz w:val="21"/>
                <w:szCs w:val="21"/>
                <w:highlight w:val="none"/>
              </w:rPr>
              <w:t>查看各个知识点不同维度的学习情况。</w:t>
            </w:r>
          </w:p>
          <w:p w14:paraId="11017A5E">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学生图谱界面具备</w:t>
            </w:r>
            <w:r>
              <w:rPr>
                <w:rFonts w:hint="eastAsia" w:ascii="宋体" w:hAnsi="宋体" w:eastAsia="宋体" w:cs="宋体"/>
                <w:color w:val="000000"/>
                <w:sz w:val="21"/>
                <w:szCs w:val="21"/>
                <w:highlight w:val="none"/>
                <w:lang w:val="en-US" w:eastAsia="zh-CN"/>
              </w:rPr>
              <w:t>全局</w:t>
            </w:r>
            <w:r>
              <w:rPr>
                <w:rFonts w:hint="eastAsia" w:ascii="宋体" w:hAnsi="宋体" w:eastAsia="宋体" w:cs="宋体"/>
                <w:color w:val="000000"/>
                <w:sz w:val="21"/>
                <w:szCs w:val="21"/>
                <w:highlight w:val="none"/>
              </w:rPr>
              <w:t>模式和导航模式，学生可选择具体的模式开展图谱学习。</w:t>
            </w:r>
          </w:p>
          <w:p w14:paraId="73C06847">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学生图谱界面支持学生通过多维度检索知识点，包括标签、层级、认知维度、分类</w:t>
            </w:r>
            <w:r>
              <w:rPr>
                <w:rFonts w:hint="eastAsia" w:ascii="宋体" w:hAnsi="宋体" w:eastAsia="宋体" w:cs="宋体"/>
                <w:color w:val="000000"/>
                <w:sz w:val="21"/>
                <w:szCs w:val="21"/>
                <w:highlight w:val="none"/>
                <w:lang w:eastAsia="zh-CN"/>
              </w:rPr>
              <w:t>及</w:t>
            </w:r>
            <w:r>
              <w:rPr>
                <w:rFonts w:hint="eastAsia" w:ascii="宋体" w:hAnsi="宋体" w:eastAsia="宋体" w:cs="宋体"/>
                <w:color w:val="000000"/>
                <w:sz w:val="21"/>
                <w:szCs w:val="21"/>
                <w:highlight w:val="none"/>
              </w:rPr>
              <w:t>具体知识点的内容的检索。</w:t>
            </w:r>
          </w:p>
          <w:p w14:paraId="67261DEF">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学生图谱界面知识点详情页面支持url、笔记、文档等类型资料预览。</w:t>
            </w:r>
          </w:p>
          <w:p w14:paraId="498E612A">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通过知识图谱的形式，用颜色区分来展示知识点的完成度和掌握度，让数据的呈现更加生动和直观。</w:t>
            </w:r>
          </w:p>
          <w:p w14:paraId="13162C47">
            <w:pPr>
              <w:numPr>
                <w:ilvl w:val="0"/>
                <w:numId w:val="63"/>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支持推荐</w:t>
            </w:r>
            <w:r>
              <w:rPr>
                <w:rFonts w:hint="eastAsia" w:ascii="宋体" w:hAnsi="宋体" w:eastAsia="宋体" w:cs="宋体"/>
                <w:color w:val="000000"/>
                <w:sz w:val="21"/>
                <w:szCs w:val="21"/>
                <w:highlight w:val="none"/>
                <w:lang w:val="en-US" w:eastAsia="zh-CN"/>
              </w:rPr>
              <w:t>知识点相关</w:t>
            </w:r>
            <w:r>
              <w:rPr>
                <w:rFonts w:hint="eastAsia" w:ascii="宋体" w:hAnsi="宋体" w:eastAsia="宋体" w:cs="宋体"/>
                <w:color w:val="000000"/>
                <w:sz w:val="21"/>
                <w:szCs w:val="21"/>
                <w:highlight w:val="none"/>
              </w:rPr>
              <w:t>资源，能够提供图书、期刊、</w:t>
            </w:r>
            <w:r>
              <w:rPr>
                <w:rFonts w:hint="eastAsia" w:ascii="宋体" w:hAnsi="宋体" w:eastAsia="宋体" w:cs="宋体"/>
                <w:color w:val="000000"/>
                <w:sz w:val="21"/>
                <w:szCs w:val="21"/>
                <w:highlight w:val="none"/>
                <w:lang w:val="en-US" w:eastAsia="zh-CN"/>
              </w:rPr>
              <w:t>试题</w:t>
            </w:r>
            <w:r>
              <w:rPr>
                <w:rFonts w:hint="eastAsia" w:ascii="宋体" w:hAnsi="宋体" w:eastAsia="宋体" w:cs="宋体"/>
                <w:color w:val="000000"/>
                <w:sz w:val="21"/>
                <w:szCs w:val="21"/>
                <w:highlight w:val="none"/>
              </w:rPr>
              <w:t>、视频</w:t>
            </w:r>
            <w:r>
              <w:rPr>
                <w:rFonts w:hint="eastAsia" w:ascii="宋体" w:hAnsi="宋体" w:eastAsia="宋体" w:cs="宋体"/>
                <w:color w:val="000000"/>
                <w:sz w:val="21"/>
                <w:szCs w:val="21"/>
                <w:highlight w:val="none"/>
                <w:lang w:val="en-US" w:eastAsia="zh-CN"/>
              </w:rPr>
              <w:t>等</w:t>
            </w:r>
            <w:r>
              <w:rPr>
                <w:rFonts w:hint="eastAsia" w:ascii="宋体" w:hAnsi="宋体" w:eastAsia="宋体" w:cs="宋体"/>
                <w:color w:val="000000"/>
                <w:sz w:val="21"/>
                <w:szCs w:val="21"/>
                <w:highlight w:val="none"/>
              </w:rPr>
              <w:t>资源，并支持一键添加关联。</w:t>
            </w:r>
          </w:p>
        </w:tc>
      </w:tr>
      <w:tr w14:paraId="5FA36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0" w:hRule="atLeast"/>
        </w:trPr>
        <w:tc>
          <w:tcPr>
            <w:tcW w:w="817" w:type="dxa"/>
            <w:vMerge w:val="continue"/>
            <w:noWrap w:val="0"/>
            <w:vAlign w:val="top"/>
          </w:tcPr>
          <w:p w14:paraId="5A959C05">
            <w:pPr>
              <w:rPr>
                <w:rFonts w:hint="eastAsia" w:ascii="宋体" w:hAnsi="宋体" w:eastAsia="宋体" w:cs="宋体"/>
                <w:sz w:val="21"/>
                <w:szCs w:val="21"/>
                <w:highlight w:val="none"/>
              </w:rPr>
            </w:pPr>
          </w:p>
        </w:tc>
        <w:tc>
          <w:tcPr>
            <w:tcW w:w="1276" w:type="dxa"/>
            <w:noWrap w:val="0"/>
            <w:vAlign w:val="center"/>
          </w:tcPr>
          <w:p w14:paraId="07313FFF">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知识图谱</w:t>
            </w:r>
          </w:p>
          <w:p w14:paraId="7C0A24E2">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展示</w:t>
            </w:r>
          </w:p>
        </w:tc>
        <w:tc>
          <w:tcPr>
            <w:tcW w:w="7305" w:type="dxa"/>
            <w:noWrap w:val="0"/>
            <w:vAlign w:val="center"/>
          </w:tcPr>
          <w:p w14:paraId="78E7C4DA">
            <w:pPr>
              <w:numPr>
                <w:ilvl w:val="0"/>
                <w:numId w:val="64"/>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自定义图谱</w:t>
            </w:r>
          </w:p>
          <w:p w14:paraId="0CFFE7EB">
            <w:pPr>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具备自定义图谱功能，可根据个性化的图谱展示进行自定义图谱建设，包括图谱名称及图谱样式。</w:t>
            </w:r>
          </w:p>
          <w:p w14:paraId="147B4743">
            <w:pPr>
              <w:numPr>
                <w:ilvl w:val="0"/>
                <w:numId w:val="64"/>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知识森林</w:t>
            </w:r>
          </w:p>
          <w:p w14:paraId="0EA994C4">
            <w:pPr>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具备知识森林图谱功能，可以将分散的知识资源聚合到一个动态、灵活的知识框架中，使知识资源的管理更加高效。</w:t>
            </w:r>
          </w:p>
          <w:p w14:paraId="20737AEB">
            <w:pPr>
              <w:numPr>
                <w:ilvl w:val="0"/>
                <w:numId w:val="64"/>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课程思政图谱</w:t>
            </w:r>
          </w:p>
          <w:p w14:paraId="75877E13">
            <w:pPr>
              <w:numPr>
                <w:ilvl w:val="0"/>
                <w:numId w:val="65"/>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支持自动根据现有的图谱信息生成思政图谱的功能。</w:t>
            </w:r>
          </w:p>
          <w:p w14:paraId="04FF1199">
            <w:pPr>
              <w:numPr>
                <w:ilvl w:val="0"/>
                <w:numId w:val="65"/>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支持将标签为“课程思政”的知识点以花朵的形式呈现，以视觉突出其在课程中的核心地位，同时以花苞的形式展示</w:t>
            </w:r>
            <w:r>
              <w:rPr>
                <w:rFonts w:hint="eastAsia" w:ascii="宋体" w:hAnsi="宋体" w:eastAsia="宋体" w:cs="宋体"/>
                <w:color w:val="000000"/>
                <w:sz w:val="21"/>
                <w:szCs w:val="21"/>
                <w:highlight w:val="none"/>
                <w:lang w:eastAsia="zh-CN"/>
              </w:rPr>
              <w:t>其他</w:t>
            </w:r>
            <w:r>
              <w:rPr>
                <w:rFonts w:hint="eastAsia" w:ascii="宋体" w:hAnsi="宋体" w:eastAsia="宋体" w:cs="宋体"/>
                <w:color w:val="000000"/>
                <w:sz w:val="21"/>
                <w:szCs w:val="21"/>
                <w:highlight w:val="none"/>
              </w:rPr>
              <w:t>知识点。</w:t>
            </w:r>
          </w:p>
          <w:p w14:paraId="3585613E">
            <w:pPr>
              <w:numPr>
                <w:ilvl w:val="0"/>
                <w:numId w:val="65"/>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支持提供关键字精确搜索和模糊匹配两种模式，检索结果聚焦于与目标节点相关的逻辑联系，增强搜索的针对性。</w:t>
            </w:r>
          </w:p>
          <w:p w14:paraId="704241D2">
            <w:pPr>
              <w:numPr>
                <w:ilvl w:val="0"/>
                <w:numId w:val="65"/>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支持搜索功能覆盖知识点、分类和标签，实现全面性，满足用户不同维度的搜索需求。</w:t>
            </w:r>
          </w:p>
          <w:p w14:paraId="7FB2EABD">
            <w:pPr>
              <w:numPr>
                <w:ilvl w:val="0"/>
                <w:numId w:val="65"/>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支持通过点击操作，可深入分类卡片获取详细信息，或直接跳转至微课进行学习，实现知识获取的快速通道。</w:t>
            </w:r>
          </w:p>
          <w:p w14:paraId="2CAA5D97">
            <w:pPr>
              <w:numPr>
                <w:ilvl w:val="0"/>
                <w:numId w:val="64"/>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问题图谱</w:t>
            </w:r>
          </w:p>
          <w:p w14:paraId="58EBDCF3">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系统提供对疑难、组合及基本问题的定义能力，允许用户添加问题详情及其与知识点的关联。</w:t>
            </w:r>
          </w:p>
          <w:p w14:paraId="64F199AB">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用户可根据教学需求，自定义栏目标题和描述，以适应多样化的教学情境。</w:t>
            </w:r>
          </w:p>
          <w:p w14:paraId="1B22E2CA">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支持通过图谱形式展现问题与知识点的关联，使用户能够直观理解知识间的联系。</w:t>
            </w:r>
          </w:p>
          <w:p w14:paraId="4A513ED5">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支持用户对栏目中节点的名称、描述、标签和知识点进行修改，保持内容的时效性和准确性。</w:t>
            </w:r>
          </w:p>
          <w:p w14:paraId="12731688">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提供两种子级问题关联方式，包括层级连线和板块关联功能，以展示问题间的层级结构。</w:t>
            </w:r>
          </w:p>
          <w:p w14:paraId="3DD0BFB5">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支持对问题板块的删除和批量删除，提升问题管理的</w:t>
            </w:r>
            <w:r>
              <w:rPr>
                <w:rFonts w:hint="eastAsia" w:ascii="宋体" w:hAnsi="宋体" w:eastAsia="宋体" w:cs="宋体"/>
                <w:color w:val="000000"/>
                <w:sz w:val="21"/>
                <w:szCs w:val="21"/>
                <w:highlight w:val="none"/>
                <w:lang w:eastAsia="zh-CN"/>
              </w:rPr>
              <w:t>效率</w:t>
            </w:r>
            <w:r>
              <w:rPr>
                <w:rFonts w:hint="eastAsia" w:ascii="宋体" w:hAnsi="宋体" w:eastAsia="宋体" w:cs="宋体"/>
                <w:color w:val="000000"/>
                <w:sz w:val="21"/>
                <w:szCs w:val="21"/>
                <w:highlight w:val="none"/>
              </w:rPr>
              <w:t>。</w:t>
            </w:r>
          </w:p>
          <w:p w14:paraId="38EE22B2">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支持批量导入问题数据和一键导出问题图谱数据，简化教学资源的准备工作。</w:t>
            </w:r>
          </w:p>
          <w:p w14:paraId="543A3EBA">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提供一键展开或收起问题层级连线的功能，便于用户查看问题结构。</w:t>
            </w:r>
          </w:p>
          <w:p w14:paraId="46AD1006">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支持开启探索模式，模拟学生学习路径，通过问题选择和知识点关联，促进</w:t>
            </w:r>
            <w:r>
              <w:rPr>
                <w:rFonts w:hint="eastAsia" w:ascii="宋体" w:hAnsi="宋体" w:eastAsia="宋体" w:cs="宋体"/>
                <w:color w:val="000000"/>
                <w:sz w:val="21"/>
                <w:szCs w:val="21"/>
                <w:highlight w:val="none"/>
                <w:lang w:eastAsia="zh-CN"/>
              </w:rPr>
              <w:t>学生</w:t>
            </w:r>
            <w:r>
              <w:rPr>
                <w:rFonts w:hint="eastAsia" w:ascii="宋体" w:hAnsi="宋体" w:eastAsia="宋体" w:cs="宋体"/>
                <w:color w:val="000000"/>
                <w:sz w:val="21"/>
                <w:szCs w:val="21"/>
                <w:highlight w:val="none"/>
              </w:rPr>
              <w:t>深入思考。</w:t>
            </w:r>
          </w:p>
          <w:p w14:paraId="494ABA11">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探索模式鼓励用户通过选择问题组来深入思考相关问题集合的知识点，促进用户对问题结构和知识联系的理解。</w:t>
            </w:r>
          </w:p>
          <w:p w14:paraId="162C7064">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在探索模式中，用户被引导将核心问题与子问题连接，形成知识网络，并通过提交与标准答案对比，实现自我评估。</w:t>
            </w:r>
          </w:p>
          <w:p w14:paraId="1BBB3FD3">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系统支持用户在问题图谱讨论区发起新话题，激发学生参与讨论，通过交流深化理解，促进知识共享。</w:t>
            </w:r>
          </w:p>
          <w:p w14:paraId="54B23FE8">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支持自定义问题名称，按照不同类型的问题实施自己的教学内容。有效在教学过程中体现教育创新性和问题拓展性。</w:t>
            </w:r>
          </w:p>
          <w:p w14:paraId="1C9486BF">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系统提供探索模式，使用户能够选择并深入分析多组问题，系统引导用户思考并整合相关联的知识点。</w:t>
            </w:r>
          </w:p>
          <w:p w14:paraId="37FAFBA8">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支持用户识别并连接主线问题与子级问题，构建问题之间的层级关系，加深对问题网络的理解。</w:t>
            </w:r>
          </w:p>
          <w:p w14:paraId="59624183">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用户完成问题解答后，可以提交答案获得反馈，系统提供与标准答案的对比，辅助学生发现差异，掌握正确解题方法。</w:t>
            </w:r>
          </w:p>
          <w:p w14:paraId="43F85EFF">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用户可在讨论区发起新话题，分享个人见解和疑问，促进知识的交流与共享。</w:t>
            </w:r>
          </w:p>
          <w:p w14:paraId="15ACAA0F">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支持用户对讨论区中的话题进行点赞和回复，增强社区的参与感和互动性，建立积极的学习氛围。</w:t>
            </w:r>
          </w:p>
          <w:p w14:paraId="5189A933">
            <w:pPr>
              <w:numPr>
                <w:ilvl w:val="0"/>
                <w:numId w:val="66"/>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支持在探索过程中查看相关知识点并进行相关知识点的知识内容学习，有效提高在探索过程中思考解决问题的能力和获取信息的能力。</w:t>
            </w:r>
          </w:p>
          <w:p w14:paraId="79C9C238">
            <w:pPr>
              <w:numPr>
                <w:ilvl w:val="0"/>
                <w:numId w:val="64"/>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目标图谱</w:t>
            </w:r>
          </w:p>
          <w:p w14:paraId="3B37D1C2">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系统允许根据不同班级特点定制课程目标，以满足特定教学需求。</w:t>
            </w:r>
          </w:p>
          <w:p w14:paraId="25534A2B">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课程目标标签系统支持为课程目标添加标签，包括自定义选项，便于目标的分类和识别。</w:t>
            </w:r>
          </w:p>
          <w:p w14:paraId="67D5A8EA">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支持对课程目标进行详细说明，以确保目标清晰明确。</w:t>
            </w:r>
          </w:p>
          <w:p w14:paraId="0289DD79">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支持对课程目标名称、课程目标标签、描述进行修改，保持课程内容的准确性和时效性。</w:t>
            </w:r>
          </w:p>
          <w:p w14:paraId="0DDBC65F">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支持检索课程目标标签以及课程目标名称，使用户能够快速找到特定目标。</w:t>
            </w:r>
          </w:p>
          <w:p w14:paraId="0493B801">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支持课程目标与知识点进行关联，以展示目标与教学内容的直接联系。</w:t>
            </w:r>
          </w:p>
          <w:p w14:paraId="45BE63FE">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支持以柱状图展示课程目标关联知识点的个数，提供直观的统计信息。</w:t>
            </w:r>
          </w:p>
          <w:p w14:paraId="7D561D9F">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支持以列表形式展示课程目标总数、课程目标名称、课程目标说明、课程目标标签以及所关联的知识点个数，方便用户快速浏览和了解。</w:t>
            </w:r>
          </w:p>
          <w:p w14:paraId="363CEC15">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支持以图谱形式展示每个课程目标所关联的知识点情况，增强信息的可视化效果。</w:t>
            </w:r>
          </w:p>
          <w:p w14:paraId="68EE5ADB">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提供一键同步功能，允许快速复制特定班级的课程目标和知识点关联，提高教学管理的效率。</w:t>
            </w:r>
          </w:p>
          <w:p w14:paraId="3E039707">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支持课程目标模板导入/一键导出功能，便于教师对于课程目标可以直观浏览和整理，同时也能有效</w:t>
            </w:r>
            <w:r>
              <w:rPr>
                <w:rFonts w:hint="eastAsia" w:ascii="宋体" w:hAnsi="宋体" w:eastAsia="宋体" w:cs="宋体"/>
                <w:color w:val="000000"/>
                <w:sz w:val="21"/>
                <w:szCs w:val="21"/>
                <w:highlight w:val="none"/>
                <w:lang w:eastAsia="zh-CN"/>
              </w:rPr>
              <w:t>地</w:t>
            </w:r>
            <w:r>
              <w:rPr>
                <w:rFonts w:hint="eastAsia" w:ascii="宋体" w:hAnsi="宋体" w:eastAsia="宋体" w:cs="宋体"/>
                <w:color w:val="000000"/>
                <w:sz w:val="21"/>
                <w:szCs w:val="21"/>
                <w:highlight w:val="none"/>
              </w:rPr>
              <w:t>和其他工具同时使用。</w:t>
            </w:r>
          </w:p>
          <w:p w14:paraId="5213DACF">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支持通过柱状图形式直观展示课程目标与知识点的关联数量，提供清晰的统计视角。</w:t>
            </w:r>
          </w:p>
          <w:p w14:paraId="77BF0BF2">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支持以列表形式综合呈现课程目标的关键信息，包括总数、名称、说明、标签及知识点关联数，便于用户快速把握课程结构。</w:t>
            </w:r>
          </w:p>
          <w:p w14:paraId="31D1266A">
            <w:pPr>
              <w:numPr>
                <w:ilvl w:val="0"/>
                <w:numId w:val="67"/>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支持利用图谱形式展现课程目标与知识点之间的关联，增强信息的视觉呈现和认知深度。</w:t>
            </w:r>
          </w:p>
          <w:p w14:paraId="02405CD5">
            <w:pPr>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6.大纲图谱</w:t>
            </w:r>
          </w:p>
          <w:p w14:paraId="28C03729">
            <w:pPr>
              <w:numPr>
                <w:ilvl w:val="0"/>
                <w:numId w:val="68"/>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支持以清晰的列表形式呈现分类与知识点之间的层级架构，体现它们之间的逻辑和组织关系。</w:t>
            </w:r>
          </w:p>
          <w:p w14:paraId="0FAF94EC">
            <w:pPr>
              <w:numPr>
                <w:ilvl w:val="0"/>
                <w:numId w:val="68"/>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利用标签系统对知识点和分类进行属性区分和标记，增强用户识别和分类的能力。</w:t>
            </w:r>
          </w:p>
          <w:p w14:paraId="48366842">
            <w:pPr>
              <w:numPr>
                <w:ilvl w:val="0"/>
                <w:numId w:val="68"/>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提供功能以Excel形式输出分类和知识点的层级结构，包括节点间的前后关联、标签、分类属性、教学目标和节点说明，以便于记录和分析。</w:t>
            </w:r>
          </w:p>
          <w:p w14:paraId="7385A13F">
            <w:pPr>
              <w:numPr>
                <w:ilvl w:val="0"/>
                <w:numId w:val="68"/>
              </w:numP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支持多种拓扑图展示大纲，方便学生和老师在多种思维逻辑上进行使用和定位。</w:t>
            </w:r>
          </w:p>
        </w:tc>
      </w:tr>
      <w:tr w14:paraId="7BC9C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5DCC49D4">
            <w:pPr>
              <w:pStyle w:val="12"/>
              <w:spacing w:line="240" w:lineRule="auto"/>
              <w:rPr>
                <w:rFonts w:hint="eastAsia" w:ascii="宋体" w:hAnsi="宋体" w:eastAsia="宋体" w:cs="宋体"/>
                <w:sz w:val="21"/>
                <w:szCs w:val="21"/>
                <w:highlight w:val="none"/>
              </w:rPr>
            </w:pPr>
          </w:p>
        </w:tc>
        <w:tc>
          <w:tcPr>
            <w:tcW w:w="1276" w:type="dxa"/>
            <w:noWrap w:val="0"/>
            <w:vAlign w:val="center"/>
          </w:tcPr>
          <w:p w14:paraId="3A67C668">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图谱学习</w:t>
            </w:r>
          </w:p>
          <w:p w14:paraId="2F772FD0">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系统</w:t>
            </w:r>
          </w:p>
        </w:tc>
        <w:tc>
          <w:tcPr>
            <w:tcW w:w="7305" w:type="dxa"/>
            <w:noWrap w:val="0"/>
            <w:vAlign w:val="center"/>
          </w:tcPr>
          <w:p w14:paraId="64084E22">
            <w:pPr>
              <w:numPr>
                <w:ilvl w:val="0"/>
                <w:numId w:val="69"/>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图谱学习系统支持多种图谱学习方式，包括学习地图、知识图谱、知识森林、问题图谱、目标图谱、课程思政图谱等多种图谱，同时支持自定义图谱的学习；</w:t>
            </w:r>
          </w:p>
          <w:p w14:paraId="4F07B811">
            <w:pPr>
              <w:numPr>
                <w:ilvl w:val="0"/>
                <w:numId w:val="69"/>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支持学生查看基于知识点的智能学习路径，系统根据学生知识点掌握情况，智能规划知识点学习路径，学生可以按学习路径进行知识点的学习和巩固。</w:t>
            </w:r>
          </w:p>
          <w:p w14:paraId="41562BED">
            <w:pPr>
              <w:numPr>
                <w:ilvl w:val="0"/>
                <w:numId w:val="69"/>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图谱学习支持知识点卡片功能，可以展示学生当前知识点完成率和掌握率以及当前知识点下所包含的资源书数；</w:t>
            </w:r>
          </w:p>
          <w:p w14:paraId="1A959375">
            <w:pPr>
              <w:numPr>
                <w:ilvl w:val="0"/>
                <w:numId w:val="69"/>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支持按照知识点，系统智能推荐拓展资源给学生学习。</w:t>
            </w:r>
          </w:p>
          <w:p w14:paraId="30D48F97">
            <w:pPr>
              <w:numPr>
                <w:ilvl w:val="0"/>
                <w:numId w:val="69"/>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图谱学习系统可以根据学生的学习行为数据及掌握情况智能生成个性化学习路径。</w:t>
            </w:r>
          </w:p>
          <w:p w14:paraId="4B58C447">
            <w:pPr>
              <w:numPr>
                <w:ilvl w:val="0"/>
                <w:numId w:val="69"/>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系统为学生提供了多种不同类型的资源以供学习和探索，包括云盘资源、视频、图片、文档、测验等，能够确保学习材料的丰富性和多样性；</w:t>
            </w:r>
          </w:p>
          <w:p w14:paraId="2047FB71">
            <w:pPr>
              <w:numPr>
                <w:ilvl w:val="0"/>
                <w:numId w:val="69"/>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通过图谱微课学生可以在讨论区发起新话题、互动点赞和回复，增强学习趣味性和社区参与度。</w:t>
            </w:r>
          </w:p>
          <w:p w14:paraId="08FA7CA6">
            <w:pPr>
              <w:numPr>
                <w:ilvl w:val="0"/>
                <w:numId w:val="69"/>
              </w:numP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图谱知识点学习支持错题集功能，可将学生学习过程中产生的错题归类到知识点下的错题集中；</w:t>
            </w:r>
          </w:p>
        </w:tc>
      </w:tr>
      <w:tr w14:paraId="07815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6" w:hRule="atLeast"/>
        </w:trPr>
        <w:tc>
          <w:tcPr>
            <w:tcW w:w="817" w:type="dxa"/>
            <w:vMerge w:val="continue"/>
            <w:noWrap w:val="0"/>
            <w:vAlign w:val="top"/>
          </w:tcPr>
          <w:p w14:paraId="57442B31">
            <w:pPr>
              <w:pStyle w:val="12"/>
              <w:spacing w:line="240" w:lineRule="auto"/>
              <w:rPr>
                <w:rFonts w:hint="eastAsia" w:ascii="宋体" w:hAnsi="宋体" w:eastAsia="宋体" w:cs="宋体"/>
                <w:sz w:val="21"/>
                <w:szCs w:val="21"/>
                <w:highlight w:val="none"/>
              </w:rPr>
            </w:pPr>
          </w:p>
        </w:tc>
        <w:tc>
          <w:tcPr>
            <w:tcW w:w="1276" w:type="dxa"/>
            <w:noWrap w:val="0"/>
            <w:vAlign w:val="center"/>
          </w:tcPr>
          <w:p w14:paraId="119AEA94">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知识图谱统计与分析</w:t>
            </w:r>
          </w:p>
          <w:p w14:paraId="2984B423">
            <w:pPr>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系统</w:t>
            </w:r>
          </w:p>
        </w:tc>
        <w:tc>
          <w:tcPr>
            <w:tcW w:w="7305" w:type="dxa"/>
            <w:noWrap w:val="0"/>
            <w:vAlign w:val="center"/>
          </w:tcPr>
          <w:p w14:paraId="422FB422">
            <w:pPr>
              <w:numPr>
                <w:ilvl w:val="0"/>
                <w:numId w:val="7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教师查看知识图谱的知识点建设情况，包括知识点建设率、图谱知识点总数、图谱关联资源知识点数、已设置标签的知识点数、图谱未关联资源知识点数等；支持查看不同知识点属性概况数据；支持查看图谱资源总数，关联视频、音频、文档、题目及其他类型资源数等；支持查看知识点关联资源数量排行榜。</w:t>
            </w:r>
          </w:p>
          <w:p w14:paraId="3456441C">
            <w:pPr>
              <w:numPr>
                <w:ilvl w:val="0"/>
                <w:numId w:val="7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支持教师查看不同班级的学情数据，包括每个知识点的完成率与掌握率、知识点热度、完成率与掌握率的学情分段人数、学生完成率与掌握率排行情况等数据。</w:t>
            </w:r>
          </w:p>
          <w:p w14:paraId="51B5D7BB">
            <w:pPr>
              <w:numPr>
                <w:ilvl w:val="0"/>
                <w:numId w:val="7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支持教师选择多个不同班级进行学情数据对比，对比内容包括班级掌握率、班级完成率、完成率区间对比与掌握率区间对比等数据。通过班级对比分析，便于教师更好</w:t>
            </w:r>
            <w:r>
              <w:rPr>
                <w:rFonts w:hint="eastAsia" w:ascii="宋体" w:hAnsi="宋体" w:eastAsia="宋体" w:cs="宋体"/>
                <w:color w:val="000000"/>
                <w:sz w:val="21"/>
                <w:szCs w:val="21"/>
                <w:highlight w:val="none"/>
                <w:lang w:eastAsia="zh-CN"/>
              </w:rPr>
              <w:t>地</w:t>
            </w:r>
            <w:r>
              <w:rPr>
                <w:rFonts w:hint="eastAsia" w:ascii="宋体" w:hAnsi="宋体" w:eastAsia="宋体" w:cs="宋体"/>
                <w:color w:val="000000"/>
                <w:sz w:val="21"/>
                <w:szCs w:val="21"/>
                <w:highlight w:val="none"/>
              </w:rPr>
              <w:t>了解不同班级间的学习差异。</w:t>
            </w:r>
          </w:p>
          <w:p w14:paraId="6C69379D">
            <w:pPr>
              <w:numPr>
                <w:ilvl w:val="0"/>
                <w:numId w:val="7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支持教师依据知识点的属性或分类层级，灵活选取多样的评价维度，进而生成学生或班级画像。通过统计各维度知识点的完成率与掌握率，精准了解和分析班级或学生的学习状况。</w:t>
            </w:r>
          </w:p>
          <w:p w14:paraId="1A755FEA">
            <w:pPr>
              <w:numPr>
                <w:ilvl w:val="0"/>
                <w:numId w:val="7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支持教师查看知识点名称、关联学习资源数、任务点数量、考试、作业、章节测验、平均完成率、平均掌握率等数据，并可以通过详情查看学生对知识点的完成与掌握情况。</w:t>
            </w:r>
          </w:p>
          <w:p w14:paraId="5399A426">
            <w:pPr>
              <w:numPr>
                <w:ilvl w:val="0"/>
                <w:numId w:val="70"/>
              </w:numPr>
              <w:rPr>
                <w:rFonts w:hint="eastAsia" w:ascii="宋体" w:hAnsi="宋体" w:eastAsia="宋体" w:cs="宋体"/>
                <w:color w:val="000000"/>
                <w:sz w:val="21"/>
                <w:szCs w:val="21"/>
                <w:highlight w:val="none"/>
              </w:rPr>
            </w:pPr>
            <w:r>
              <w:rPr>
                <w:rFonts w:hint="eastAsia" w:ascii="宋体" w:hAnsi="宋体" w:eastAsia="宋体" w:cs="宋体"/>
                <w:sz w:val="21"/>
                <w:szCs w:val="21"/>
              </w:rPr>
              <w:t>支持教师查看学生平均完成率、平均掌握率，并通过详情查看每个学生对知识点的完成与掌握情况。包括学生知识点的完成情况、掌握情况、知识点关联的学习任务完成详情等以及查看此知识点的课程资源和系统推荐的图书、期刊、报纸、课程等拓展资源。</w:t>
            </w:r>
          </w:p>
          <w:p w14:paraId="62EED110">
            <w:pPr>
              <w:numPr>
                <w:ilvl w:val="0"/>
                <w:numId w:val="7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支持学生查看本人的知识点统计分析，包括每个分类、知识点的完成情况、掌握情况、课程资料阅读情况等。</w:t>
            </w:r>
          </w:p>
          <w:p w14:paraId="46FCFF79">
            <w:pPr>
              <w:numPr>
                <w:ilvl w:val="0"/>
                <w:numId w:val="7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支持学生查看自己单个分类、知识点的统计分析详情，包括完成情况、掌握情况、知识点关联的学习任务完成详情等。</w:t>
            </w:r>
          </w:p>
          <w:p w14:paraId="503559FB">
            <w:pPr>
              <w:numPr>
                <w:ilvl w:val="0"/>
                <w:numId w:val="70"/>
              </w:numP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系统支持学生通过知识点统计知识点个数关联的资源个数完成率情况及掌握率情况。</w:t>
            </w:r>
          </w:p>
        </w:tc>
      </w:tr>
      <w:tr w14:paraId="567F6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14:paraId="7F4884F3">
            <w:pPr>
              <w:pStyle w:val="12"/>
              <w:spacing w:line="240" w:lineRule="auto"/>
              <w:jc w:val="center"/>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AI工作台</w:t>
            </w:r>
          </w:p>
        </w:tc>
        <w:tc>
          <w:tcPr>
            <w:tcW w:w="1276" w:type="dxa"/>
            <w:noWrap w:val="0"/>
            <w:vAlign w:val="center"/>
          </w:tcPr>
          <w:p w14:paraId="2A1DAF80">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问答管理</w:t>
            </w:r>
          </w:p>
        </w:tc>
        <w:tc>
          <w:tcPr>
            <w:tcW w:w="7305" w:type="dxa"/>
            <w:noWrap w:val="0"/>
            <w:vAlign w:val="top"/>
          </w:tcPr>
          <w:p w14:paraId="589DF854">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支持自定义添加、编辑、删除业务问答分类，分类数量无限制；</w:t>
            </w:r>
          </w:p>
          <w:p w14:paraId="16C217EC">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支持自定义添加、编辑、删除、批量导入、批量导出、批量删除业务问答规则，业务问答规则数量无限制；</w:t>
            </w:r>
          </w:p>
          <w:p w14:paraId="0EE2E745">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支持手工启用、停用业务问答规则，可根据关键词搜索业务内容；</w:t>
            </w:r>
          </w:p>
          <w:p w14:paraId="7856871E">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业务问答规则中，答案支持文本、图片、视频、自定义级联菜单、图文混排、链接等多种内容；</w:t>
            </w:r>
          </w:p>
          <w:p w14:paraId="6A060166">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业务问答支持关联微应用，支持关联本单位的已有应用与自建应用；</w:t>
            </w:r>
          </w:p>
          <w:p w14:paraId="0AEFA3A0">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自定义添加、编辑业务问答中问题标签，并根据标签进行问答提示；</w:t>
            </w:r>
          </w:p>
          <w:p w14:paraId="51BE39ED">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支持用户手动上传文档至问答库，上传后系统可对上传的文档进行解析，解析后可智能回答文档相关问题；</w:t>
            </w:r>
          </w:p>
          <w:p w14:paraId="4A7E746B">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▲支持同步校本网络教学平台已建设的网络课程资料进行智能解析，解析后可围绕课程内容进行人机问答；</w:t>
            </w:r>
          </w:p>
          <w:p w14:paraId="4AE34F1C">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支持根据用户输入问题进行匹配提示；</w:t>
            </w:r>
          </w:p>
          <w:p w14:paraId="25F02FB7">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支持问答无匹配时，提供语义相似度最高的热门问题；</w:t>
            </w:r>
          </w:p>
          <w:p w14:paraId="167B094D">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支持未知问题回复语自定义设置；</w:t>
            </w:r>
          </w:p>
          <w:p w14:paraId="5AFCE67F">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支持欢迎语的自定义设置；</w:t>
            </w:r>
          </w:p>
          <w:p w14:paraId="7A348F0C">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支持阈值自定义；</w:t>
            </w:r>
          </w:p>
          <w:p w14:paraId="68215EFD">
            <w:pPr>
              <w:numPr>
                <w:ilvl w:val="0"/>
                <w:numId w:val="71"/>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支持自定义配置访客端的常见问题；</w:t>
            </w:r>
          </w:p>
        </w:tc>
      </w:tr>
      <w:tr w14:paraId="12880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71580AB4">
            <w:pPr>
              <w:pStyle w:val="12"/>
              <w:spacing w:line="240" w:lineRule="auto"/>
              <w:rPr>
                <w:rFonts w:hint="eastAsia" w:ascii="宋体" w:hAnsi="宋体" w:eastAsia="宋体" w:cs="宋体"/>
                <w:sz w:val="21"/>
                <w:szCs w:val="21"/>
                <w:highlight w:val="none"/>
              </w:rPr>
            </w:pPr>
          </w:p>
        </w:tc>
        <w:tc>
          <w:tcPr>
            <w:tcW w:w="1276" w:type="dxa"/>
            <w:noWrap w:val="0"/>
            <w:vAlign w:val="center"/>
          </w:tcPr>
          <w:p w14:paraId="7D08A313">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智能问答</w:t>
            </w:r>
          </w:p>
        </w:tc>
        <w:tc>
          <w:tcPr>
            <w:tcW w:w="7305" w:type="dxa"/>
            <w:noWrap w:val="0"/>
            <w:vAlign w:val="top"/>
          </w:tcPr>
          <w:p w14:paraId="4F2EE1C0">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支持多轮对话，可基于上一个问题的回答继续进行后续问答；</w:t>
            </w:r>
          </w:p>
          <w:p w14:paraId="7D41D9E1">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提问时支持通过语音输入问题；</w:t>
            </w:r>
          </w:p>
          <w:p w14:paraId="4DF6D098">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提问时支持上传图片通过读取图片内的问题进行提问；</w:t>
            </w:r>
          </w:p>
          <w:p w14:paraId="0C9F9248">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提问时支持用户上传文档，让大模型围绕此份文档智能回答相关问题；</w:t>
            </w:r>
          </w:p>
          <w:p w14:paraId="712B0CD7">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支持用户自主选择是否需要大模型回复；</w:t>
            </w:r>
          </w:p>
          <w:p w14:paraId="00E09280">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助教输出的答案支持显示来源，可截取显示与答案有关的原文内容，也可通过来源跳转回原文全文展开学习；</w:t>
            </w:r>
          </w:p>
          <w:p w14:paraId="31D8A3A6">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▲助教可针对原文文档进行智能解析，可提炼该文档的概述、导图等内容，并可提炼文档相关问答，结合文档内容针对性实现智能问答；</w:t>
            </w:r>
          </w:p>
          <w:p w14:paraId="483554A0">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支持用户针对回答答案进行是否满意的选择，满意和不满意问题均会记录至后台，管理员可将其二次修改后加入问答库；</w:t>
            </w:r>
          </w:p>
          <w:p w14:paraId="75BE0A93">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问答时支持智能推荐问题关联的相关微应用；</w:t>
            </w:r>
          </w:p>
          <w:p w14:paraId="2C455C74">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支持查询图书、期刊等文献，根据用户输入问题推荐相关文献，图书、期刊等推荐文献支持通过在线查看原文、文献传递等途径获取；</w:t>
            </w:r>
          </w:p>
          <w:p w14:paraId="03EBF9CE">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支持针对用户网络课程学习进度和掌握情况，个性化推荐学习资源；</w:t>
            </w:r>
          </w:p>
          <w:p w14:paraId="32D946A2">
            <w:pPr>
              <w:numPr>
                <w:ilvl w:val="0"/>
                <w:numId w:val="72"/>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支持移动端、PC端多种使用渠道；</w:t>
            </w:r>
          </w:p>
        </w:tc>
      </w:tr>
      <w:tr w14:paraId="724A4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03380664">
            <w:pPr>
              <w:pStyle w:val="12"/>
              <w:spacing w:line="240" w:lineRule="auto"/>
              <w:rPr>
                <w:rFonts w:hint="eastAsia" w:ascii="宋体" w:hAnsi="宋体" w:eastAsia="宋体" w:cs="宋体"/>
                <w:sz w:val="21"/>
                <w:szCs w:val="21"/>
                <w:highlight w:val="none"/>
              </w:rPr>
            </w:pPr>
          </w:p>
        </w:tc>
        <w:tc>
          <w:tcPr>
            <w:tcW w:w="1276" w:type="dxa"/>
            <w:noWrap w:val="0"/>
            <w:vAlign w:val="center"/>
          </w:tcPr>
          <w:p w14:paraId="71E3F0CA">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数据统计</w:t>
            </w:r>
          </w:p>
        </w:tc>
        <w:tc>
          <w:tcPr>
            <w:tcW w:w="7305" w:type="dxa"/>
            <w:noWrap w:val="0"/>
            <w:vAlign w:val="top"/>
          </w:tcPr>
          <w:p w14:paraId="112A6082">
            <w:pPr>
              <w:numPr>
                <w:ilvl w:val="0"/>
                <w:numId w:val="73"/>
              </w:numPr>
              <w:rPr>
                <w:rFonts w:hint="eastAsia" w:ascii="宋体" w:hAnsi="宋体" w:eastAsia="宋体" w:cs="宋体"/>
                <w:sz w:val="21"/>
                <w:szCs w:val="21"/>
                <w:highlight w:val="none"/>
              </w:rPr>
            </w:pPr>
            <w:r>
              <w:rPr>
                <w:rFonts w:hint="eastAsia" w:ascii="宋体" w:hAnsi="宋体" w:eastAsia="宋体" w:cs="宋体"/>
                <w:sz w:val="21"/>
                <w:szCs w:val="21"/>
                <w:highlight w:val="none"/>
              </w:rPr>
              <w:t>机器可自动对没有答案的问题描述进行关键词识别并统计聚类，按照关键词问答频率由高到低排序，同时可以批量导出未知问题；</w:t>
            </w:r>
          </w:p>
          <w:p w14:paraId="2B47CD7B">
            <w:pPr>
              <w:numPr>
                <w:ilvl w:val="0"/>
                <w:numId w:val="73"/>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支持统计历史会话，可按照时间范围、使用渠道等维度进行筛选，并可查看、导出会话具体内容；</w:t>
            </w:r>
          </w:p>
          <w:p w14:paraId="3ED07C36">
            <w:pPr>
              <w:numPr>
                <w:ilvl w:val="0"/>
                <w:numId w:val="73"/>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支持统计访客信息，可分时间段了解访客访问趋势、地区等信息；</w:t>
            </w:r>
          </w:p>
          <w:p w14:paraId="7AC23DF6">
            <w:pPr>
              <w:numPr>
                <w:ilvl w:val="0"/>
                <w:numId w:val="73"/>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支持分时间段查看问答匹配率、满意率的占比；</w:t>
            </w:r>
          </w:p>
          <w:p w14:paraId="2B5C8985">
            <w:pPr>
              <w:numPr>
                <w:ilvl w:val="0"/>
                <w:numId w:val="73"/>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支持查看热门问答；</w:t>
            </w:r>
          </w:p>
          <w:p w14:paraId="1062294D">
            <w:pPr>
              <w:numPr>
                <w:ilvl w:val="0"/>
                <w:numId w:val="73"/>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支持统计回复类型占比；</w:t>
            </w:r>
          </w:p>
          <w:p w14:paraId="494243B7">
            <w:pPr>
              <w:numPr>
                <w:ilvl w:val="0"/>
                <w:numId w:val="73"/>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支持统计问答库不同分类的问答比率；</w:t>
            </w:r>
          </w:p>
        </w:tc>
      </w:tr>
      <w:tr w14:paraId="4C10D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top"/>
          </w:tcPr>
          <w:p w14:paraId="19EF0A9F">
            <w:pPr>
              <w:pStyle w:val="12"/>
              <w:spacing w:line="240" w:lineRule="auto"/>
              <w:rPr>
                <w:rFonts w:hint="eastAsia" w:ascii="宋体" w:hAnsi="宋体" w:eastAsia="宋体" w:cs="宋体"/>
                <w:sz w:val="21"/>
                <w:szCs w:val="21"/>
                <w:highlight w:val="none"/>
              </w:rPr>
            </w:pPr>
          </w:p>
        </w:tc>
        <w:tc>
          <w:tcPr>
            <w:tcW w:w="1276" w:type="dxa"/>
            <w:noWrap w:val="0"/>
            <w:vAlign w:val="center"/>
          </w:tcPr>
          <w:p w14:paraId="0513F05E">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AI智能教学应用</w:t>
            </w:r>
          </w:p>
        </w:tc>
        <w:tc>
          <w:tcPr>
            <w:tcW w:w="7305" w:type="dxa"/>
            <w:noWrap w:val="0"/>
            <w:vAlign w:val="top"/>
          </w:tcPr>
          <w:p w14:paraId="34F950A4">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AI教案：</w:t>
            </w:r>
          </w:p>
          <w:p w14:paraId="46CE8AF4">
            <w:pPr>
              <w:numPr>
                <w:ilvl w:val="0"/>
                <w:numId w:val="75"/>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教师输入教学材料或关键词，AI自动生成教案，并支持教师借助写作助手进行再次编辑。</w:t>
            </w:r>
          </w:p>
          <w:p w14:paraId="41CAA13E">
            <w:pPr>
              <w:numPr>
                <w:ilvl w:val="0"/>
                <w:numId w:val="75"/>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支持教师补充所教层次、适合的教学风格，形成更加具有个性化的教案。</w:t>
            </w:r>
          </w:p>
          <w:p w14:paraId="43DD3E7F">
            <w:pPr>
              <w:numPr>
                <w:ilvl w:val="0"/>
                <w:numId w:val="75"/>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支持一键导出教案，并且支持按学校教案模板导出。</w:t>
            </w:r>
          </w:p>
          <w:p w14:paraId="5791C1B1">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AI 生成PPT：通过输入PPT内容要求，AI智能生成PPT大纲，支持教师在线直接编辑生成的大纲内容，确认无误后，AI自动根据大纲生成PPT，教师可以选择PPT模板。</w:t>
            </w:r>
          </w:p>
          <w:p w14:paraId="5752D28A">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AI绘画：根据教师输入的需求，自动</w:t>
            </w:r>
            <w:r>
              <w:rPr>
                <w:rFonts w:hint="eastAsia" w:ascii="宋体" w:hAnsi="宋体" w:eastAsia="宋体" w:cs="宋体"/>
                <w:sz w:val="21"/>
                <w:szCs w:val="21"/>
                <w:highlight w:val="none"/>
                <w:lang w:eastAsia="zh-CN"/>
              </w:rPr>
              <w:t>生成</w:t>
            </w:r>
            <w:r>
              <w:rPr>
                <w:rFonts w:hint="eastAsia" w:ascii="宋体" w:hAnsi="宋体" w:eastAsia="宋体" w:cs="宋体"/>
                <w:sz w:val="21"/>
                <w:szCs w:val="21"/>
                <w:highlight w:val="none"/>
              </w:rPr>
              <w:t>图片，增加艺术教育与创新。</w:t>
            </w:r>
          </w:p>
          <w:p w14:paraId="09E2AA3C">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我的课表：通过和教务对接，可以展示当前学期个人课表信息，同时具备手工添加课表功能，可以设置关联线上课程、编写教案、关联网络班级、编辑上课周次、上课时间、节次、节数、上课地点等，上课地点支持填写线下地点和线上地点，线上地点支持和腾讯会议、zoom等会议</w:t>
            </w:r>
            <w:r>
              <w:rPr>
                <w:rFonts w:hint="eastAsia" w:ascii="宋体" w:hAnsi="宋体" w:eastAsia="宋体" w:cs="宋体"/>
                <w:sz w:val="21"/>
                <w:szCs w:val="21"/>
                <w:highlight w:val="none"/>
                <w:lang w:eastAsia="zh-CN"/>
              </w:rPr>
              <w:t>软件</w:t>
            </w:r>
            <w:r>
              <w:rPr>
                <w:rFonts w:hint="eastAsia" w:ascii="宋体" w:hAnsi="宋体" w:eastAsia="宋体" w:cs="宋体"/>
                <w:sz w:val="21"/>
                <w:szCs w:val="21"/>
                <w:highlight w:val="none"/>
              </w:rPr>
              <w:t>对接。通过课表教师可以直接发起直播和课堂活动，展开教学。</w:t>
            </w:r>
          </w:p>
          <w:p w14:paraId="4845A29C">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章节AI写作：教师可以向智能写作助手提出需求，写作助手会根据要求创作相应的内容，教师点击保存可以将内容输出到章节编辑页面上。</w:t>
            </w:r>
          </w:p>
          <w:p w14:paraId="38CE9E65">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章节内容审查，文本纠错：可帮助教师实现文字自动校对，包括错字、漏字、缺字、多字、语法、错误、语义错误等都可以实现自动校对标注。</w:t>
            </w:r>
          </w:p>
          <w:p w14:paraId="124A916D">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智能编辑：支持选中章节或者教案内的需要修改的一段文字，支持精简、润色或扩写，智能编辑助手能够根据需求提供合适的编辑建议。</w:t>
            </w:r>
          </w:p>
          <w:p w14:paraId="672F5DA4">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支持进行作业查重，对于简答题、论述题等主观题，不仅能全文比对海量资源库数据，还能进行班级内、课程内和校内自建库的全方位比对，并生成</w:t>
            </w:r>
            <w:r>
              <w:rPr>
                <w:rFonts w:hint="eastAsia" w:ascii="宋体" w:hAnsi="宋体" w:eastAsia="宋体" w:cs="宋体"/>
                <w:sz w:val="21"/>
                <w:szCs w:val="21"/>
                <w:highlight w:val="none"/>
                <w:lang w:eastAsia="zh-CN"/>
              </w:rPr>
              <w:t>翔实</w:t>
            </w:r>
            <w:r>
              <w:rPr>
                <w:rFonts w:hint="eastAsia" w:ascii="宋体" w:hAnsi="宋体" w:eastAsia="宋体" w:cs="宋体"/>
                <w:sz w:val="21"/>
                <w:szCs w:val="21"/>
                <w:highlight w:val="none"/>
              </w:rPr>
              <w:t>的检测报告。</w:t>
            </w:r>
          </w:p>
          <w:p w14:paraId="1DC2600F">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支持听力题AI语音生成，教师可以通过输入文本，让AI系统生成相应的语音内容，以用于听力练习或考试。</w:t>
            </w:r>
          </w:p>
          <w:p w14:paraId="0E69D7DE">
            <w:pPr>
              <w:numPr>
                <w:ilvl w:val="0"/>
                <w:numId w:val="76"/>
              </w:numPr>
              <w:rPr>
                <w:rFonts w:hint="eastAsia" w:ascii="宋体" w:hAnsi="宋体" w:eastAsia="宋体" w:cs="宋体"/>
                <w:sz w:val="21"/>
                <w:szCs w:val="21"/>
                <w:highlight w:val="none"/>
              </w:rPr>
            </w:pPr>
            <w:r>
              <w:rPr>
                <w:rFonts w:hint="eastAsia" w:ascii="宋体" w:hAnsi="宋体" w:eastAsia="宋体" w:cs="宋体"/>
                <w:sz w:val="21"/>
                <w:szCs w:val="21"/>
                <w:highlight w:val="none"/>
              </w:rPr>
              <w:t>文本输入：教师可以输入对话或文本内容，例如听力材料、对话内容等。</w:t>
            </w:r>
          </w:p>
          <w:p w14:paraId="28E574E6">
            <w:pPr>
              <w:numPr>
                <w:ilvl w:val="0"/>
                <w:numId w:val="76"/>
              </w:numPr>
              <w:rPr>
                <w:rFonts w:hint="eastAsia" w:ascii="宋体" w:hAnsi="宋体" w:eastAsia="宋体" w:cs="宋体"/>
                <w:sz w:val="21"/>
                <w:szCs w:val="21"/>
                <w:highlight w:val="none"/>
              </w:rPr>
            </w:pPr>
            <w:r>
              <w:rPr>
                <w:rFonts w:hint="eastAsia" w:ascii="宋体" w:hAnsi="宋体" w:eastAsia="宋体" w:cs="宋体"/>
                <w:sz w:val="21"/>
                <w:szCs w:val="21"/>
                <w:highlight w:val="none"/>
              </w:rPr>
              <w:t>音频生成： AI系统可以根据输入的文本内容自动生成对应的语音内容，包括男性和女性不同音色的声音。</w:t>
            </w:r>
          </w:p>
          <w:p w14:paraId="7AE9E2D2">
            <w:pPr>
              <w:numPr>
                <w:ilvl w:val="0"/>
                <w:numId w:val="76"/>
              </w:numPr>
              <w:rPr>
                <w:rFonts w:hint="eastAsia" w:ascii="宋体" w:hAnsi="宋体" w:eastAsia="宋体" w:cs="宋体"/>
                <w:sz w:val="21"/>
                <w:szCs w:val="21"/>
                <w:highlight w:val="none"/>
              </w:rPr>
            </w:pPr>
            <w:r>
              <w:rPr>
                <w:rFonts w:hint="eastAsia" w:ascii="宋体" w:hAnsi="宋体" w:eastAsia="宋体" w:cs="宋体"/>
                <w:sz w:val="21"/>
                <w:szCs w:val="21"/>
                <w:highlight w:val="none"/>
              </w:rPr>
              <w:t>定制设置： 教师可以根据需要设置生成音频的语速、音量等参数，以确保符合教学要求和学生需求。</w:t>
            </w:r>
          </w:p>
          <w:p w14:paraId="456535DF">
            <w:pPr>
              <w:numPr>
                <w:ilvl w:val="0"/>
                <w:numId w:val="76"/>
              </w:numPr>
              <w:rPr>
                <w:rFonts w:hint="eastAsia" w:ascii="宋体" w:hAnsi="宋体" w:eastAsia="宋体" w:cs="宋体"/>
                <w:sz w:val="21"/>
                <w:szCs w:val="21"/>
                <w:highlight w:val="none"/>
              </w:rPr>
            </w:pPr>
            <w:r>
              <w:rPr>
                <w:rFonts w:hint="eastAsia" w:ascii="宋体" w:hAnsi="宋体" w:eastAsia="宋体" w:cs="宋体"/>
                <w:sz w:val="21"/>
                <w:szCs w:val="21"/>
                <w:highlight w:val="none"/>
              </w:rPr>
              <w:t>个性化定制： 教师可以根据具体情况选择不同的音色、语速和音量，以提供更加贴近教学内容和学生接受能力的听力材料。</w:t>
            </w:r>
          </w:p>
          <w:p w14:paraId="24494975">
            <w:pPr>
              <w:numPr>
                <w:ilvl w:val="0"/>
                <w:numId w:val="76"/>
              </w:numPr>
              <w:rPr>
                <w:rFonts w:hint="eastAsia" w:ascii="宋体" w:hAnsi="宋体" w:eastAsia="宋体" w:cs="宋体"/>
                <w:sz w:val="21"/>
                <w:szCs w:val="21"/>
                <w:highlight w:val="none"/>
              </w:rPr>
            </w:pPr>
            <w:r>
              <w:rPr>
                <w:rFonts w:hint="eastAsia" w:ascii="宋体" w:hAnsi="宋体" w:eastAsia="宋体" w:cs="宋体"/>
                <w:sz w:val="21"/>
                <w:szCs w:val="21"/>
                <w:highlight w:val="none"/>
              </w:rPr>
              <w:t>语言：支持英语、日语、西班牙语语言。</w:t>
            </w:r>
          </w:p>
          <w:p w14:paraId="14BB552D">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AI智能出题：</w:t>
            </w:r>
          </w:p>
          <w:p w14:paraId="23A63935">
            <w:pPr>
              <w:numPr>
                <w:ilvl w:val="0"/>
                <w:numId w:val="77"/>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支持教师通过输入相关的教学材料和知识点，AI系统可以自动生成对应的题目并且不限制教师使用次数。</w:t>
            </w:r>
          </w:p>
          <w:p w14:paraId="64F755AA">
            <w:pPr>
              <w:numPr>
                <w:ilvl w:val="0"/>
                <w:numId w:val="77"/>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支持多种题型，题型包括选择题、填空题、简答题等，以便满足不同类型考题的需求</w:t>
            </w:r>
          </w:p>
          <w:p w14:paraId="7932615E">
            <w:pPr>
              <w:numPr>
                <w:ilvl w:val="0"/>
                <w:numId w:val="77"/>
              </w:numPr>
              <w:rPr>
                <w:rFonts w:hint="eastAsia" w:ascii="宋体" w:hAnsi="宋体" w:eastAsia="宋体" w:cs="宋体"/>
                <w:sz w:val="21"/>
                <w:szCs w:val="21"/>
                <w:highlight w:val="none"/>
              </w:rPr>
            </w:pPr>
            <w:r>
              <w:rPr>
                <w:rFonts w:hint="eastAsia" w:ascii="宋体" w:hAnsi="宋体" w:eastAsia="宋体" w:cs="宋体"/>
                <w:sz w:val="21"/>
                <w:szCs w:val="21"/>
                <w:highlight w:val="none"/>
              </w:rPr>
              <w:t>教师可以根据课程内容和学生水平，将生成的题目添加到题库。并随时使用这些题目进行测验、考试或者课堂练习。</w:t>
            </w:r>
          </w:p>
          <w:p w14:paraId="2F0F938C">
            <w:pPr>
              <w:numPr>
                <w:ilvl w:val="0"/>
                <w:numId w:val="77"/>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支持设置出的题目的要求，比如：适用年级、难易度、题目偏向等。</w:t>
            </w:r>
          </w:p>
          <w:p w14:paraId="29D74451">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支持口语测评题，教师可以输入需要学生跟读的文本，学生通过系统录制跟读的音频，系统将对录音进行语音分析评估其完整度、准确度和流利度，并给出针对性的评分和反馈意见。</w:t>
            </w:r>
          </w:p>
          <w:p w14:paraId="1556396D">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AI批阅程序题，能够自动对学生提交的代码进行评分和反馈。 AI会根据预先设定的评分标准和规则，对学生提交的代码进行自动评分，包括代码质量、逻辑正确性、语法规范等方面， AI可以分析代码的复杂度，指出可能存在的改进空间，帮助学生提高代码的效率和可读性， 教师可以根据AI的评分结果和反馈，为学生提供个性化的指导和辅导。</w:t>
            </w:r>
          </w:p>
          <w:p w14:paraId="4BCB6404">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智能批阅：使用先进的 AI 技术，能够批阅学生的语文或者英语作文。系统会从结构、内容、语言等 6 个大维度，12～16 个细分维度进行打分，并给出推荐总分。</w:t>
            </w:r>
          </w:p>
          <w:p w14:paraId="3042A00D">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学生可以在写作题作答时直接上传已写好作文的图片。系统能够准确识别各种字体、大小和语言的文字。无论是手写的笔记，还是打印好的写作纸，都能够自动识别并提取图片中的文字内容，将其转化为可编辑的文本格式。</w:t>
            </w:r>
          </w:p>
          <w:p w14:paraId="46A8131B">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文献阅读：通过大模型快速阅读和理解文字内容，自动生成词云、摘要、脑图、试题，基于自然对话方式进行问题回答。同时也支持针对章节、资料中的文档，支持AI进行解析，生成文档摘要、脑图及词云。</w:t>
            </w:r>
          </w:p>
          <w:p w14:paraId="434DEC0E">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视频理解：借助AI视频分析解读功能，实现机器问答、视频内容词云、脑图、试题、字幕生成等功能，视频中涉及的知识点将被自动识别并形成知识点片段和知识点词云。同时也支持针对章节中的视频，支持AI进行解析，生成视频摘要、视频分段总结、提取知识点。</w:t>
            </w:r>
          </w:p>
          <w:p w14:paraId="69E2DFFF">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对课程建设系统中的视频进行智能分析，自动匹配课程中的知识点，并在视频对应的时间点进行自动打点，同时基于人工智能技术生成知识点词云分析并展示；视频播放时学生可以定位到时间点观看对应知识点的视频讲解。</w:t>
            </w:r>
          </w:p>
          <w:p w14:paraId="391AE252">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通过大模型实时翻译，实现学术文献中英文对照阅读。</w:t>
            </w:r>
          </w:p>
          <w:p w14:paraId="6662D4D3">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公式识别：教师录入公式后，系统自动将图片公式分析出来并可转换为latex公式。</w:t>
            </w:r>
          </w:p>
          <w:p w14:paraId="763264B8">
            <w:pPr>
              <w:numPr>
                <w:ilvl w:val="0"/>
                <w:numId w:val="74"/>
              </w:numPr>
              <w:rPr>
                <w:rFonts w:hint="eastAsia" w:ascii="宋体" w:hAnsi="宋体" w:eastAsia="宋体" w:cs="宋体"/>
                <w:sz w:val="21"/>
                <w:szCs w:val="21"/>
                <w:highlight w:val="none"/>
              </w:rPr>
            </w:pPr>
            <w:r>
              <w:rPr>
                <w:rFonts w:hint="eastAsia" w:ascii="宋体" w:hAnsi="宋体" w:eastAsia="宋体" w:cs="宋体"/>
                <w:sz w:val="21"/>
                <w:szCs w:val="21"/>
                <w:highlight w:val="none"/>
              </w:rPr>
              <w:t>学情分析：支持根据平台学生学习情况或者上传excel文档，教师选择需要分析维度，自动进行学生学情分析。</w:t>
            </w:r>
          </w:p>
        </w:tc>
      </w:tr>
      <w:tr w14:paraId="68C67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14:paraId="5BE7F00F">
            <w:pPr>
              <w:pStyle w:val="12"/>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任务引擎</w:t>
            </w:r>
          </w:p>
        </w:tc>
        <w:tc>
          <w:tcPr>
            <w:tcW w:w="1276" w:type="dxa"/>
            <w:noWrap w:val="0"/>
            <w:vAlign w:val="center"/>
          </w:tcPr>
          <w:p w14:paraId="5179FEC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课程任务引擎管理</w:t>
            </w:r>
          </w:p>
        </w:tc>
        <w:tc>
          <w:tcPr>
            <w:tcW w:w="7305" w:type="dxa"/>
            <w:noWrap w:val="0"/>
            <w:vAlign w:val="top"/>
          </w:tcPr>
          <w:p w14:paraId="38DE02F5">
            <w:pPr>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rPr>
              <w:t>任务引擎列表支持展示当前用户创建的任务：</w:t>
            </w:r>
          </w:p>
          <w:p w14:paraId="213BED1F">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支持新建任务，新建任务时可自定义任务名称、任务封面、任务介绍、任务标签。新建后默认跳转到当前任务的管理页面，进行任务设计操作</w:t>
            </w:r>
          </w:p>
          <w:p w14:paraId="46A3F445">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支持根据任务名称查询对应的任务</w:t>
            </w:r>
          </w:p>
          <w:p w14:paraId="309C765D">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支持删除任务，删除任务后，列表不可见</w:t>
            </w:r>
          </w:p>
          <w:p w14:paraId="594E3CCF">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支持在已删除任务查看已删除的任务数据，支持恢复已删除的任务资源</w:t>
            </w:r>
          </w:p>
          <w:p w14:paraId="50396C7E">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支持AI生成任务，简化教师创建任务的操作流程</w:t>
            </w:r>
          </w:p>
          <w:p w14:paraId="0C85C98E">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支持按章节生成任务，支持教师选择当前课程下的章节，一个章节生成一个任务</w:t>
            </w:r>
          </w:p>
          <w:p w14:paraId="7B9F5C3F">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支持按教案生成任务，支持教师选择当前课程下的教案，一个教案生成一个任务</w:t>
            </w:r>
          </w:p>
          <w:p w14:paraId="55BC38E6">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支持按文本生成任务，支持教师通过输入文本、上传文件的方式生成任务</w:t>
            </w:r>
          </w:p>
          <w:p w14:paraId="6858EBD0">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任务生成后，点击保存任务，在任务列表上新增一条任务数据（当前只支持生成任务的基本信息）</w:t>
            </w:r>
          </w:p>
          <w:p w14:paraId="68456EF9">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支持点击任务上的管理按钮，跳转当前任务的管理页面，支持修改任务信息，学生管理和查看任务统计</w:t>
            </w:r>
          </w:p>
          <w:p w14:paraId="2C05685F">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任务信息页面支持编辑基础信息和任务设计内容，支持保存、预览、设置、发布任务，支持查看任务门户</w:t>
            </w:r>
          </w:p>
          <w:p w14:paraId="35C9F3B8">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支持编辑任务基本信息，包括任务名称、任务封面、任务介绍、任务标签</w:t>
            </w:r>
          </w:p>
          <w:p w14:paraId="1EF86D68">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支持完成任务设计，进行任务分组、任务点添加和管理、任务点完成条件、任务达标标准的设置</w:t>
            </w:r>
          </w:p>
          <w:p w14:paraId="43306663">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支持切换不同展示效果的任务设计（列表模式、卡片模式）</w:t>
            </w:r>
          </w:p>
          <w:p w14:paraId="0356672F">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支持在任务下进行分组维护，支持编辑分组信息，包括分组名称和分组描述</w:t>
            </w:r>
          </w:p>
          <w:p w14:paraId="1805E375">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支持删除创建好的分组，删除后分组下的任务点同步删除，第一个分组不支持删除</w:t>
            </w:r>
          </w:p>
          <w:p w14:paraId="5BE85208">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支持在任务下添加具体的资源类型，其中包含视频、文档、笔记、课程内容（课程、章节、知识点）、作业、测验、自测、直播、课堂、问卷、审批、自定义</w:t>
            </w:r>
          </w:p>
          <w:p w14:paraId="6D726353">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支持在对应任务类型列表进行任务资源的维护，包括新建、查询、预览、管理、编辑操作</w:t>
            </w:r>
          </w:p>
          <w:p w14:paraId="532F88AD">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章节、知识点、作业、测验默认定位当前课的资源列表，支持切换数据源添加自建、共享资源</w:t>
            </w:r>
          </w:p>
          <w:p w14:paraId="54946F9C">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支持添加课程、知识点、作业、测验类型的共享资源</w:t>
            </w:r>
          </w:p>
          <w:p w14:paraId="01A440C9">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支持维护自定义类型，进行新增、编辑、删除自定义类型</w:t>
            </w:r>
          </w:p>
          <w:p w14:paraId="1D9CF52A">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支持对任务下添加的任务点进行编辑基本信息（修改后任务资源库不受影响），查看、编辑、管理和删除任务点操作</w:t>
            </w:r>
          </w:p>
          <w:p w14:paraId="3D467551">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支持作业、测验类型的任务点进行学生成绩批阅功能</w:t>
            </w:r>
          </w:p>
          <w:p w14:paraId="2C2AAA9D">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支持自定义类型的任务点进行发放签到和成绩录入功能</w:t>
            </w:r>
          </w:p>
          <w:p w14:paraId="03B1D0E9">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支持设置每个任务点的完成条件，不同类型的任务资源，完成条件不完全相等</w:t>
            </w:r>
          </w:p>
          <w:p w14:paraId="0137B625">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支持在分组下设置每个分组的组间完成条件</w:t>
            </w:r>
          </w:p>
          <w:p w14:paraId="002D7146">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支持在任务下设置整个任务的达标标准</w:t>
            </w:r>
          </w:p>
          <w:p w14:paraId="20D65FAF">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点击任务信息页面的查看门户页按钮，支持跳转该任务的门户页，进行门户查看</w:t>
            </w:r>
          </w:p>
          <w:p w14:paraId="1B3880AA">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点击任务信息页面的设置按钮，支持对任务进行共建、报名设置、证书设置、其他设置等操作</w:t>
            </w:r>
          </w:p>
          <w:p w14:paraId="7BDA1BBA">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支持切换开关实现是否开启任务报名、任务报名是否填写信息、任务报名是否审批等操作（发布后报名表单不可更改）</w:t>
            </w:r>
          </w:p>
          <w:p w14:paraId="7161B5C8">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支持切换开关实现任务达标是否发放证书操作，支持编辑证书</w:t>
            </w:r>
            <w:r>
              <w:rPr>
                <w:rFonts w:hint="eastAsia" w:ascii="宋体" w:hAnsi="宋体" w:eastAsia="宋体" w:cs="宋体"/>
                <w:sz w:val="21"/>
                <w:szCs w:val="21"/>
                <w:highlight w:val="none"/>
                <w:lang w:eastAsia="zh-CN"/>
              </w:rPr>
              <w:t>模板</w:t>
            </w:r>
            <w:r>
              <w:rPr>
                <w:rFonts w:hint="eastAsia" w:ascii="宋体" w:hAnsi="宋体" w:eastAsia="宋体" w:cs="宋体"/>
                <w:sz w:val="21"/>
                <w:szCs w:val="21"/>
                <w:highlight w:val="none"/>
              </w:rPr>
              <w:t>，查看发放证书</w:t>
            </w:r>
          </w:p>
          <w:p w14:paraId="5E3DA324">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支持填写任务目标，</w:t>
            </w:r>
            <w:r>
              <w:rPr>
                <w:rFonts w:hint="eastAsia" w:ascii="宋体" w:hAnsi="宋体" w:eastAsia="宋体" w:cs="宋体"/>
                <w:sz w:val="21"/>
                <w:szCs w:val="21"/>
                <w:highlight w:val="none"/>
                <w:lang w:val="en-US" w:eastAsia="zh-CN"/>
              </w:rPr>
              <w:t>可选择与课程</w:t>
            </w:r>
            <w:r>
              <w:rPr>
                <w:rFonts w:hint="eastAsia" w:ascii="宋体" w:hAnsi="宋体" w:eastAsia="宋体" w:cs="宋体"/>
                <w:sz w:val="21"/>
                <w:szCs w:val="21"/>
                <w:highlight w:val="none"/>
              </w:rPr>
              <w:t>目标相关联</w:t>
            </w:r>
          </w:p>
          <w:p w14:paraId="26DC3331">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支持点击预览按钮，查看学生端的预览效果</w:t>
            </w:r>
          </w:p>
          <w:p w14:paraId="18AAE19F">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支持点击保存按钮，保存任务的基本信息（任务设计模块实时保存）</w:t>
            </w:r>
          </w:p>
          <w:p w14:paraId="127BF01E">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支持任务发布，教师可以选择当前课程下的班级进行发布，已发布的班级下的学生个人空间可以看见该条任务，未发布的班级学生个人空间任务不可见</w:t>
            </w:r>
          </w:p>
          <w:p w14:paraId="3E046AA9">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任务统计页面，支持查看任务的学生和任务点概况</w:t>
            </w:r>
          </w:p>
          <w:p w14:paraId="774F7730">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任务统计页面，点击学生概况右侧的详情，支持查看当前任务的所有学生的学习情况</w:t>
            </w:r>
          </w:p>
          <w:p w14:paraId="0B8EFD2B">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支持根据达标状态、学生姓名/账号的方式筛选符合条件的学生列表</w:t>
            </w:r>
          </w:p>
          <w:p w14:paraId="24866D14">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点击学生的列表项右侧的详情，支持查看选中学生所有任务点的完成情况</w:t>
            </w:r>
          </w:p>
          <w:p w14:paraId="6C6A47E6">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支持根据任务点类型、任务分组、任务点完成条件、任务点名称筛选符合条件的任务点列表</w:t>
            </w:r>
          </w:p>
          <w:p w14:paraId="0E9C2634">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支持设置督学条件对满足条件的学生发起督学，支持点击单个学生督学、勾选多个学生批量督学</w:t>
            </w:r>
          </w:p>
          <w:p w14:paraId="3CAAA370">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任务统计页面，点击任务点概况右侧的详情，支持查看当前任务的所有任务点的完成情况</w:t>
            </w:r>
          </w:p>
          <w:p w14:paraId="211F8889">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点击任务点的列表项右侧的详情，支持查看选中任务点所有学生的学习情况</w:t>
            </w:r>
          </w:p>
          <w:p w14:paraId="7ECD3C15">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支持根据任务点完成情况、学生姓名/账号的方式筛选符合条件的学生列表</w:t>
            </w:r>
          </w:p>
          <w:p w14:paraId="0071731E">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支持设置督学条件对满足条件的学生发起督学</w:t>
            </w:r>
            <w:r>
              <w:rPr>
                <w:rFonts w:hint="eastAsia" w:ascii="宋体" w:hAnsi="宋体" w:eastAsia="宋体" w:cs="宋体"/>
                <w:sz w:val="21"/>
                <w:szCs w:val="21"/>
                <w:highlight w:val="none"/>
                <w:lang w:eastAsia="zh-CN"/>
              </w:rPr>
              <w:t>。</w:t>
            </w:r>
          </w:p>
          <w:p w14:paraId="3C6C1F26">
            <w:pPr>
              <w:numPr>
                <w:ilvl w:val="0"/>
                <w:numId w:val="78"/>
              </w:numPr>
              <w:rPr>
                <w:rFonts w:hint="eastAsia" w:ascii="宋体" w:hAnsi="宋体" w:eastAsia="宋体" w:cs="宋体"/>
                <w:sz w:val="21"/>
                <w:szCs w:val="21"/>
                <w:highlight w:val="none"/>
              </w:rPr>
            </w:pPr>
            <w:r>
              <w:rPr>
                <w:rFonts w:hint="eastAsia" w:ascii="宋体" w:hAnsi="宋体" w:eastAsia="宋体" w:cs="宋体"/>
                <w:sz w:val="21"/>
                <w:szCs w:val="21"/>
              </w:rPr>
              <w:t>任务引擎工具，支持切换标签页跳转任务设计页面，添加分组，添加任务点和设置闯关达标条件，创建任务支持拉取任务点类型包括：视频，文档（笔记），线上课堂，AI实践，作业，自测，问卷，审批，自定义等类型。学习页面提供不少于五种模式，学生可通过地图页面、3D小岛虚拟展厅模式进行闯关打卡学习，支持跳转至任务点详情页面进行学习。</w:t>
            </w:r>
          </w:p>
        </w:tc>
      </w:tr>
      <w:tr w14:paraId="6901B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14:paraId="77445604">
            <w:pPr>
              <w:pStyle w:val="12"/>
              <w:spacing w:line="240" w:lineRule="auto"/>
              <w:jc w:val="center"/>
              <w:rPr>
                <w:rFonts w:hint="eastAsia" w:ascii="宋体" w:hAnsi="宋体" w:eastAsia="宋体" w:cs="宋体"/>
                <w:sz w:val="21"/>
                <w:szCs w:val="21"/>
                <w:highlight w:val="none"/>
              </w:rPr>
            </w:pPr>
          </w:p>
        </w:tc>
        <w:tc>
          <w:tcPr>
            <w:tcW w:w="1276" w:type="dxa"/>
            <w:noWrap w:val="0"/>
            <w:vAlign w:val="center"/>
          </w:tcPr>
          <w:p w14:paraId="66174D7E">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学生任务</w:t>
            </w:r>
          </w:p>
          <w:p w14:paraId="29B1E471">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学习</w:t>
            </w:r>
          </w:p>
        </w:tc>
        <w:tc>
          <w:tcPr>
            <w:tcW w:w="7305" w:type="dxa"/>
            <w:noWrap w:val="0"/>
            <w:vAlign w:val="top"/>
          </w:tcPr>
          <w:p w14:paraId="6B0642B0">
            <w:pPr>
              <w:numPr>
                <w:ilvl w:val="0"/>
                <w:numId w:val="7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支持学生点击个人空间我的任务查看我的任务列表，支持学生点击课程任务查看我的任务</w:t>
            </w:r>
          </w:p>
          <w:p w14:paraId="0C81F3D0">
            <w:pPr>
              <w:numPr>
                <w:ilvl w:val="0"/>
                <w:numId w:val="79"/>
              </w:numPr>
              <w:rPr>
                <w:rFonts w:hint="eastAsia" w:ascii="宋体" w:hAnsi="宋体" w:eastAsia="宋体" w:cs="宋体"/>
                <w:sz w:val="21"/>
                <w:szCs w:val="21"/>
                <w:highlight w:val="none"/>
              </w:rPr>
            </w:pPr>
            <w:r>
              <w:rPr>
                <w:rFonts w:hint="eastAsia" w:ascii="宋体" w:hAnsi="宋体" w:eastAsia="宋体" w:cs="宋体"/>
                <w:sz w:val="21"/>
                <w:szCs w:val="21"/>
                <w:highlight w:val="none"/>
              </w:rPr>
              <w:t>点击进入学习，支持学生查看任务的基本信息，达标情况和解锁情况</w:t>
            </w:r>
          </w:p>
          <w:p w14:paraId="12D43267">
            <w:pPr>
              <w:numPr>
                <w:ilvl w:val="0"/>
                <w:numId w:val="7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支持点击达标按钮，查看学生当前的达标情况</w:t>
            </w:r>
          </w:p>
          <w:p w14:paraId="5ADE2182">
            <w:pPr>
              <w:numPr>
                <w:ilvl w:val="0"/>
                <w:numId w:val="79"/>
              </w:numPr>
              <w:rPr>
                <w:rFonts w:hint="eastAsia" w:ascii="宋体" w:hAnsi="宋体" w:eastAsia="宋体" w:cs="宋体"/>
                <w:sz w:val="21"/>
                <w:szCs w:val="21"/>
                <w:highlight w:val="none"/>
              </w:rPr>
            </w:pPr>
            <w:r>
              <w:rPr>
                <w:rFonts w:hint="eastAsia" w:ascii="宋体" w:hAnsi="宋体" w:eastAsia="宋体" w:cs="宋体"/>
                <w:sz w:val="21"/>
                <w:szCs w:val="21"/>
                <w:highlight w:val="none"/>
              </w:rPr>
              <w:t>任务设置发放证书后，任务达标后支持点击证书按钮，进行证书查看、下载操作</w:t>
            </w:r>
          </w:p>
          <w:p w14:paraId="63C84CCF">
            <w:pPr>
              <w:numPr>
                <w:ilvl w:val="0"/>
                <w:numId w:val="7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支持切换不同类型的学习路径（列表模式、框架模式、图谱模式），方便学生个性化学习</w:t>
            </w:r>
          </w:p>
          <w:p w14:paraId="227D2CCD">
            <w:pPr>
              <w:numPr>
                <w:ilvl w:val="0"/>
                <w:numId w:val="79"/>
              </w:numPr>
              <w:rPr>
                <w:rFonts w:hint="eastAsia" w:ascii="宋体" w:hAnsi="宋体" w:eastAsia="宋体" w:cs="宋体"/>
                <w:sz w:val="21"/>
                <w:szCs w:val="21"/>
                <w:highlight w:val="none"/>
              </w:rPr>
            </w:pPr>
            <w:r>
              <w:rPr>
                <w:rFonts w:hint="eastAsia" w:ascii="宋体" w:hAnsi="宋体" w:eastAsia="宋体" w:cs="宋体"/>
                <w:sz w:val="21"/>
                <w:szCs w:val="21"/>
                <w:highlight w:val="none"/>
              </w:rPr>
              <w:t>支持学生点击任务点进行学习，学习后返回任务详情，支持学生查看自己任务点的最新完成情况和待完成分组、任务点的解锁情况。</w:t>
            </w:r>
          </w:p>
        </w:tc>
      </w:tr>
    </w:tbl>
    <w:p w14:paraId="041E76D7">
      <w:pPr>
        <w:pStyle w:val="22"/>
        <w:rPr>
          <w:rFonts w:hint="eastAsia"/>
          <w:lang w:val="en-US" w:eastAsia="zh-CN"/>
        </w:rPr>
      </w:pPr>
    </w:p>
    <w:p w14:paraId="3C418FE2">
      <w:pPr>
        <w:spacing w:line="360" w:lineRule="auto"/>
        <w:ind w:firstLine="360" w:firstLineChars="150"/>
        <w:rPr>
          <w:rFonts w:hint="eastAsia" w:ascii="宋体" w:hAnsi="宋体" w:eastAsia="宋体" w:cs="宋体"/>
          <w:sz w:val="24"/>
          <w:szCs w:val="24"/>
          <w:highlight w:val="none"/>
          <w:lang w:val="en-US" w:eastAsia="zh-CN"/>
        </w:rPr>
      </w:pPr>
    </w:p>
    <w:p w14:paraId="06A2035B">
      <w:pPr>
        <w:numPr>
          <w:ilvl w:val="0"/>
          <w:numId w:val="0"/>
        </w:numPr>
        <w:spacing w:line="360" w:lineRule="auto"/>
        <w:ind w:leftChars="0"/>
        <w:jc w:val="both"/>
        <w:rPr>
          <w:rFonts w:hint="eastAsia" w:ascii="宋体" w:hAnsi="宋体" w:eastAsia="宋体" w:cs="宋体"/>
          <w:b/>
          <w:color w:val="auto"/>
          <w:sz w:val="32"/>
          <w:szCs w:val="32"/>
          <w:highlight w:val="none"/>
          <w:lang w:val="en-US" w:eastAsia="zh-CN"/>
        </w:rPr>
      </w:pPr>
    </w:p>
    <w:p w14:paraId="2722D1EF">
      <w:pPr>
        <w:pStyle w:val="5"/>
        <w:rPr>
          <w:rFonts w:hint="eastAsia" w:ascii="宋体" w:hAnsi="宋体" w:eastAsia="宋体" w:cs="宋体"/>
          <w:b/>
          <w:color w:val="auto"/>
          <w:sz w:val="32"/>
          <w:szCs w:val="32"/>
          <w:highlight w:val="none"/>
          <w:lang w:val="en-US" w:eastAsia="zh-CN"/>
        </w:rPr>
      </w:pPr>
    </w:p>
    <w:p w14:paraId="0282275F">
      <w:pPr>
        <w:numPr>
          <w:ilvl w:val="0"/>
          <w:numId w:val="0"/>
        </w:numPr>
        <w:spacing w:line="360" w:lineRule="auto"/>
        <w:ind w:leftChars="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第四部分   </w:t>
      </w:r>
      <w:bookmarkStart w:id="22" w:name="_Toc457826145"/>
      <w:r>
        <w:rPr>
          <w:rFonts w:hint="eastAsia" w:ascii="宋体" w:hAnsi="宋体" w:eastAsia="宋体" w:cs="宋体"/>
          <w:b/>
          <w:color w:val="auto"/>
          <w:sz w:val="32"/>
          <w:szCs w:val="32"/>
          <w:highlight w:val="none"/>
          <w:lang w:val="en-US" w:eastAsia="zh-CN"/>
        </w:rPr>
        <w:t>商务及合同主要条款</w:t>
      </w:r>
    </w:p>
    <w:bookmarkEnd w:id="22"/>
    <w:p w14:paraId="2D1E8B17">
      <w:pPr>
        <w:spacing w:line="560" w:lineRule="exact"/>
        <w:ind w:firstLine="560" w:firstLineChars="200"/>
        <w:rPr>
          <w:rFonts w:hint="eastAsia" w:ascii="宋体" w:hAnsi="宋体" w:eastAsia="宋体" w:cs="宋体"/>
          <w:color w:val="000000"/>
          <w:sz w:val="28"/>
          <w:szCs w:val="28"/>
        </w:rPr>
      </w:pPr>
      <w:bookmarkStart w:id="23" w:name="_Toc167714067"/>
      <w:bookmarkStart w:id="24" w:name="_Toc167712869"/>
      <w:bookmarkStart w:id="25" w:name="_Toc167715264"/>
      <w:r>
        <w:rPr>
          <w:rFonts w:hint="eastAsia" w:ascii="宋体" w:hAnsi="宋体" w:eastAsia="宋体" w:cs="宋体"/>
          <w:color w:val="000000"/>
          <w:sz w:val="28"/>
          <w:szCs w:val="28"/>
        </w:rPr>
        <w:t>（一）服务期限</w:t>
      </w:r>
    </w:p>
    <w:p w14:paraId="5FAE3135">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自签订合同之日起</w:t>
      </w:r>
      <w:r>
        <w:rPr>
          <w:rFonts w:hint="eastAsia" w:ascii="宋体" w:hAnsi="宋体" w:eastAsia="宋体" w:cs="宋体"/>
          <w:color w:val="auto"/>
          <w:sz w:val="28"/>
          <w:szCs w:val="28"/>
          <w:lang w:val="en-US" w:eastAsia="zh-CN"/>
        </w:rPr>
        <w:t>36</w:t>
      </w:r>
      <w:r>
        <w:rPr>
          <w:rFonts w:hint="eastAsia" w:ascii="宋体" w:hAnsi="宋体" w:eastAsia="宋体" w:cs="宋体"/>
          <w:color w:val="000000"/>
          <w:sz w:val="28"/>
          <w:szCs w:val="28"/>
        </w:rPr>
        <w:t>个月。</w:t>
      </w:r>
    </w:p>
    <w:p w14:paraId="15A0A152">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（二）知识产权：所有交付的教学资源版权归学校所有。交付给学校的视频中如引用了第三方资源，应标注来源，相关知识产权问题由投标方负责解决，学校不承担责任。</w:t>
      </w:r>
    </w:p>
    <w:p w14:paraId="5CC1E5EF">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（三）价格与支付</w:t>
      </w:r>
    </w:p>
    <w:p w14:paraId="48E9FBC7">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中标人承担的数字化教学资源制作服务完成后，按照中标人投标报价计算出收费数额，由采购人支付。</w:t>
      </w:r>
    </w:p>
    <w:p w14:paraId="61222A64">
      <w:pPr>
        <w:spacing w:line="56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合同签订前向甲方支付合同金额5%的履约保证金，</w:t>
      </w:r>
      <w:r>
        <w:rPr>
          <w:rFonts w:hint="eastAsia" w:ascii="宋体" w:hAnsi="宋体" w:eastAsia="宋体" w:cs="宋体"/>
          <w:color w:val="000000"/>
          <w:sz w:val="28"/>
          <w:szCs w:val="28"/>
        </w:rPr>
        <w:t>甲方验收合格后，由乙方开具全额增值税</w:t>
      </w:r>
      <w:r>
        <w:rPr>
          <w:rFonts w:hint="eastAsia" w:ascii="宋体" w:hAnsi="宋体" w:eastAsia="宋体" w:cs="宋体"/>
          <w:color w:val="000000"/>
          <w:sz w:val="28"/>
          <w:szCs w:val="28"/>
          <w:lang w:val="en-US" w:eastAsia="zh-CN"/>
        </w:rPr>
        <w:t>专用</w:t>
      </w:r>
      <w:r>
        <w:rPr>
          <w:rFonts w:hint="eastAsia" w:ascii="宋体" w:hAnsi="宋体" w:eastAsia="宋体" w:cs="宋体"/>
          <w:color w:val="000000"/>
          <w:sz w:val="28"/>
          <w:szCs w:val="28"/>
        </w:rPr>
        <w:t>发票，</w:t>
      </w:r>
      <w:r>
        <w:rPr>
          <w:rFonts w:hint="eastAsia" w:ascii="宋体" w:hAnsi="宋体" w:eastAsia="宋体" w:cs="宋体"/>
          <w:color w:val="000000"/>
          <w:sz w:val="28"/>
          <w:szCs w:val="28"/>
          <w:lang w:val="en-US" w:eastAsia="zh-CN"/>
        </w:rPr>
        <w:t>支付合同金额</w:t>
      </w:r>
      <w:r>
        <w:rPr>
          <w:rFonts w:hint="eastAsia" w:ascii="宋体" w:hAnsi="宋体" w:eastAsia="宋体" w:cs="宋体"/>
          <w:color w:val="auto"/>
          <w:sz w:val="28"/>
          <w:szCs w:val="28"/>
          <w:lang w:eastAsia="zh-CN"/>
        </w:rPr>
        <w:t>。</w:t>
      </w:r>
    </w:p>
    <w:p w14:paraId="5C0521A4">
      <w:pPr>
        <w:numPr>
          <w:ilvl w:val="0"/>
          <w:numId w:val="0"/>
        </w:numPr>
        <w:spacing w:line="560" w:lineRule="exact"/>
        <w:ind w:firstLine="64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（四）知识产权</w:t>
      </w:r>
    </w:p>
    <w:p w14:paraId="5DDAE85E">
      <w:pPr>
        <w:numPr>
          <w:ilvl w:val="0"/>
          <w:numId w:val="0"/>
        </w:numPr>
        <w:spacing w:line="560" w:lineRule="exact"/>
        <w:ind w:firstLine="640"/>
        <w:rPr>
          <w:rFonts w:hint="eastAsia" w:ascii="宋体" w:hAnsi="宋体" w:eastAsia="宋体" w:cs="宋体"/>
          <w:sz w:val="28"/>
          <w:szCs w:val="28"/>
          <w:lang w:val="en-US" w:eastAsia="zh-CN"/>
        </w:rPr>
      </w:pPr>
      <w:r>
        <w:rPr>
          <w:rFonts w:hint="eastAsia" w:ascii="宋体" w:hAnsi="宋体" w:eastAsia="宋体" w:cs="宋体"/>
          <w:bCs/>
          <w:color w:val="auto"/>
          <w:sz w:val="28"/>
          <w:szCs w:val="28"/>
          <w:lang w:val="en-US" w:eastAsia="zh-CN"/>
        </w:rPr>
        <w:t>教学资源</w:t>
      </w:r>
      <w:r>
        <w:rPr>
          <w:rFonts w:hint="eastAsia" w:ascii="宋体" w:hAnsi="宋体" w:eastAsia="宋体" w:cs="宋体"/>
          <w:bCs/>
          <w:color w:val="auto"/>
          <w:sz w:val="28"/>
          <w:szCs w:val="28"/>
        </w:rPr>
        <w:t>的所有权及相应权益归属采购方。未经采购方许可，服务提供商不得以任何形式侵犯其所有权，否则，采购方有权依法追究其法律责任，并要求服务提供商赔偿因此造成的甲方损失（包括但不限于物质损失、名誉损失）。</w:t>
      </w:r>
    </w:p>
    <w:p w14:paraId="54A160F9">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五</w:t>
      </w:r>
      <w:r>
        <w:rPr>
          <w:rFonts w:hint="eastAsia" w:ascii="宋体" w:hAnsi="宋体" w:eastAsia="宋体" w:cs="宋体"/>
          <w:color w:val="000000"/>
          <w:sz w:val="28"/>
          <w:szCs w:val="28"/>
        </w:rPr>
        <w:t>）具体项目委托方法</w:t>
      </w:r>
    </w:p>
    <w:p w14:paraId="3D24CDDF">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合同期内的具体业务应严格控制在本次招标确定的机构范围内。</w:t>
      </w:r>
    </w:p>
    <w:p w14:paraId="59A13819">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六</w:t>
      </w:r>
      <w:r>
        <w:rPr>
          <w:rFonts w:hint="eastAsia" w:ascii="宋体" w:hAnsi="宋体" w:eastAsia="宋体" w:cs="宋体"/>
          <w:color w:val="000000"/>
          <w:sz w:val="28"/>
          <w:szCs w:val="28"/>
        </w:rPr>
        <w:t>）交付地点：采购人指定地点。</w:t>
      </w:r>
    </w:p>
    <w:p w14:paraId="166E6BED">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七</w:t>
      </w:r>
      <w:r>
        <w:rPr>
          <w:rFonts w:hint="eastAsia" w:ascii="宋体" w:hAnsi="宋体" w:eastAsia="宋体" w:cs="宋体"/>
          <w:color w:val="000000"/>
          <w:sz w:val="28"/>
          <w:szCs w:val="28"/>
        </w:rPr>
        <w:t>）杂费</w:t>
      </w:r>
    </w:p>
    <w:p w14:paraId="3E9C3D94">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已包含在合同总价内，包括从合同实施需要的所有设备、材料、场地及具体实施所包含的一切杂费。</w:t>
      </w:r>
    </w:p>
    <w:p w14:paraId="0FC8718B">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八</w:t>
      </w:r>
      <w:r>
        <w:rPr>
          <w:rFonts w:hint="eastAsia" w:ascii="宋体" w:hAnsi="宋体" w:eastAsia="宋体" w:cs="宋体"/>
          <w:color w:val="000000"/>
          <w:sz w:val="28"/>
          <w:szCs w:val="28"/>
        </w:rPr>
        <w:t>）技术服务。</w:t>
      </w:r>
    </w:p>
    <w:p w14:paraId="7BDCB6CE">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rPr>
        <w:t>按照用户要求，制定施工方案。</w:t>
      </w:r>
    </w:p>
    <w:p w14:paraId="6473FC60">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严格按照技术规范、流程、制作和服务。</w:t>
      </w:r>
    </w:p>
    <w:p w14:paraId="72D6894B">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九</w:t>
      </w:r>
      <w:r>
        <w:rPr>
          <w:rFonts w:hint="eastAsia" w:ascii="宋体" w:hAnsi="宋体" w:eastAsia="宋体" w:cs="宋体"/>
          <w:color w:val="000000"/>
          <w:sz w:val="28"/>
          <w:szCs w:val="28"/>
        </w:rPr>
        <w:t>）合同价款</w:t>
      </w:r>
    </w:p>
    <w:p w14:paraId="00BFC077">
      <w:pPr>
        <w:spacing w:line="560" w:lineRule="exact"/>
        <w:ind w:firstLine="560" w:firstLineChars="200"/>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合同总价据实结算。</w:t>
      </w:r>
      <w:r>
        <w:rPr>
          <w:rFonts w:hint="eastAsia" w:ascii="宋体" w:hAnsi="宋体" w:eastAsia="宋体" w:cs="宋体"/>
          <w:color w:val="000000"/>
          <w:sz w:val="28"/>
          <w:szCs w:val="28"/>
          <w:lang w:val="en-US" w:eastAsia="zh-CN"/>
        </w:rPr>
        <w:t>项目建设或服务</w:t>
      </w:r>
      <w:r>
        <w:rPr>
          <w:rFonts w:hint="eastAsia" w:ascii="宋体" w:hAnsi="宋体" w:eastAsia="宋体" w:cs="宋体"/>
          <w:color w:val="000000"/>
          <w:sz w:val="28"/>
          <w:szCs w:val="28"/>
        </w:rPr>
        <w:t>价一次包死，在合同执行过程中不因其他因素进行变更</w:t>
      </w:r>
      <w:r>
        <w:rPr>
          <w:rFonts w:hint="eastAsia" w:ascii="宋体" w:hAnsi="宋体" w:eastAsia="宋体" w:cs="宋体"/>
          <w:color w:val="000000"/>
          <w:sz w:val="28"/>
          <w:szCs w:val="28"/>
          <w:lang w:eastAsia="zh-CN"/>
        </w:rPr>
        <w:t>。</w:t>
      </w:r>
    </w:p>
    <w:p w14:paraId="32AB1B06">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十</w:t>
      </w:r>
      <w:r>
        <w:rPr>
          <w:rFonts w:hint="eastAsia" w:ascii="宋体" w:hAnsi="宋体" w:eastAsia="宋体" w:cs="宋体"/>
          <w:color w:val="000000"/>
          <w:sz w:val="28"/>
          <w:szCs w:val="28"/>
        </w:rPr>
        <w:t>）服务承诺</w:t>
      </w:r>
    </w:p>
    <w:p w14:paraId="6D59B72E">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投标人应遵照国家规范规定的技术服务内容及要求作出明确承诺。</w:t>
      </w:r>
    </w:p>
    <w:p w14:paraId="6D54A245">
      <w:pPr>
        <w:spacing w:line="56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1.质保期为终验合格后不少于</w:t>
      </w:r>
      <w:r>
        <w:rPr>
          <w:rFonts w:hint="eastAsia" w:ascii="宋体" w:hAnsi="宋体" w:eastAsia="宋体" w:cs="宋体"/>
          <w:color w:val="auto"/>
          <w:sz w:val="28"/>
          <w:szCs w:val="28"/>
          <w:lang w:val="en-US" w:eastAsia="zh-CN"/>
        </w:rPr>
        <w:t>36</w:t>
      </w:r>
      <w:r>
        <w:rPr>
          <w:rFonts w:hint="eastAsia" w:ascii="宋体" w:hAnsi="宋体" w:eastAsia="宋体" w:cs="宋体"/>
          <w:color w:val="auto"/>
          <w:sz w:val="28"/>
          <w:szCs w:val="28"/>
        </w:rPr>
        <w:t>个月（服务中有具体要求的，按照服务要求提供质保）。投标人承诺的质保时间超过招标文件要求的，按其承诺时间质保。</w:t>
      </w:r>
    </w:p>
    <w:p w14:paraId="24796078">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2.投标人承诺的质保期起始时间为终验合格之日。</w:t>
      </w:r>
    </w:p>
    <w:p w14:paraId="152D7413">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3.质保</w:t>
      </w:r>
      <w:r>
        <w:rPr>
          <w:rFonts w:hint="eastAsia" w:ascii="宋体" w:hAnsi="宋体" w:eastAsia="宋体" w:cs="宋体"/>
          <w:color w:val="000000"/>
          <w:sz w:val="28"/>
          <w:szCs w:val="28"/>
          <w:lang w:eastAsia="zh-CN"/>
        </w:rPr>
        <w:t>期内出现的质量问题</w:t>
      </w:r>
      <w:r>
        <w:rPr>
          <w:rFonts w:hint="eastAsia" w:ascii="宋体" w:hAnsi="宋体" w:eastAsia="宋体" w:cs="宋体"/>
          <w:color w:val="000000"/>
          <w:sz w:val="28"/>
          <w:szCs w:val="28"/>
        </w:rPr>
        <w:t>由投标人负责解决并承担所有费用。</w:t>
      </w:r>
    </w:p>
    <w:p w14:paraId="0EBAD564">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（十</w:t>
      </w:r>
      <w:r>
        <w:rPr>
          <w:rFonts w:hint="eastAsia" w:ascii="宋体" w:hAnsi="宋体" w:eastAsia="宋体" w:cs="宋体"/>
          <w:color w:val="000000"/>
          <w:sz w:val="28"/>
          <w:szCs w:val="28"/>
          <w:lang w:val="en-US" w:eastAsia="zh-CN"/>
        </w:rPr>
        <w:t>一</w:t>
      </w:r>
      <w:r>
        <w:rPr>
          <w:rFonts w:hint="eastAsia" w:ascii="宋体" w:hAnsi="宋体" w:eastAsia="宋体" w:cs="宋体"/>
          <w:color w:val="000000"/>
          <w:sz w:val="28"/>
          <w:szCs w:val="28"/>
        </w:rPr>
        <w:t>）售后服务</w:t>
      </w:r>
    </w:p>
    <w:p w14:paraId="06783578">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数字化教学资源制作完成后，中标人须派专业技术人员到现场进行验收，达到完全使用条件。</w:t>
      </w:r>
    </w:p>
    <w:p w14:paraId="3A764616">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中标人协助采购人完成数字化教学资源制作。</w:t>
      </w:r>
    </w:p>
    <w:p w14:paraId="5BEB5CD4">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投标人所投数字化教学资源制作服务须提供一年系统质量保证，一年7*24小时上门技术服务支持。</w:t>
      </w:r>
    </w:p>
    <w:p w14:paraId="5D36EB6D">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提供详细的售后服务计划。</w:t>
      </w:r>
    </w:p>
    <w:p w14:paraId="2DB7643C">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（十</w:t>
      </w:r>
      <w:r>
        <w:rPr>
          <w:rFonts w:hint="eastAsia" w:ascii="宋体" w:hAnsi="宋体" w:eastAsia="宋体" w:cs="宋体"/>
          <w:color w:val="000000"/>
          <w:sz w:val="28"/>
          <w:szCs w:val="28"/>
          <w:lang w:val="en-US" w:eastAsia="zh-CN"/>
        </w:rPr>
        <w:t>二</w:t>
      </w:r>
      <w:r>
        <w:rPr>
          <w:rFonts w:hint="eastAsia" w:ascii="宋体" w:hAnsi="宋体" w:eastAsia="宋体" w:cs="宋体"/>
          <w:color w:val="000000"/>
          <w:sz w:val="28"/>
          <w:szCs w:val="28"/>
        </w:rPr>
        <w:t>）合同实施</w:t>
      </w:r>
    </w:p>
    <w:p w14:paraId="11E8ADAE">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1.投标人应在合同签订后3个工作日内安排拍摄人员前往项目地址，根据采购人需求及实际状况合理设计。</w:t>
      </w:r>
    </w:p>
    <w:p w14:paraId="45318229">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2.若因投标人未能在服务周期内完成合同规定的义务，由此对采购人造成的延误和一切损失，由投标人全部承担和赔偿。</w:t>
      </w:r>
    </w:p>
    <w:p w14:paraId="0262A323">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（十</w:t>
      </w:r>
      <w:r>
        <w:rPr>
          <w:rFonts w:hint="eastAsia" w:ascii="宋体" w:hAnsi="宋体" w:eastAsia="宋体" w:cs="宋体"/>
          <w:color w:val="000000"/>
          <w:sz w:val="28"/>
          <w:szCs w:val="28"/>
          <w:lang w:val="en-US" w:eastAsia="zh-CN"/>
        </w:rPr>
        <w:t>三</w:t>
      </w:r>
      <w:r>
        <w:rPr>
          <w:rFonts w:hint="eastAsia" w:ascii="宋体" w:hAnsi="宋体" w:eastAsia="宋体" w:cs="宋体"/>
          <w:color w:val="000000"/>
          <w:sz w:val="28"/>
          <w:szCs w:val="28"/>
        </w:rPr>
        <w:t>）验收</w:t>
      </w:r>
    </w:p>
    <w:p w14:paraId="77A285AF">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1.所有视频拍摄完成后并在平台正常使用10个工作日后，由采购人、使用单位组织相关部门进行验收。</w:t>
      </w:r>
    </w:p>
    <w:p w14:paraId="6817DF17">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2.验收不合格的投标人，必须在接到通知后7个工作日内确保项目通过验收。如接到通知后7个工作日内验收仍不合格，采购人可提出索赔或取消其服务合同。</w:t>
      </w:r>
    </w:p>
    <w:p w14:paraId="35294D23">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3.验收依据。</w:t>
      </w:r>
    </w:p>
    <w:p w14:paraId="1E977A60">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国家有关的验收标准及规范；</w:t>
      </w:r>
    </w:p>
    <w:p w14:paraId="74ED3FFE">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合同文本及合同补充文件（条款）； </w:t>
      </w:r>
    </w:p>
    <w:p w14:paraId="5AE2A40C">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招标文件；</w:t>
      </w:r>
    </w:p>
    <w:p w14:paraId="6495A176">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投标文件。</w:t>
      </w:r>
    </w:p>
    <w:p w14:paraId="67702ACF">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（十</w:t>
      </w:r>
      <w:r>
        <w:rPr>
          <w:rFonts w:hint="eastAsia" w:ascii="宋体" w:hAnsi="宋体" w:eastAsia="宋体" w:cs="宋体"/>
          <w:color w:val="000000"/>
          <w:sz w:val="28"/>
          <w:szCs w:val="28"/>
          <w:lang w:val="en-US" w:eastAsia="zh-CN"/>
        </w:rPr>
        <w:t>四</w:t>
      </w:r>
      <w:r>
        <w:rPr>
          <w:rFonts w:hint="eastAsia" w:ascii="宋体" w:hAnsi="宋体" w:eastAsia="宋体" w:cs="宋体"/>
          <w:color w:val="000000"/>
          <w:sz w:val="28"/>
          <w:szCs w:val="28"/>
        </w:rPr>
        <w:t>）违约责任：</w:t>
      </w:r>
    </w:p>
    <w:p w14:paraId="4B2DA322">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按《中华人民共和国</w:t>
      </w:r>
      <w:r>
        <w:rPr>
          <w:rFonts w:hint="eastAsia" w:ascii="宋体" w:hAnsi="宋体" w:eastAsia="宋体" w:cs="宋体"/>
          <w:color w:val="000000"/>
          <w:sz w:val="28"/>
          <w:szCs w:val="28"/>
          <w:lang w:eastAsia="zh-CN"/>
        </w:rPr>
        <w:t>民法典</w:t>
      </w:r>
      <w:r>
        <w:rPr>
          <w:rFonts w:hint="eastAsia" w:ascii="宋体" w:hAnsi="宋体" w:eastAsia="宋体" w:cs="宋体"/>
          <w:color w:val="000000"/>
          <w:sz w:val="28"/>
          <w:szCs w:val="28"/>
        </w:rPr>
        <w:t>》中的相关条款执行。</w:t>
      </w:r>
    </w:p>
    <w:p w14:paraId="475B190A">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未按合同要求提供，不能采购人技术要求，采购人会同监督单位有权终止合同，直至对中标人违约行为进行追究。</w:t>
      </w:r>
    </w:p>
    <w:p w14:paraId="730735CE">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（1）中标人每延误工期1日，向采购人支付赔偿金人民币500元，推迟工期10日(包括10日)，没收全部履约保证金。</w:t>
      </w:r>
    </w:p>
    <w:p w14:paraId="0441BA8E">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（2）中标人数字化教学资源制作服务不符合合同规定，也未得到采购人认可时，应负责更换，并承担由此而引起的延误工期责任。</w:t>
      </w:r>
    </w:p>
    <w:p w14:paraId="5F769520">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中标人不按售后服务承诺提供售后服务时，将从履约保证金中扣除维护费用（每次扣质保金的10％），履约保证金不足部分由中标人支付。</w:t>
      </w:r>
    </w:p>
    <w:p w14:paraId="0C2BFB56">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中标人严重违约后，采购人可单方终止合同。出现此类情况时，将根据《中华人民共和国政府采购法》以及相关政策办法视为情形对中标人进行处罚，并依据《中华人民共和国</w:t>
      </w:r>
      <w:r>
        <w:rPr>
          <w:rFonts w:hint="eastAsia" w:ascii="宋体" w:hAnsi="宋体" w:eastAsia="宋体" w:cs="宋体"/>
          <w:color w:val="000000"/>
          <w:sz w:val="28"/>
          <w:szCs w:val="28"/>
          <w:lang w:eastAsia="zh-CN"/>
        </w:rPr>
        <w:t>民法典</w:t>
      </w:r>
      <w:r>
        <w:rPr>
          <w:rFonts w:hint="eastAsia" w:ascii="宋体" w:hAnsi="宋体" w:eastAsia="宋体" w:cs="宋体"/>
          <w:color w:val="000000"/>
          <w:sz w:val="28"/>
          <w:szCs w:val="28"/>
        </w:rPr>
        <w:t>》追究其法律责任。</w:t>
      </w:r>
    </w:p>
    <w:p w14:paraId="657CEFA5">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中标人违反本合同其他任何一项义务，经采购人通知限期改正期满后仍未改正的，采购人有权解除本合同，中标人应当承担因此</w:t>
      </w:r>
      <w:r>
        <w:rPr>
          <w:rFonts w:hint="eastAsia" w:ascii="宋体" w:hAnsi="宋体" w:eastAsia="宋体" w:cs="宋体"/>
          <w:color w:val="000000"/>
          <w:sz w:val="28"/>
          <w:szCs w:val="28"/>
          <w:lang w:val="en-US" w:eastAsia="zh-CN"/>
        </w:rPr>
        <w:t>带来的法律后果</w:t>
      </w:r>
      <w:r>
        <w:rPr>
          <w:rFonts w:hint="eastAsia" w:ascii="宋体" w:hAnsi="宋体" w:eastAsia="宋体" w:cs="宋体"/>
          <w:color w:val="000000"/>
          <w:sz w:val="28"/>
          <w:szCs w:val="28"/>
        </w:rPr>
        <w:t>。</w:t>
      </w:r>
    </w:p>
    <w:p w14:paraId="1CA7DB0C">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（十</w:t>
      </w:r>
      <w:r>
        <w:rPr>
          <w:rFonts w:hint="eastAsia" w:ascii="宋体" w:hAnsi="宋体" w:eastAsia="宋体" w:cs="宋体"/>
          <w:color w:val="000000"/>
          <w:sz w:val="28"/>
          <w:szCs w:val="28"/>
          <w:lang w:val="en-US" w:eastAsia="zh-CN"/>
        </w:rPr>
        <w:t>五</w:t>
      </w:r>
      <w:r>
        <w:rPr>
          <w:rFonts w:hint="eastAsia" w:ascii="宋体" w:hAnsi="宋体" w:eastAsia="宋体" w:cs="宋体"/>
          <w:color w:val="000000"/>
          <w:sz w:val="28"/>
          <w:szCs w:val="28"/>
        </w:rPr>
        <w:t>）合同争议的解决</w:t>
      </w:r>
    </w:p>
    <w:p w14:paraId="3A78323C">
      <w:pPr>
        <w:spacing w:line="560" w:lineRule="exact"/>
        <w:ind w:firstLine="560"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合同执行</w:t>
      </w:r>
      <w:r>
        <w:rPr>
          <w:rFonts w:hint="eastAsia" w:ascii="宋体" w:hAnsi="宋体" w:eastAsia="宋体" w:cs="宋体"/>
          <w:color w:val="000000"/>
          <w:sz w:val="28"/>
          <w:szCs w:val="28"/>
          <w:lang w:eastAsia="zh-CN"/>
        </w:rPr>
        <w:t>过程中发生争议</w:t>
      </w:r>
      <w:r>
        <w:rPr>
          <w:rFonts w:hint="eastAsia" w:ascii="宋体" w:hAnsi="宋体" w:eastAsia="宋体" w:cs="宋体"/>
          <w:color w:val="000000"/>
          <w:sz w:val="28"/>
          <w:szCs w:val="28"/>
        </w:rPr>
        <w:t>的，当事人双方应协商解决，协商达不成一致时，可</w:t>
      </w:r>
      <w:r>
        <w:rPr>
          <w:rFonts w:hint="eastAsia" w:ascii="宋体" w:hAnsi="宋体" w:eastAsia="宋体" w:cs="宋体"/>
          <w:color w:val="000000"/>
          <w:sz w:val="28"/>
          <w:szCs w:val="28"/>
          <w:lang w:val="en-US" w:eastAsia="zh-CN"/>
        </w:rPr>
        <w:t>下列方式之一进行解决：</w:t>
      </w:r>
    </w:p>
    <w:p w14:paraId="5CA32E94">
      <w:pPr>
        <w:numPr>
          <w:ilvl w:val="0"/>
          <w:numId w:val="0"/>
        </w:numPr>
        <w:spacing w:line="560" w:lineRule="exact"/>
        <w:ind w:firstLine="840" w:firstLineChars="3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1.向</w:t>
      </w:r>
      <w:r>
        <w:rPr>
          <w:rFonts w:hint="eastAsia" w:ascii="宋体" w:hAnsi="宋体" w:eastAsia="宋体" w:cs="宋体"/>
          <w:color w:val="000000"/>
          <w:sz w:val="28"/>
          <w:szCs w:val="28"/>
        </w:rPr>
        <w:t>延安仲裁委员会申请仲裁</w:t>
      </w:r>
      <w:r>
        <w:rPr>
          <w:rFonts w:hint="eastAsia" w:ascii="宋体" w:hAnsi="宋体" w:eastAsia="宋体" w:cs="宋体"/>
          <w:color w:val="000000"/>
          <w:sz w:val="28"/>
          <w:szCs w:val="28"/>
          <w:lang w:eastAsia="zh-CN"/>
        </w:rPr>
        <w:t>；</w:t>
      </w:r>
    </w:p>
    <w:p w14:paraId="5A6436A3">
      <w:pPr>
        <w:numPr>
          <w:ilvl w:val="0"/>
          <w:numId w:val="0"/>
        </w:numPr>
        <w:spacing w:line="560" w:lineRule="exact"/>
        <w:ind w:firstLine="840" w:firstLineChars="3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2.向宝塔区人民法院提起诉讼</w:t>
      </w:r>
      <w:r>
        <w:rPr>
          <w:rFonts w:hint="eastAsia" w:ascii="宋体" w:hAnsi="宋体" w:eastAsia="宋体" w:cs="宋体"/>
          <w:color w:val="000000"/>
          <w:sz w:val="28"/>
          <w:szCs w:val="28"/>
        </w:rPr>
        <w:t>。</w:t>
      </w:r>
    </w:p>
    <w:p w14:paraId="4AFD00F1">
      <w:pPr>
        <w:spacing w:line="56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（十</w:t>
      </w:r>
      <w:r>
        <w:rPr>
          <w:rFonts w:hint="eastAsia" w:ascii="宋体" w:hAnsi="宋体" w:eastAsia="宋体" w:cs="宋体"/>
          <w:color w:val="000000"/>
          <w:sz w:val="28"/>
          <w:szCs w:val="28"/>
          <w:lang w:val="en-US" w:eastAsia="zh-CN"/>
        </w:rPr>
        <w:t>六</w:t>
      </w:r>
      <w:r>
        <w:rPr>
          <w:rFonts w:hint="eastAsia" w:ascii="宋体" w:hAnsi="宋体" w:eastAsia="宋体" w:cs="宋体"/>
          <w:color w:val="000000"/>
          <w:sz w:val="28"/>
          <w:szCs w:val="28"/>
        </w:rPr>
        <w:t>）本合同从签订之日起生效，合同规定的全部事宜和程序结束后终止。本合同一式六份，甲方</w:t>
      </w:r>
      <w:r>
        <w:rPr>
          <w:rFonts w:hint="eastAsia" w:ascii="宋体" w:hAnsi="宋体" w:eastAsia="宋体" w:cs="宋体"/>
          <w:color w:val="000000"/>
          <w:sz w:val="28"/>
          <w:szCs w:val="28"/>
          <w:lang w:val="en-US" w:eastAsia="zh-CN"/>
        </w:rPr>
        <w:t>四</w:t>
      </w:r>
      <w:r>
        <w:rPr>
          <w:rFonts w:hint="eastAsia" w:ascii="宋体" w:hAnsi="宋体" w:eastAsia="宋体" w:cs="宋体"/>
          <w:color w:val="000000"/>
          <w:sz w:val="28"/>
          <w:szCs w:val="28"/>
        </w:rPr>
        <w:t>份、乙方和</w:t>
      </w:r>
      <w:r>
        <w:rPr>
          <w:rFonts w:hint="eastAsia" w:ascii="宋体" w:hAnsi="宋体" w:eastAsia="宋体" w:cs="宋体"/>
          <w:sz w:val="28"/>
          <w:szCs w:val="28"/>
          <w:lang w:val="en-US" w:eastAsia="zh-CN"/>
        </w:rPr>
        <w:t>招标</w:t>
      </w:r>
      <w:r>
        <w:rPr>
          <w:rFonts w:hint="eastAsia" w:ascii="宋体" w:hAnsi="宋体" w:eastAsia="宋体" w:cs="宋体"/>
          <w:kern w:val="0"/>
          <w:sz w:val="28"/>
          <w:szCs w:val="28"/>
          <w:lang w:val="en-US" w:eastAsia="zh-CN"/>
        </w:rPr>
        <w:t>代理机构</w:t>
      </w:r>
      <w:r>
        <w:rPr>
          <w:rFonts w:hint="eastAsia" w:ascii="宋体" w:hAnsi="宋体" w:eastAsia="宋体" w:cs="宋体"/>
          <w:color w:val="000000"/>
          <w:sz w:val="28"/>
          <w:szCs w:val="28"/>
        </w:rPr>
        <w:t>各一份。</w:t>
      </w:r>
    </w:p>
    <w:p w14:paraId="7614C526">
      <w:pPr>
        <w:spacing w:line="560" w:lineRule="exact"/>
        <w:ind w:firstLine="560" w:firstLineChars="200"/>
        <w:rPr>
          <w:rFonts w:hint="eastAsia" w:ascii="宋体" w:hAnsi="宋体" w:eastAsia="宋体" w:cs="宋体"/>
          <w:sz w:val="28"/>
          <w:szCs w:val="28"/>
          <w:shd w:val="clear" w:color="auto" w:fill="FFFFFF"/>
        </w:rPr>
      </w:pPr>
      <w:r>
        <w:rPr>
          <w:rFonts w:hint="eastAsia" w:ascii="宋体" w:hAnsi="宋体" w:eastAsia="宋体" w:cs="宋体"/>
          <w:color w:val="000000"/>
          <w:sz w:val="28"/>
          <w:szCs w:val="28"/>
        </w:rPr>
        <w:t>（十</w:t>
      </w:r>
      <w:r>
        <w:rPr>
          <w:rFonts w:hint="eastAsia" w:ascii="宋体" w:hAnsi="宋体" w:eastAsia="宋体" w:cs="宋体"/>
          <w:color w:val="000000"/>
          <w:sz w:val="28"/>
          <w:szCs w:val="28"/>
          <w:lang w:val="en-US" w:eastAsia="zh-CN"/>
        </w:rPr>
        <w:t>七</w:t>
      </w:r>
      <w:r>
        <w:rPr>
          <w:rFonts w:hint="eastAsia" w:ascii="宋体" w:hAnsi="宋体" w:eastAsia="宋体" w:cs="宋体"/>
          <w:color w:val="000000"/>
          <w:sz w:val="28"/>
          <w:szCs w:val="28"/>
        </w:rPr>
        <w:t>）</w:t>
      </w:r>
      <w:r>
        <w:rPr>
          <w:rFonts w:hint="eastAsia" w:ascii="宋体" w:hAnsi="宋体" w:eastAsia="宋体" w:cs="宋体"/>
          <w:sz w:val="28"/>
          <w:szCs w:val="28"/>
        </w:rPr>
        <w:t>合同须经</w:t>
      </w:r>
      <w:r>
        <w:rPr>
          <w:rFonts w:hint="eastAsia" w:ascii="宋体" w:hAnsi="宋体" w:eastAsia="宋体" w:cs="宋体"/>
          <w:sz w:val="28"/>
          <w:szCs w:val="28"/>
          <w:lang w:val="en-US" w:eastAsia="zh-CN"/>
        </w:rPr>
        <w:t>招标</w:t>
      </w:r>
      <w:r>
        <w:rPr>
          <w:rFonts w:hint="eastAsia" w:ascii="宋体" w:hAnsi="宋体" w:eastAsia="宋体" w:cs="宋体"/>
          <w:kern w:val="0"/>
          <w:sz w:val="28"/>
          <w:szCs w:val="28"/>
          <w:lang w:val="en-US" w:eastAsia="zh-CN"/>
        </w:rPr>
        <w:t>代理机构</w:t>
      </w:r>
      <w:r>
        <w:rPr>
          <w:rFonts w:hint="eastAsia" w:ascii="宋体" w:hAnsi="宋体" w:eastAsia="宋体" w:cs="宋体"/>
          <w:sz w:val="28"/>
          <w:szCs w:val="28"/>
        </w:rPr>
        <w:t>确认，否则无效</w:t>
      </w:r>
      <w:r>
        <w:rPr>
          <w:rFonts w:hint="eastAsia" w:ascii="宋体" w:hAnsi="宋体" w:eastAsia="宋体" w:cs="宋体"/>
          <w:sz w:val="28"/>
          <w:szCs w:val="28"/>
          <w:shd w:val="clear" w:color="auto" w:fill="FFFFFF"/>
        </w:rPr>
        <w:t>（合同的服务承诺则长期有效）。</w:t>
      </w:r>
    </w:p>
    <w:p w14:paraId="5D9375BB">
      <w:pPr>
        <w:spacing w:line="560" w:lineRule="exact"/>
        <w:ind w:firstLine="560" w:firstLineChars="200"/>
        <w:rPr>
          <w:rFonts w:hint="eastAsia" w:ascii="宋体" w:hAnsi="宋体" w:eastAsia="宋体" w:cs="宋体"/>
          <w:sz w:val="28"/>
          <w:szCs w:val="28"/>
        </w:rPr>
      </w:pPr>
    </w:p>
    <w:p w14:paraId="0265D20E">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甲    方</w:t>
      </w:r>
      <w:r>
        <w:rPr>
          <w:rFonts w:hint="eastAsia" w:ascii="宋体" w:hAnsi="宋体" w:eastAsia="宋体" w:cs="宋体"/>
          <w:sz w:val="28"/>
          <w:szCs w:val="28"/>
        </w:rPr>
        <w:t>:                       (盖章)</w:t>
      </w:r>
    </w:p>
    <w:p w14:paraId="4C4A7CE9">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负</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责</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人:                       (签字)</w:t>
      </w:r>
    </w:p>
    <w:p w14:paraId="793D3120">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 xml:space="preserve">地  </w:t>
      </w:r>
      <w:r>
        <w:rPr>
          <w:rFonts w:hint="eastAsia" w:ascii="宋体" w:hAnsi="宋体" w:eastAsia="宋体" w:cs="宋体"/>
          <w:sz w:val="28"/>
          <w:szCs w:val="28"/>
        </w:rPr>
        <w:t xml:space="preserve">  址:</w:t>
      </w:r>
    </w:p>
    <w:p w14:paraId="674A3BA8">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联</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系</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人:</w:t>
      </w:r>
    </w:p>
    <w:p w14:paraId="61FCD5B5">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联系电话:</w:t>
      </w:r>
    </w:p>
    <w:p w14:paraId="34F5943F">
      <w:pPr>
        <w:spacing w:line="560" w:lineRule="exact"/>
        <w:ind w:firstLine="560" w:firstLineChars="200"/>
        <w:rPr>
          <w:rFonts w:hint="eastAsia" w:ascii="宋体" w:hAnsi="宋体" w:eastAsia="宋体" w:cs="宋体"/>
          <w:sz w:val="28"/>
          <w:szCs w:val="28"/>
        </w:rPr>
      </w:pPr>
    </w:p>
    <w:p w14:paraId="732F62FF">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 xml:space="preserve">乙   </w:t>
      </w:r>
      <w:r>
        <w:rPr>
          <w:rFonts w:hint="eastAsia" w:ascii="宋体" w:hAnsi="宋体" w:eastAsia="宋体" w:cs="宋体"/>
          <w:sz w:val="28"/>
          <w:szCs w:val="28"/>
        </w:rPr>
        <w:t xml:space="preserve"> 方:                       (盖章)</w:t>
      </w:r>
    </w:p>
    <w:p w14:paraId="0C9E764B">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法定代表人:                     (签字)</w:t>
      </w:r>
    </w:p>
    <w:p w14:paraId="5C92A0BD">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住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址:</w:t>
      </w:r>
    </w:p>
    <w:p w14:paraId="22C5DEC2">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联 系 人:</w:t>
      </w:r>
    </w:p>
    <w:p w14:paraId="75B0AED9">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联系电话:</w:t>
      </w:r>
    </w:p>
    <w:p w14:paraId="5349DAF8">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开户银行:</w:t>
      </w:r>
    </w:p>
    <w:p w14:paraId="0D1AEF08">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账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号:</w:t>
      </w:r>
    </w:p>
    <w:p w14:paraId="4E505A7E">
      <w:pPr>
        <w:spacing w:line="560" w:lineRule="exact"/>
        <w:ind w:firstLine="560" w:firstLineChars="200"/>
        <w:rPr>
          <w:rFonts w:hint="eastAsia" w:ascii="宋体" w:hAnsi="宋体" w:eastAsia="宋体" w:cs="宋体"/>
          <w:sz w:val="28"/>
          <w:szCs w:val="28"/>
        </w:rPr>
      </w:pPr>
    </w:p>
    <w:p w14:paraId="761A1A92">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确 认 方:                     </w:t>
      </w:r>
    </w:p>
    <w:p w14:paraId="3E3D7DC7">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负 责 人:                     </w:t>
      </w:r>
    </w:p>
    <w:p w14:paraId="7BE00487">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w:t>
      </w:r>
    </w:p>
    <w:p w14:paraId="47D6F6EA">
      <w:pPr>
        <w:pStyle w:val="11"/>
        <w:spacing w:line="560" w:lineRule="exact"/>
        <w:ind w:left="0" w:leftChars="0" w:right="0" w:rightChars="0" w:firstLine="560" w:firstLineChars="200"/>
        <w:rPr>
          <w:rFonts w:hint="eastAsia" w:ascii="宋体" w:hAnsi="宋体" w:eastAsia="宋体" w:cs="宋体"/>
          <w:sz w:val="32"/>
          <w:szCs w:val="32"/>
        </w:rPr>
      </w:pPr>
      <w:r>
        <w:rPr>
          <w:rFonts w:hint="eastAsia" w:ascii="宋体" w:hAnsi="宋体" w:eastAsia="宋体" w:cs="宋体"/>
          <w:sz w:val="28"/>
          <w:szCs w:val="28"/>
        </w:rPr>
        <w:t>合同签订日期:      年   月   日</w:t>
      </w:r>
    </w:p>
    <w:bookmarkEnd w:id="23"/>
    <w:bookmarkEnd w:id="24"/>
    <w:bookmarkEnd w:id="25"/>
    <w:p w14:paraId="0CD2CF07">
      <w:pPr>
        <w:pStyle w:val="42"/>
        <w:spacing w:line="360" w:lineRule="auto"/>
        <w:ind w:firstLine="480"/>
        <w:rPr>
          <w:rFonts w:hint="eastAsia" w:ascii="宋体" w:hAnsi="宋体" w:eastAsia="宋体" w:cs="宋体"/>
          <w:sz w:val="24"/>
          <w:szCs w:val="24"/>
          <w:highlight w:val="none"/>
        </w:rPr>
      </w:pPr>
    </w:p>
    <w:p w14:paraId="721795F9">
      <w:pPr>
        <w:pStyle w:val="38"/>
        <w:ind w:firstLine="1606" w:firstLineChars="400"/>
        <w:jc w:val="both"/>
        <w:rPr>
          <w:rFonts w:hint="eastAsia" w:ascii="宋体" w:hAnsi="宋体" w:eastAsia="宋体" w:cs="宋体"/>
          <w:b/>
          <w:sz w:val="40"/>
          <w:szCs w:val="40"/>
          <w:highlight w:val="none"/>
        </w:rPr>
      </w:pPr>
      <w:r>
        <w:rPr>
          <w:rFonts w:hint="eastAsia" w:ascii="宋体" w:hAnsi="宋体" w:eastAsia="宋体" w:cs="宋体"/>
          <w:b/>
          <w:sz w:val="40"/>
          <w:szCs w:val="40"/>
          <w:highlight w:val="none"/>
        </w:rPr>
        <w:t>第 五 部 分</w:t>
      </w:r>
      <w:r>
        <w:rPr>
          <w:rFonts w:hint="eastAsia" w:ascii="宋体" w:hAnsi="宋体" w:eastAsia="宋体" w:cs="宋体"/>
          <w:b/>
          <w:sz w:val="40"/>
          <w:szCs w:val="40"/>
          <w:highlight w:val="none"/>
          <w:lang w:val="en-US" w:eastAsia="zh-CN"/>
        </w:rPr>
        <w:t xml:space="preserve">  响应</w:t>
      </w:r>
      <w:r>
        <w:rPr>
          <w:rFonts w:hint="eastAsia" w:ascii="宋体" w:hAnsi="宋体" w:eastAsia="宋体" w:cs="宋体"/>
          <w:b/>
          <w:sz w:val="40"/>
          <w:szCs w:val="40"/>
          <w:highlight w:val="none"/>
        </w:rPr>
        <w:t>文件格式</w:t>
      </w:r>
    </w:p>
    <w:p w14:paraId="5AD9BAD5">
      <w:pPr>
        <w:pStyle w:val="38"/>
        <w:jc w:val="right"/>
        <w:rPr>
          <w:rFonts w:hint="eastAsia" w:ascii="宋体" w:hAnsi="宋体" w:eastAsia="宋体" w:cs="宋体"/>
          <w:b/>
          <w:bCs/>
          <w:kern w:val="2"/>
          <w:sz w:val="48"/>
          <w:szCs w:val="48"/>
          <w:highlight w:val="none"/>
          <w:lang w:val="en-US" w:eastAsia="zh-CN" w:bidi="ar-SA"/>
        </w:rPr>
      </w:pPr>
    </w:p>
    <w:p w14:paraId="7264F40D">
      <w:pPr>
        <w:pStyle w:val="38"/>
        <w:jc w:val="right"/>
        <w:rPr>
          <w:rFonts w:hint="default" w:ascii="宋体" w:hAnsi="宋体" w:eastAsia="宋体" w:cs="宋体"/>
          <w:b/>
          <w:bCs/>
          <w:kern w:val="2"/>
          <w:sz w:val="48"/>
          <w:szCs w:val="48"/>
          <w:highlight w:val="none"/>
          <w:lang w:val="en-US" w:eastAsia="zh-CN" w:bidi="ar-SA"/>
        </w:rPr>
      </w:pPr>
      <w:bookmarkStart w:id="31" w:name="_GoBack"/>
      <w:r>
        <w:rPr>
          <w:rFonts w:hint="eastAsia" w:ascii="宋体" w:hAnsi="宋体" w:eastAsia="宋体" w:cs="宋体"/>
          <w:b/>
          <w:bCs/>
          <w:kern w:val="2"/>
          <w:sz w:val="48"/>
          <w:szCs w:val="48"/>
          <w:highlight w:val="none"/>
          <w:lang w:val="en-US" w:eastAsia="zh-CN" w:bidi="ar-SA"/>
        </w:rPr>
        <w:t>正本/副本</w:t>
      </w:r>
    </w:p>
    <w:p w14:paraId="7090DADD">
      <w:pPr>
        <w:numPr>
          <w:ilvl w:val="0"/>
          <w:numId w:val="0"/>
        </w:numPr>
        <w:spacing w:line="360" w:lineRule="auto"/>
        <w:jc w:val="center"/>
        <w:rPr>
          <w:rFonts w:hint="eastAsia" w:ascii="宋体" w:hAnsi="宋体" w:eastAsia="宋体" w:cs="宋体"/>
          <w:b/>
          <w:sz w:val="24"/>
          <w:szCs w:val="24"/>
          <w:highlight w:val="none"/>
        </w:rPr>
      </w:pPr>
    </w:p>
    <w:p w14:paraId="2B3794D4">
      <w:pPr>
        <w:pStyle w:val="38"/>
        <w:jc w:val="right"/>
        <w:rPr>
          <w:rFonts w:hint="eastAsia" w:ascii="宋体" w:hAnsi="宋体" w:eastAsia="宋体" w:cs="宋体"/>
          <w:b/>
          <w:bCs/>
          <w:kern w:val="2"/>
          <w:sz w:val="48"/>
          <w:szCs w:val="48"/>
          <w:highlight w:val="none"/>
          <w:lang w:val="en-US" w:eastAsia="zh-CN" w:bidi="ar-SA"/>
        </w:rPr>
      </w:pPr>
    </w:p>
    <w:p w14:paraId="491D33C4">
      <w:pPr>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延安职业技术学院2026年度数字化教学</w:t>
      </w:r>
    </w:p>
    <w:p w14:paraId="73B353F5">
      <w:pPr>
        <w:jc w:val="center"/>
        <w:rPr>
          <w:rFonts w:hint="eastAsia" w:ascii="宋体" w:hAnsi="宋体" w:eastAsia="宋体" w:cs="宋体"/>
          <w:b/>
          <w:bCs/>
          <w:sz w:val="48"/>
          <w:szCs w:val="48"/>
          <w:highlight w:val="none"/>
          <w:lang w:eastAsia="zh-CN"/>
        </w:rPr>
      </w:pPr>
      <w:r>
        <w:rPr>
          <w:rFonts w:hint="eastAsia" w:ascii="宋体" w:hAnsi="宋体" w:eastAsia="宋体" w:cs="宋体"/>
          <w:b/>
          <w:bCs/>
          <w:sz w:val="48"/>
          <w:szCs w:val="48"/>
          <w:highlight w:val="none"/>
        </w:rPr>
        <w:t>资源建设与运行服务项目</w:t>
      </w:r>
      <w:r>
        <w:rPr>
          <w:rFonts w:hint="eastAsia" w:ascii="宋体" w:hAnsi="宋体" w:cs="宋体"/>
          <w:b/>
          <w:bCs/>
          <w:sz w:val="48"/>
          <w:szCs w:val="48"/>
          <w:highlight w:val="none"/>
          <w:lang w:eastAsia="zh-CN"/>
        </w:rPr>
        <w:t>（</w:t>
      </w:r>
      <w:r>
        <w:rPr>
          <w:rFonts w:hint="eastAsia" w:ascii="宋体" w:hAnsi="宋体" w:cs="宋体"/>
          <w:b/>
          <w:bCs/>
          <w:sz w:val="48"/>
          <w:szCs w:val="48"/>
          <w:highlight w:val="none"/>
          <w:lang w:val="en-US" w:eastAsia="zh-CN"/>
        </w:rPr>
        <w:t>二标包</w:t>
      </w:r>
      <w:r>
        <w:rPr>
          <w:rFonts w:hint="eastAsia" w:ascii="宋体" w:hAnsi="宋体" w:cs="宋体"/>
          <w:b/>
          <w:bCs/>
          <w:sz w:val="48"/>
          <w:szCs w:val="48"/>
          <w:highlight w:val="none"/>
          <w:lang w:eastAsia="zh-CN"/>
        </w:rPr>
        <w:t>）</w:t>
      </w:r>
    </w:p>
    <w:p w14:paraId="73264F9E">
      <w:pPr>
        <w:rPr>
          <w:rFonts w:hint="eastAsia" w:ascii="宋体" w:hAnsi="宋体" w:eastAsia="宋体" w:cs="宋体"/>
          <w:sz w:val="48"/>
          <w:szCs w:val="48"/>
          <w:highlight w:val="none"/>
        </w:rPr>
      </w:pPr>
    </w:p>
    <w:p w14:paraId="1C24C153">
      <w:pPr>
        <w:pStyle w:val="43"/>
        <w:rPr>
          <w:rFonts w:hint="eastAsia" w:ascii="宋体" w:hAnsi="宋体" w:eastAsia="宋体" w:cs="宋体"/>
          <w:sz w:val="48"/>
          <w:szCs w:val="48"/>
          <w:highlight w:val="none"/>
        </w:rPr>
      </w:pPr>
    </w:p>
    <w:p w14:paraId="0926196D">
      <w:pPr>
        <w:pStyle w:val="43"/>
        <w:rPr>
          <w:rFonts w:hint="eastAsia" w:ascii="宋体" w:hAnsi="宋体" w:eastAsia="宋体" w:cs="宋体"/>
          <w:sz w:val="48"/>
          <w:szCs w:val="48"/>
          <w:highlight w:val="none"/>
        </w:rPr>
      </w:pPr>
    </w:p>
    <w:p w14:paraId="68102B78">
      <w:pPr>
        <w:pStyle w:val="43"/>
        <w:rPr>
          <w:rFonts w:hint="eastAsia" w:ascii="宋体" w:hAnsi="宋体" w:eastAsia="宋体" w:cs="宋体"/>
          <w:sz w:val="48"/>
          <w:szCs w:val="48"/>
          <w:highlight w:val="none"/>
        </w:rPr>
      </w:pPr>
    </w:p>
    <w:p w14:paraId="75049EEB">
      <w:pPr>
        <w:spacing w:line="360" w:lineRule="atLeast"/>
        <w:jc w:val="center"/>
        <w:rPr>
          <w:rFonts w:hint="eastAsia" w:ascii="宋体" w:hAnsi="宋体" w:eastAsia="宋体" w:cs="宋体"/>
          <w:b/>
          <w:bCs/>
          <w:sz w:val="48"/>
          <w:szCs w:val="48"/>
          <w:highlight w:val="none"/>
          <w:lang w:eastAsia="zh-CN"/>
        </w:rPr>
      </w:pPr>
      <w:r>
        <w:rPr>
          <w:rFonts w:hint="eastAsia" w:ascii="宋体" w:hAnsi="宋体" w:eastAsia="宋体" w:cs="宋体"/>
          <w:b/>
          <w:bCs/>
          <w:sz w:val="48"/>
          <w:szCs w:val="48"/>
          <w:highlight w:val="none"/>
          <w:lang w:eastAsia="zh-CN"/>
        </w:rPr>
        <w:t>竞争性磋商响应文件</w:t>
      </w:r>
    </w:p>
    <w:p w14:paraId="27D5F552">
      <w:pPr>
        <w:spacing w:line="360" w:lineRule="atLeast"/>
        <w:jc w:val="center"/>
        <w:rPr>
          <w:rFonts w:hint="eastAsia" w:ascii="宋体" w:hAnsi="宋体" w:eastAsia="宋体" w:cs="宋体"/>
          <w:b/>
          <w:bCs/>
          <w:sz w:val="24"/>
          <w:szCs w:val="24"/>
          <w:highlight w:val="none"/>
        </w:rPr>
      </w:pPr>
    </w:p>
    <w:p w14:paraId="5B1CF6C6">
      <w:pPr>
        <w:spacing w:line="360" w:lineRule="atLeast"/>
        <w:jc w:val="center"/>
        <w:rPr>
          <w:rFonts w:hint="eastAsia" w:ascii="宋体" w:hAnsi="宋体" w:eastAsia="宋体" w:cs="宋体"/>
          <w:sz w:val="28"/>
          <w:szCs w:val="28"/>
          <w:highlight w:val="none"/>
          <w:lang w:eastAsia="zh-CN"/>
        </w:rPr>
      </w:pPr>
      <w:r>
        <w:rPr>
          <w:rFonts w:hint="eastAsia" w:ascii="宋体" w:hAnsi="宋体" w:eastAsia="宋体" w:cs="宋体"/>
          <w:b/>
          <w:bCs/>
          <w:sz w:val="28"/>
          <w:szCs w:val="28"/>
          <w:highlight w:val="none"/>
        </w:rPr>
        <w:t>采购项目编号:</w:t>
      </w:r>
      <w:r>
        <w:rPr>
          <w:rFonts w:hint="eastAsia" w:ascii="宋体" w:hAnsi="宋体" w:cs="宋体"/>
          <w:b/>
          <w:bCs/>
          <w:sz w:val="28"/>
          <w:szCs w:val="28"/>
          <w:highlight w:val="none"/>
          <w:lang w:eastAsia="zh-CN"/>
        </w:rPr>
        <w:t>YASC-2026-73</w:t>
      </w:r>
    </w:p>
    <w:p w14:paraId="04685E61">
      <w:pPr>
        <w:pStyle w:val="43"/>
        <w:rPr>
          <w:rFonts w:hint="eastAsia" w:ascii="宋体" w:hAnsi="宋体" w:eastAsia="宋体" w:cs="宋体"/>
          <w:sz w:val="48"/>
          <w:szCs w:val="48"/>
          <w:highlight w:val="none"/>
        </w:rPr>
      </w:pPr>
    </w:p>
    <w:p w14:paraId="61876BD6">
      <w:pPr>
        <w:spacing w:line="360" w:lineRule="atLeast"/>
        <w:rPr>
          <w:rFonts w:hint="eastAsia" w:ascii="宋体" w:hAnsi="宋体" w:eastAsia="宋体" w:cs="宋体"/>
          <w:sz w:val="48"/>
          <w:szCs w:val="48"/>
          <w:highlight w:val="none"/>
        </w:rPr>
      </w:pPr>
    </w:p>
    <w:p w14:paraId="6DF03AA0">
      <w:pPr>
        <w:pStyle w:val="3"/>
        <w:rPr>
          <w:rFonts w:hint="eastAsia" w:ascii="宋体" w:hAnsi="宋体" w:eastAsia="宋体" w:cs="宋体"/>
          <w:sz w:val="24"/>
          <w:szCs w:val="24"/>
          <w:highlight w:val="none"/>
        </w:rPr>
      </w:pPr>
    </w:p>
    <w:p w14:paraId="6F216F70">
      <w:pPr>
        <w:rPr>
          <w:rFonts w:hint="eastAsia" w:ascii="宋体" w:hAnsi="宋体" w:eastAsia="宋体" w:cs="宋体"/>
          <w:sz w:val="24"/>
          <w:szCs w:val="24"/>
          <w:highlight w:val="none"/>
        </w:rPr>
      </w:pPr>
    </w:p>
    <w:p w14:paraId="7897C9F2">
      <w:pPr>
        <w:rPr>
          <w:rFonts w:hint="eastAsia" w:ascii="宋体" w:hAnsi="宋体" w:eastAsia="宋体" w:cs="宋体"/>
          <w:sz w:val="24"/>
          <w:szCs w:val="24"/>
          <w:highlight w:val="none"/>
        </w:rPr>
      </w:pPr>
    </w:p>
    <w:p w14:paraId="05B38061">
      <w:pPr>
        <w:rPr>
          <w:rFonts w:hint="eastAsia" w:ascii="宋体" w:hAnsi="宋体" w:eastAsia="宋体" w:cs="宋体"/>
          <w:sz w:val="24"/>
          <w:szCs w:val="24"/>
          <w:highlight w:val="none"/>
        </w:rPr>
      </w:pPr>
    </w:p>
    <w:p w14:paraId="75ABB456">
      <w:pPr>
        <w:rPr>
          <w:rFonts w:hint="eastAsia" w:ascii="宋体" w:hAnsi="宋体" w:eastAsia="宋体" w:cs="宋体"/>
          <w:sz w:val="24"/>
          <w:szCs w:val="24"/>
          <w:highlight w:val="none"/>
        </w:rPr>
      </w:pPr>
    </w:p>
    <w:p w14:paraId="385388E1">
      <w:pPr>
        <w:spacing w:line="360" w:lineRule="auto"/>
        <w:ind w:leftChars="500"/>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供   应  商：</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（盖单位公章）</w:t>
      </w:r>
    </w:p>
    <w:p w14:paraId="1B58A07B">
      <w:pPr>
        <w:spacing w:line="360" w:lineRule="auto"/>
        <w:ind w:leftChars="500"/>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法定代表人或</w:t>
      </w:r>
    </w:p>
    <w:p w14:paraId="09FE7951">
      <w:pPr>
        <w:spacing w:line="360" w:lineRule="auto"/>
        <w:ind w:leftChars="500"/>
        <w:rPr>
          <w:rFonts w:hint="eastAsia" w:ascii="宋体" w:hAnsi="宋体" w:eastAsia="宋体" w:cs="宋体"/>
          <w:b/>
          <w:bCs/>
          <w:spacing w:val="20"/>
          <w:sz w:val="24"/>
          <w:szCs w:val="24"/>
          <w:highlight w:val="none"/>
        </w:rPr>
      </w:pPr>
      <w:r>
        <w:rPr>
          <w:rFonts w:hint="eastAsia" w:ascii="宋体" w:hAnsi="宋体" w:eastAsia="宋体" w:cs="宋体"/>
          <w:b/>
          <w:bCs/>
          <w:spacing w:val="20"/>
          <w:sz w:val="24"/>
          <w:szCs w:val="24"/>
          <w:highlight w:val="none"/>
        </w:rPr>
        <w:t>其委托代理人：</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（签字</w:t>
      </w:r>
      <w:r>
        <w:rPr>
          <w:rFonts w:hint="eastAsia" w:ascii="宋体" w:hAnsi="宋体" w:eastAsia="宋体" w:cs="宋体"/>
          <w:b/>
          <w:bCs/>
          <w:spacing w:val="20"/>
          <w:sz w:val="24"/>
          <w:szCs w:val="24"/>
          <w:highlight w:val="none"/>
          <w:lang w:val="en-US" w:eastAsia="zh-CN"/>
        </w:rPr>
        <w:t>或</w:t>
      </w:r>
      <w:r>
        <w:rPr>
          <w:rFonts w:hint="eastAsia" w:ascii="宋体" w:hAnsi="宋体" w:eastAsia="宋体" w:cs="宋体"/>
          <w:b/>
          <w:bCs/>
          <w:spacing w:val="20"/>
          <w:sz w:val="24"/>
          <w:szCs w:val="24"/>
          <w:highlight w:val="none"/>
        </w:rPr>
        <w:t>盖章）</w:t>
      </w:r>
    </w:p>
    <w:p w14:paraId="47D8C9FF">
      <w:pPr>
        <w:spacing w:line="360" w:lineRule="auto"/>
        <w:ind w:leftChars="500"/>
        <w:rPr>
          <w:rFonts w:hint="eastAsia" w:ascii="宋体" w:hAnsi="宋体" w:eastAsia="宋体" w:cs="宋体"/>
          <w:sz w:val="24"/>
          <w:szCs w:val="24"/>
          <w:highlight w:val="none"/>
        </w:rPr>
      </w:pPr>
      <w:r>
        <w:rPr>
          <w:rFonts w:hint="eastAsia" w:ascii="宋体" w:hAnsi="宋体" w:eastAsia="宋体" w:cs="宋体"/>
          <w:b/>
          <w:bCs/>
          <w:spacing w:val="20"/>
          <w:sz w:val="24"/>
          <w:szCs w:val="24"/>
          <w:highlight w:val="none"/>
        </w:rPr>
        <w:t>日       期：</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年</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rPr>
        <w:t>月</w:t>
      </w:r>
      <w:r>
        <w:rPr>
          <w:rFonts w:hint="eastAsia" w:ascii="宋体" w:hAnsi="宋体" w:eastAsia="宋体" w:cs="宋体"/>
          <w:b/>
          <w:bCs/>
          <w:spacing w:val="20"/>
          <w:sz w:val="24"/>
          <w:szCs w:val="24"/>
          <w:highlight w:val="none"/>
          <w:u w:val="single"/>
        </w:rPr>
        <w:t xml:space="preserve">  </w:t>
      </w:r>
      <w:r>
        <w:rPr>
          <w:rFonts w:hint="eastAsia" w:ascii="宋体" w:hAnsi="宋体" w:eastAsia="宋体" w:cs="宋体"/>
          <w:b/>
          <w:bCs/>
          <w:spacing w:val="20"/>
          <w:sz w:val="24"/>
          <w:szCs w:val="24"/>
          <w:highlight w:val="none"/>
          <w:u w:val="single"/>
          <w:lang w:val="en-US" w:eastAsia="zh-CN"/>
        </w:rPr>
        <w:t xml:space="preserve">   </w:t>
      </w:r>
      <w:r>
        <w:rPr>
          <w:rFonts w:hint="eastAsia" w:ascii="宋体" w:hAnsi="宋体" w:eastAsia="宋体" w:cs="宋体"/>
          <w:b/>
          <w:bCs/>
          <w:spacing w:val="20"/>
          <w:sz w:val="24"/>
          <w:szCs w:val="24"/>
          <w:highlight w:val="none"/>
          <w:lang w:val="en-US" w:eastAsia="zh-CN"/>
        </w:rPr>
        <w:t>日</w:t>
      </w:r>
      <w:r>
        <w:rPr>
          <w:rFonts w:hint="eastAsia" w:ascii="宋体" w:hAnsi="宋体" w:eastAsia="宋体" w:cs="宋体"/>
          <w:b/>
          <w:bCs/>
          <w:spacing w:val="20"/>
          <w:sz w:val="24"/>
          <w:szCs w:val="24"/>
          <w:highlight w:val="none"/>
        </w:rPr>
        <w:t xml:space="preserve"> </w:t>
      </w:r>
    </w:p>
    <w:p w14:paraId="7EF9DD1D">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11A666EA">
      <w:pPr>
        <w:spacing w:line="360" w:lineRule="atLeast"/>
        <w:rPr>
          <w:rFonts w:hint="eastAsia" w:ascii="宋体" w:hAnsi="宋体" w:eastAsia="宋体" w:cs="宋体"/>
          <w:sz w:val="24"/>
          <w:szCs w:val="24"/>
          <w:highlight w:val="none"/>
        </w:rPr>
      </w:pPr>
    </w:p>
    <w:p w14:paraId="4DB393A7">
      <w:pPr>
        <w:spacing w:line="360" w:lineRule="atLeast"/>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目     录</w:t>
      </w:r>
    </w:p>
    <w:p w14:paraId="184AE8A9">
      <w:pPr>
        <w:spacing w:line="600" w:lineRule="auto"/>
        <w:jc w:val="left"/>
        <w:rPr>
          <w:rFonts w:hint="eastAsia" w:ascii="宋体" w:hAnsi="宋体" w:eastAsia="宋体" w:cs="宋体"/>
          <w:b w:val="0"/>
          <w:bCs/>
          <w:color w:val="auto"/>
          <w:sz w:val="24"/>
          <w:szCs w:val="24"/>
        </w:rPr>
      </w:pPr>
    </w:p>
    <w:p w14:paraId="3CBAFDED">
      <w:pPr>
        <w:spacing w:line="600" w:lineRule="auto"/>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_Toc19944_WPSOffice_Level1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第1部分  磋商响应函</w:t>
      </w:r>
      <w:r>
        <w:rPr>
          <w:rFonts w:hint="eastAsia" w:ascii="宋体" w:hAnsi="宋体" w:eastAsia="宋体" w:cs="宋体"/>
          <w:b w:val="0"/>
          <w:bCs/>
          <w:color w:val="auto"/>
          <w:sz w:val="24"/>
          <w:szCs w:val="24"/>
        </w:rPr>
        <w:fldChar w:fldCharType="end"/>
      </w:r>
    </w:p>
    <w:p w14:paraId="78A622DD">
      <w:pPr>
        <w:spacing w:line="600" w:lineRule="auto"/>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_Toc5207_WPSOffice_Level1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第2部分  法定代表人证明书与授权书</w:t>
      </w:r>
      <w:r>
        <w:rPr>
          <w:rFonts w:hint="eastAsia" w:ascii="宋体" w:hAnsi="宋体" w:eastAsia="宋体" w:cs="宋体"/>
          <w:b w:val="0"/>
          <w:bCs/>
          <w:color w:val="auto"/>
          <w:sz w:val="24"/>
          <w:szCs w:val="24"/>
        </w:rPr>
        <w:fldChar w:fldCharType="end"/>
      </w:r>
    </w:p>
    <w:p w14:paraId="27722B42">
      <w:pPr>
        <w:spacing w:line="600" w:lineRule="auto"/>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_Toc17330_WPSOffice_Level1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第3部分  响应报价表</w:t>
      </w:r>
      <w:r>
        <w:rPr>
          <w:rFonts w:hint="eastAsia" w:ascii="宋体" w:hAnsi="宋体" w:eastAsia="宋体" w:cs="宋体"/>
          <w:b w:val="0"/>
          <w:bCs/>
          <w:color w:val="auto"/>
          <w:sz w:val="24"/>
          <w:szCs w:val="24"/>
        </w:rPr>
        <w:fldChar w:fldCharType="end"/>
      </w:r>
    </w:p>
    <w:p w14:paraId="059308C3">
      <w:pPr>
        <w:spacing w:line="600" w:lineRule="auto"/>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_Toc5207_WPSOffice_Level1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w:t>
      </w:r>
      <w:r>
        <w:rPr>
          <w:rFonts w:hint="eastAsia" w:ascii="宋体" w:hAnsi="宋体" w:eastAsia="宋体" w:cs="宋体"/>
          <w:b w:val="0"/>
          <w:bCs/>
          <w:color w:val="auto"/>
          <w:sz w:val="24"/>
          <w:szCs w:val="24"/>
          <w:lang w:val="en-US" w:eastAsia="zh-CN"/>
        </w:rPr>
        <w:t>4</w:t>
      </w:r>
      <w:r>
        <w:rPr>
          <w:rFonts w:hint="eastAsia" w:ascii="宋体" w:hAnsi="宋体" w:eastAsia="宋体" w:cs="宋体"/>
          <w:b w:val="0"/>
          <w:bCs/>
          <w:color w:val="auto"/>
          <w:sz w:val="24"/>
          <w:szCs w:val="24"/>
        </w:rPr>
        <w:t xml:space="preserve">部分  </w:t>
      </w:r>
      <w:r>
        <w:rPr>
          <w:rFonts w:hint="eastAsia" w:ascii="宋体" w:hAnsi="宋体" w:eastAsia="宋体" w:cs="宋体"/>
          <w:b w:val="0"/>
          <w:bCs/>
          <w:color w:val="auto"/>
          <w:sz w:val="24"/>
          <w:szCs w:val="24"/>
          <w:lang w:val="en-US" w:eastAsia="zh-CN"/>
        </w:rPr>
        <w:t>技术偏离表</w:t>
      </w:r>
      <w:r>
        <w:rPr>
          <w:rFonts w:hint="eastAsia" w:ascii="宋体" w:hAnsi="宋体" w:eastAsia="宋体" w:cs="宋体"/>
          <w:b w:val="0"/>
          <w:bCs/>
          <w:color w:val="auto"/>
          <w:sz w:val="24"/>
          <w:szCs w:val="24"/>
        </w:rPr>
        <w:fldChar w:fldCharType="end"/>
      </w:r>
    </w:p>
    <w:p w14:paraId="3CBC75E4">
      <w:pPr>
        <w:spacing w:line="600" w:lineRule="auto"/>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_Toc17330_WPSOffice_Level1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w:t>
      </w:r>
      <w:r>
        <w:rPr>
          <w:rFonts w:hint="eastAsia" w:ascii="宋体" w:hAnsi="宋体" w:eastAsia="宋体" w:cs="宋体"/>
          <w:b w:val="0"/>
          <w:bCs/>
          <w:color w:val="auto"/>
          <w:sz w:val="24"/>
          <w:szCs w:val="24"/>
          <w:lang w:val="en-US" w:eastAsia="zh-CN"/>
        </w:rPr>
        <w:t>5</w:t>
      </w:r>
      <w:r>
        <w:rPr>
          <w:rFonts w:hint="eastAsia" w:ascii="宋体" w:hAnsi="宋体" w:eastAsia="宋体" w:cs="宋体"/>
          <w:b w:val="0"/>
          <w:bCs/>
          <w:color w:val="auto"/>
          <w:sz w:val="24"/>
          <w:szCs w:val="24"/>
        </w:rPr>
        <w:t xml:space="preserve">部分  </w:t>
      </w:r>
      <w:r>
        <w:rPr>
          <w:rFonts w:hint="eastAsia" w:ascii="宋体" w:hAnsi="宋体" w:eastAsia="宋体" w:cs="宋体"/>
          <w:b w:val="0"/>
          <w:bCs/>
          <w:color w:val="auto"/>
          <w:sz w:val="24"/>
          <w:szCs w:val="24"/>
          <w:lang w:val="en-US" w:eastAsia="zh-CN"/>
        </w:rPr>
        <w:t>商务及合同主要条款响应说明</w:t>
      </w:r>
      <w:r>
        <w:rPr>
          <w:rFonts w:hint="eastAsia" w:ascii="宋体" w:hAnsi="宋体" w:eastAsia="宋体" w:cs="宋体"/>
          <w:b w:val="0"/>
          <w:bCs/>
          <w:color w:val="auto"/>
          <w:sz w:val="24"/>
          <w:szCs w:val="24"/>
        </w:rPr>
        <w:fldChar w:fldCharType="end"/>
      </w:r>
    </w:p>
    <w:p w14:paraId="74E936DA">
      <w:pPr>
        <w:spacing w:line="600" w:lineRule="auto"/>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第</w:t>
      </w:r>
      <w:r>
        <w:rPr>
          <w:rFonts w:hint="eastAsia" w:ascii="宋体" w:hAnsi="宋体" w:eastAsia="宋体" w:cs="宋体"/>
          <w:b w:val="0"/>
          <w:bCs/>
          <w:color w:val="auto"/>
          <w:sz w:val="24"/>
          <w:szCs w:val="24"/>
          <w:lang w:val="en-US" w:eastAsia="zh-CN"/>
        </w:rPr>
        <w:t>6</w:t>
      </w:r>
      <w:r>
        <w:rPr>
          <w:rFonts w:hint="eastAsia" w:ascii="宋体" w:hAnsi="宋体" w:eastAsia="宋体" w:cs="宋体"/>
          <w:b w:val="0"/>
          <w:bCs/>
          <w:color w:val="auto"/>
          <w:sz w:val="24"/>
          <w:szCs w:val="24"/>
        </w:rPr>
        <w:t>部分  供应商资质证明文件</w:t>
      </w:r>
    </w:p>
    <w:p w14:paraId="61D79D52">
      <w:pPr>
        <w:spacing w:line="600" w:lineRule="auto"/>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HYPERLINK \l _Toc21049_WPSOffice_Level1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第</w:t>
      </w:r>
      <w:r>
        <w:rPr>
          <w:rFonts w:hint="eastAsia" w:ascii="宋体" w:hAnsi="宋体" w:eastAsia="宋体" w:cs="宋体"/>
          <w:b w:val="0"/>
          <w:bCs/>
          <w:color w:val="auto"/>
          <w:sz w:val="24"/>
          <w:szCs w:val="24"/>
          <w:lang w:val="en-US" w:eastAsia="zh-CN"/>
        </w:rPr>
        <w:t>7</w:t>
      </w:r>
      <w:r>
        <w:rPr>
          <w:rFonts w:hint="eastAsia" w:ascii="宋体" w:hAnsi="宋体" w:eastAsia="宋体" w:cs="宋体"/>
          <w:b w:val="0"/>
          <w:bCs/>
          <w:color w:val="auto"/>
          <w:sz w:val="24"/>
          <w:szCs w:val="24"/>
        </w:rPr>
        <w:t>部分  磋商响应方案</w:t>
      </w:r>
      <w:r>
        <w:rPr>
          <w:rFonts w:hint="eastAsia" w:ascii="宋体" w:hAnsi="宋体" w:eastAsia="宋体" w:cs="宋体"/>
          <w:b w:val="0"/>
          <w:bCs/>
          <w:color w:val="auto"/>
          <w:sz w:val="24"/>
          <w:szCs w:val="24"/>
        </w:rPr>
        <w:fldChar w:fldCharType="end"/>
      </w:r>
    </w:p>
    <w:p w14:paraId="195B051D">
      <w:pPr>
        <w:spacing w:line="600" w:lineRule="auto"/>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第</w:t>
      </w:r>
      <w:r>
        <w:rPr>
          <w:rFonts w:hint="eastAsia" w:ascii="宋体" w:hAnsi="宋体" w:eastAsia="宋体" w:cs="宋体"/>
          <w:b w:val="0"/>
          <w:bCs/>
          <w:color w:val="auto"/>
          <w:sz w:val="24"/>
          <w:szCs w:val="24"/>
          <w:lang w:val="en-US" w:eastAsia="zh-CN"/>
        </w:rPr>
        <w:t>8</w:t>
      </w:r>
      <w:r>
        <w:rPr>
          <w:rFonts w:hint="eastAsia" w:ascii="宋体" w:hAnsi="宋体" w:eastAsia="宋体" w:cs="宋体"/>
          <w:b w:val="0"/>
          <w:bCs/>
          <w:color w:val="auto"/>
          <w:sz w:val="24"/>
          <w:szCs w:val="24"/>
        </w:rPr>
        <w:t>部分  供应商承诺</w:t>
      </w:r>
    </w:p>
    <w:p w14:paraId="7FC8CBCC">
      <w:pPr>
        <w:spacing w:line="600" w:lineRule="auto"/>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第9部分  其他资料</w:t>
      </w:r>
    </w:p>
    <w:p w14:paraId="4600E8A5">
      <w:pPr>
        <w:spacing w:line="600" w:lineRule="auto"/>
        <w:jc w:val="left"/>
        <w:rPr>
          <w:rFonts w:hint="eastAsia" w:ascii="宋体" w:hAnsi="宋体" w:eastAsia="宋体" w:cs="宋体"/>
          <w:b w:val="0"/>
          <w:bCs/>
          <w:color w:val="auto"/>
          <w:sz w:val="24"/>
          <w:szCs w:val="24"/>
        </w:rPr>
      </w:pPr>
    </w:p>
    <w:p w14:paraId="5E3AF6BF">
      <w:pPr>
        <w:spacing w:line="360" w:lineRule="atLeast"/>
        <w:rPr>
          <w:rFonts w:hint="eastAsia" w:ascii="宋体" w:hAnsi="宋体" w:eastAsia="宋体" w:cs="宋体"/>
          <w:b/>
          <w:color w:val="auto"/>
          <w:sz w:val="32"/>
        </w:rPr>
      </w:pPr>
    </w:p>
    <w:p w14:paraId="6FA94B33">
      <w:pPr>
        <w:spacing w:line="360" w:lineRule="atLeast"/>
        <w:rPr>
          <w:rFonts w:hint="eastAsia" w:ascii="宋体" w:hAnsi="宋体" w:eastAsia="宋体" w:cs="宋体"/>
          <w:b/>
          <w:color w:val="auto"/>
          <w:sz w:val="32"/>
        </w:rPr>
      </w:pPr>
    </w:p>
    <w:p w14:paraId="1CB44B75">
      <w:pPr>
        <w:pStyle w:val="11"/>
        <w:rPr>
          <w:rFonts w:hint="eastAsia" w:ascii="宋体" w:hAnsi="宋体" w:eastAsia="宋体" w:cs="宋体"/>
          <w:b/>
          <w:color w:val="auto"/>
          <w:sz w:val="32"/>
        </w:rPr>
      </w:pPr>
    </w:p>
    <w:p w14:paraId="04D1B7CA">
      <w:pPr>
        <w:pStyle w:val="11"/>
        <w:rPr>
          <w:rFonts w:hint="eastAsia" w:ascii="宋体" w:hAnsi="宋体" w:eastAsia="宋体" w:cs="宋体"/>
          <w:b/>
          <w:color w:val="auto"/>
          <w:sz w:val="32"/>
        </w:rPr>
      </w:pPr>
    </w:p>
    <w:p w14:paraId="74F95553">
      <w:pPr>
        <w:pStyle w:val="11"/>
        <w:rPr>
          <w:rFonts w:hint="eastAsia" w:ascii="宋体" w:hAnsi="宋体" w:eastAsia="宋体" w:cs="宋体"/>
          <w:b/>
          <w:color w:val="auto"/>
          <w:sz w:val="32"/>
        </w:rPr>
      </w:pPr>
    </w:p>
    <w:p w14:paraId="737BAF95">
      <w:pPr>
        <w:pStyle w:val="11"/>
        <w:rPr>
          <w:rFonts w:hint="eastAsia" w:ascii="宋体" w:hAnsi="宋体" w:eastAsia="宋体" w:cs="宋体"/>
          <w:b/>
          <w:color w:val="auto"/>
          <w:sz w:val="32"/>
        </w:rPr>
      </w:pPr>
    </w:p>
    <w:p w14:paraId="4C8CBB5F">
      <w:pPr>
        <w:pStyle w:val="11"/>
        <w:rPr>
          <w:rFonts w:hint="eastAsia" w:ascii="宋体" w:hAnsi="宋体" w:eastAsia="宋体" w:cs="宋体"/>
          <w:b/>
          <w:color w:val="auto"/>
          <w:sz w:val="32"/>
        </w:rPr>
      </w:pPr>
    </w:p>
    <w:p w14:paraId="5A2CC642">
      <w:pPr>
        <w:pStyle w:val="11"/>
        <w:rPr>
          <w:rFonts w:hint="eastAsia" w:ascii="宋体" w:hAnsi="宋体" w:eastAsia="宋体" w:cs="宋体"/>
          <w:b/>
          <w:color w:val="auto"/>
          <w:sz w:val="32"/>
        </w:rPr>
      </w:pPr>
    </w:p>
    <w:p w14:paraId="45AE6035">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1</w:t>
      </w:r>
      <w:r>
        <w:rPr>
          <w:rFonts w:hint="eastAsia" w:ascii="宋体" w:hAnsi="宋体" w:eastAsia="宋体" w:cs="宋体"/>
          <w:b/>
          <w:color w:val="auto"/>
          <w:sz w:val="32"/>
          <w:szCs w:val="32"/>
        </w:rPr>
        <w:t xml:space="preserve">部分   响应函 </w:t>
      </w:r>
    </w:p>
    <w:p w14:paraId="7F9A1279">
      <w:pPr>
        <w:kinsoku w:val="0"/>
        <w:spacing w:line="500" w:lineRule="exact"/>
        <w:rPr>
          <w:rFonts w:hint="eastAsia" w:ascii="宋体" w:hAnsi="宋体" w:eastAsia="宋体" w:cs="宋体"/>
          <w:color w:val="auto"/>
          <w:sz w:val="24"/>
        </w:rPr>
      </w:pPr>
      <w:r>
        <w:rPr>
          <w:rFonts w:hint="eastAsia" w:ascii="宋体" w:hAnsi="宋体" w:cs="宋体"/>
          <w:color w:val="auto"/>
          <w:sz w:val="24"/>
          <w:lang w:eastAsia="zh-CN"/>
        </w:rPr>
        <w:t>延安市宝塔区盛潮项目管理有限公司</w:t>
      </w:r>
      <w:r>
        <w:rPr>
          <w:rFonts w:hint="eastAsia" w:ascii="宋体" w:hAnsi="宋体" w:eastAsia="宋体" w:cs="宋体"/>
          <w:color w:val="auto"/>
          <w:sz w:val="24"/>
        </w:rPr>
        <w:t>：</w:t>
      </w:r>
    </w:p>
    <w:p w14:paraId="77E8958C">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pacing w:val="-6"/>
          <w:sz w:val="24"/>
          <w:u w:val="single"/>
          <w:lang w:val="en-US" w:eastAsia="zh-CN"/>
        </w:rPr>
        <w:t xml:space="preserve">   </w:t>
      </w:r>
      <w:r>
        <w:rPr>
          <w:rFonts w:hint="eastAsia" w:ascii="宋体" w:hAnsi="宋体" w:eastAsia="宋体" w:cs="宋体"/>
          <w:color w:val="auto"/>
          <w:spacing w:val="-6"/>
          <w:sz w:val="24"/>
          <w:u w:val="single"/>
        </w:rPr>
        <w:t xml:space="preserve"> </w:t>
      </w:r>
      <w:r>
        <w:rPr>
          <w:rFonts w:hint="eastAsia" w:ascii="宋体" w:hAnsi="宋体" w:eastAsia="宋体" w:cs="宋体"/>
          <w:color w:val="auto"/>
          <w:spacing w:val="-6"/>
          <w:sz w:val="24"/>
          <w:u w:val="single"/>
          <w:lang w:val="en-US" w:eastAsia="zh-CN"/>
        </w:rPr>
        <w:t xml:space="preserve">  </w:t>
      </w:r>
      <w:r>
        <w:rPr>
          <w:rFonts w:hint="eastAsia" w:ascii="宋体" w:hAnsi="宋体" w:eastAsia="宋体" w:cs="宋体"/>
          <w:color w:val="auto"/>
          <w:spacing w:val="-6"/>
          <w:sz w:val="24"/>
          <w:u w:val="single"/>
        </w:rPr>
        <w:t xml:space="preserve"> </w:t>
      </w:r>
      <w:r>
        <w:rPr>
          <w:rFonts w:hint="eastAsia" w:ascii="宋体" w:hAnsi="宋体" w:eastAsia="宋体" w:cs="宋体"/>
          <w:color w:val="auto"/>
          <w:spacing w:val="-6"/>
          <w:sz w:val="24"/>
          <w:u w:val="none"/>
        </w:rPr>
        <w:t xml:space="preserve"> </w:t>
      </w:r>
      <w:r>
        <w:rPr>
          <w:rFonts w:hint="eastAsia" w:ascii="宋体" w:hAnsi="宋体" w:cs="宋体"/>
          <w:color w:val="auto"/>
          <w:spacing w:val="-6"/>
          <w:sz w:val="24"/>
          <w:u w:val="none"/>
          <w:lang w:eastAsia="zh-CN"/>
        </w:rPr>
        <w:t>（</w:t>
      </w:r>
      <w:r>
        <w:rPr>
          <w:rFonts w:hint="eastAsia" w:ascii="宋体" w:hAnsi="宋体" w:cs="宋体"/>
          <w:color w:val="auto"/>
          <w:spacing w:val="-6"/>
          <w:sz w:val="24"/>
          <w:u w:val="none"/>
          <w:lang w:val="en-US" w:eastAsia="zh-CN"/>
        </w:rPr>
        <w:t>二标包</w:t>
      </w:r>
      <w:r>
        <w:rPr>
          <w:rFonts w:hint="eastAsia" w:ascii="宋体" w:hAnsi="宋体" w:cs="宋体"/>
          <w:color w:val="auto"/>
          <w:spacing w:val="-6"/>
          <w:sz w:val="24"/>
          <w:u w:val="none"/>
          <w:lang w:eastAsia="zh-CN"/>
        </w:rPr>
        <w:t>）</w:t>
      </w:r>
      <w:r>
        <w:rPr>
          <w:rFonts w:hint="eastAsia" w:ascii="宋体" w:hAnsi="宋体" w:eastAsia="宋体" w:cs="宋体"/>
          <w:color w:val="auto"/>
          <w:spacing w:val="-6"/>
          <w:sz w:val="24"/>
          <w:u w:val="none"/>
          <w:lang w:eastAsia="zh-CN"/>
        </w:rPr>
        <w:t>（项目名称）（</w:t>
      </w:r>
      <w:r>
        <w:rPr>
          <w:rFonts w:hint="eastAsia" w:ascii="宋体" w:hAnsi="宋体" w:eastAsia="宋体" w:cs="宋体"/>
          <w:color w:val="auto"/>
          <w:spacing w:val="-6"/>
          <w:sz w:val="24"/>
          <w:u w:val="none"/>
          <w:lang w:val="en-US" w:eastAsia="zh-CN"/>
        </w:rPr>
        <w:t>项目编号</w:t>
      </w:r>
      <w:r>
        <w:rPr>
          <w:rFonts w:hint="eastAsia" w:ascii="宋体" w:hAnsi="宋体" w:cs="宋体"/>
          <w:color w:val="auto"/>
          <w:spacing w:val="-6"/>
          <w:sz w:val="24"/>
          <w:u w:val="none"/>
          <w:lang w:val="en-US" w:eastAsia="zh-CN"/>
        </w:rPr>
        <w:t>：</w:t>
      </w:r>
      <w:r>
        <w:rPr>
          <w:rFonts w:hint="eastAsia" w:ascii="宋体" w:hAnsi="宋体" w:cs="宋体"/>
          <w:color w:val="auto"/>
          <w:spacing w:val="-6"/>
          <w:sz w:val="24"/>
          <w:u w:val="single"/>
          <w:lang w:val="en-US" w:eastAsia="zh-CN"/>
        </w:rPr>
        <w:t xml:space="preserve">     </w:t>
      </w:r>
      <w:r>
        <w:rPr>
          <w:rFonts w:hint="eastAsia" w:ascii="宋体" w:hAnsi="宋体" w:eastAsia="宋体" w:cs="宋体"/>
          <w:color w:val="auto"/>
          <w:spacing w:val="-6"/>
          <w:sz w:val="24"/>
          <w:u w:val="none"/>
          <w:lang w:eastAsia="zh-CN"/>
        </w:rPr>
        <w:t>）</w:t>
      </w:r>
      <w:r>
        <w:rPr>
          <w:rFonts w:hint="eastAsia" w:ascii="宋体" w:hAnsi="宋体" w:eastAsia="宋体" w:cs="宋体"/>
          <w:color w:val="auto"/>
          <w:sz w:val="24"/>
        </w:rPr>
        <w:t>磋商文件，经详细研究，决定参加本次磋商活动为此，我方郑重声明以下几点，并愿负法律责任。</w:t>
      </w:r>
    </w:p>
    <w:p w14:paraId="49B2306A">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1、按照磋商文件中的一切要求，提供完全满足采购需求的合格工程和全面技术、售后工程保障</w:t>
      </w:r>
      <w:r>
        <w:rPr>
          <w:rFonts w:hint="eastAsia" w:ascii="宋体" w:hAnsi="宋体" w:eastAsia="宋体" w:cs="宋体"/>
          <w:color w:val="auto"/>
          <w:sz w:val="24"/>
          <w:lang w:eastAsia="zh-CN"/>
        </w:rPr>
        <w:t>；</w:t>
      </w:r>
    </w:p>
    <w:p w14:paraId="787099F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2、如若中标，将根据磋商文件的要求、响应文件及承诺条件，全面签约并履行合同规定的责任和义务</w:t>
      </w:r>
      <w:r>
        <w:rPr>
          <w:rFonts w:hint="eastAsia" w:ascii="宋体" w:hAnsi="宋体" w:eastAsia="宋体" w:cs="宋体"/>
          <w:color w:val="auto"/>
          <w:sz w:val="24"/>
          <w:lang w:eastAsia="zh-CN"/>
        </w:rPr>
        <w:t>；</w:t>
      </w:r>
    </w:p>
    <w:p w14:paraId="535C8B15">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3、我方提交的响应文件共</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份，其中正本</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val="en-US" w:eastAsia="zh-CN"/>
        </w:rPr>
        <w:t>电子版</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p>
    <w:p w14:paraId="4E09C93A">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4、我方已详细阅读和核实全部磋商文件内容，完全理解并同意放弃提出含糊不清和误解问题的权</w:t>
      </w:r>
      <w:r>
        <w:rPr>
          <w:rFonts w:hint="eastAsia" w:ascii="宋体" w:hAnsi="宋体" w:cs="宋体"/>
          <w:color w:val="auto"/>
          <w:sz w:val="24"/>
          <w:lang w:val="en-US" w:eastAsia="zh-CN"/>
        </w:rPr>
        <w:t>利</w:t>
      </w:r>
      <w:r>
        <w:rPr>
          <w:rFonts w:hint="eastAsia" w:ascii="宋体" w:hAnsi="宋体" w:eastAsia="宋体" w:cs="宋体"/>
          <w:color w:val="auto"/>
          <w:sz w:val="24"/>
          <w:lang w:eastAsia="zh-CN"/>
        </w:rPr>
        <w:t>；</w:t>
      </w:r>
    </w:p>
    <w:p w14:paraId="0DCAF146">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、同意提供贵方要求的与本次磋商有关的任何证明资料</w:t>
      </w:r>
      <w:r>
        <w:rPr>
          <w:rFonts w:hint="eastAsia" w:ascii="宋体" w:hAnsi="宋体" w:eastAsia="宋体" w:cs="宋体"/>
          <w:color w:val="auto"/>
          <w:sz w:val="24"/>
          <w:lang w:eastAsia="zh-CN"/>
        </w:rPr>
        <w:t>；</w:t>
      </w:r>
    </w:p>
    <w:p w14:paraId="6F30E93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、我方的响应文件在磋商之日计算有效为九十（90）个日历日</w:t>
      </w:r>
      <w:r>
        <w:rPr>
          <w:rFonts w:hint="eastAsia" w:ascii="宋体" w:hAnsi="宋体" w:eastAsia="宋体" w:cs="宋体"/>
          <w:color w:val="auto"/>
          <w:sz w:val="24"/>
          <w:lang w:eastAsia="zh-CN"/>
        </w:rPr>
        <w:t>；</w:t>
      </w:r>
    </w:p>
    <w:p w14:paraId="2C1DBF46">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、所有关于本次响应的函电，请按下列地址、方式联系：</w:t>
      </w:r>
    </w:p>
    <w:p w14:paraId="032BA88F">
      <w:pPr>
        <w:kinsoku w:val="0"/>
        <w:spacing w:line="500" w:lineRule="exact"/>
        <w:ind w:firstLine="840"/>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014ED128">
      <w:pPr>
        <w:kinsoku w:val="0"/>
        <w:spacing w:line="50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w:t>
      </w:r>
    </w:p>
    <w:p w14:paraId="49D44F5A">
      <w:pPr>
        <w:kinsoku w:val="0"/>
        <w:spacing w:line="50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w:t>
      </w:r>
    </w:p>
    <w:p w14:paraId="433D9BE5">
      <w:pPr>
        <w:kinsoku w:val="0"/>
        <w:spacing w:line="50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w:t>
      </w:r>
    </w:p>
    <w:p w14:paraId="7E1BA7F7">
      <w:pPr>
        <w:kinsoku w:val="0"/>
        <w:spacing w:line="500" w:lineRule="exact"/>
        <w:ind w:firstLine="570"/>
        <w:rPr>
          <w:rFonts w:hint="eastAsia" w:ascii="宋体" w:hAnsi="宋体" w:eastAsia="宋体" w:cs="宋体"/>
          <w:color w:val="auto"/>
          <w:sz w:val="24"/>
        </w:rPr>
      </w:pPr>
    </w:p>
    <w:p w14:paraId="60B22E51">
      <w:pPr>
        <w:kinsoku w:val="0"/>
        <w:spacing w:line="500" w:lineRule="exact"/>
        <w:ind w:firstLine="570"/>
        <w:rPr>
          <w:rFonts w:hint="eastAsia" w:ascii="宋体" w:hAnsi="宋体" w:eastAsia="宋体" w:cs="宋体"/>
          <w:color w:val="auto"/>
          <w:sz w:val="24"/>
        </w:rPr>
      </w:pPr>
    </w:p>
    <w:p w14:paraId="43BB84C5">
      <w:pPr>
        <w:kinsoku w:val="0"/>
        <w:spacing w:line="500" w:lineRule="exact"/>
        <w:ind w:firstLine="808" w:firstLineChars="337"/>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p>
    <w:p w14:paraId="54CC2B56">
      <w:pPr>
        <w:kinsoku w:val="0"/>
        <w:spacing w:line="500" w:lineRule="exact"/>
        <w:ind w:firstLine="570"/>
        <w:rPr>
          <w:rFonts w:hint="eastAsia" w:ascii="宋体" w:hAnsi="宋体" w:eastAsia="宋体" w:cs="宋体"/>
          <w:color w:val="auto"/>
          <w:sz w:val="24"/>
        </w:rPr>
      </w:pPr>
    </w:p>
    <w:p w14:paraId="083FAB54">
      <w:pPr>
        <w:kinsoku w:val="0"/>
        <w:spacing w:line="500" w:lineRule="exact"/>
        <w:ind w:firstLine="570"/>
        <w:rPr>
          <w:rFonts w:hint="eastAsia" w:ascii="宋体" w:hAnsi="宋体" w:eastAsia="宋体" w:cs="宋体"/>
          <w:color w:val="auto"/>
          <w:sz w:val="24"/>
        </w:rPr>
      </w:pPr>
    </w:p>
    <w:p w14:paraId="512BD625">
      <w:pPr>
        <w:kinsoku w:val="0"/>
        <w:spacing w:line="500" w:lineRule="exact"/>
        <w:ind w:firstLine="808" w:firstLineChars="337"/>
        <w:rPr>
          <w:rFonts w:hint="eastAsia" w:ascii="宋体" w:hAnsi="宋体" w:eastAsia="宋体" w:cs="宋体"/>
          <w:color w:val="auto"/>
          <w:sz w:val="24"/>
          <w:u w:val="single"/>
        </w:rPr>
      </w:pPr>
      <w:r>
        <w:rPr>
          <w:rFonts w:hint="eastAsia" w:ascii="宋体" w:hAnsi="宋体" w:eastAsia="宋体" w:cs="宋体"/>
          <w:color w:val="auto"/>
          <w:sz w:val="24"/>
        </w:rPr>
        <w:t>法定代表人/被授权人（签字）：</w:t>
      </w:r>
      <w:r>
        <w:rPr>
          <w:rFonts w:hint="eastAsia" w:ascii="宋体" w:hAnsi="宋体" w:eastAsia="宋体" w:cs="宋体"/>
          <w:color w:val="auto"/>
          <w:sz w:val="24"/>
          <w:u w:val="single"/>
        </w:rPr>
        <w:t xml:space="preserve">                                   </w:t>
      </w:r>
    </w:p>
    <w:p w14:paraId="36B7EDAC">
      <w:pPr>
        <w:kinsoku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1C1EA5B5">
      <w:pPr>
        <w:spacing w:line="360" w:lineRule="atLeast"/>
        <w:rPr>
          <w:rFonts w:hint="eastAsia" w:ascii="宋体" w:hAnsi="宋体" w:eastAsia="宋体" w:cs="宋体"/>
          <w:color w:val="auto"/>
          <w:sz w:val="24"/>
        </w:rPr>
        <w:sectPr>
          <w:headerReference r:id="rId8" w:type="default"/>
          <w:footerReference r:id="rId9" w:type="default"/>
          <w:pgSz w:w="11906" w:h="16838"/>
          <w:pgMar w:top="1235" w:right="1134" w:bottom="1021" w:left="1321" w:header="851" w:footer="824" w:gutter="0"/>
          <w:pgNumType w:fmt="numberInDash"/>
          <w:cols w:space="720" w:num="1"/>
          <w:docGrid w:type="lines" w:linePitch="312" w:charSpace="0"/>
        </w:sectPr>
      </w:pPr>
    </w:p>
    <w:p w14:paraId="4146D27A">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第2部分   法定代表人证明书与授权书</w:t>
      </w:r>
    </w:p>
    <w:p w14:paraId="3A70740E">
      <w:pPr>
        <w:spacing w:line="360" w:lineRule="atLeast"/>
        <w:jc w:val="center"/>
        <w:rPr>
          <w:rFonts w:hint="eastAsia" w:ascii="宋体" w:hAnsi="宋体" w:eastAsia="宋体" w:cs="宋体"/>
          <w:b/>
          <w:color w:val="auto"/>
          <w:sz w:val="32"/>
          <w:szCs w:val="32"/>
        </w:rPr>
      </w:pPr>
    </w:p>
    <w:p w14:paraId="378E8317">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法定代表人身份证明书</w:t>
      </w:r>
    </w:p>
    <w:p w14:paraId="173B209B">
      <w:pPr>
        <w:pStyle w:val="21"/>
        <w:rPr>
          <w:rFonts w:hint="eastAsia" w:ascii="宋体" w:hAnsi="宋体" w:eastAsia="宋体" w:cs="宋体"/>
          <w:color w:val="auto"/>
        </w:rPr>
      </w:pPr>
    </w:p>
    <w:p w14:paraId="1A6F969A">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r>
        <w:rPr>
          <w:rFonts w:hint="eastAsia" w:ascii="宋体" w:hAnsi="宋体" w:eastAsia="宋体" w:cs="宋体"/>
          <w:color w:val="FFFFFF"/>
          <w:sz w:val="24"/>
          <w:u w:val="single"/>
        </w:rPr>
        <w:t>.</w:t>
      </w:r>
    </w:p>
    <w:p w14:paraId="75F5520E">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FFFFFF"/>
          <w:sz w:val="24"/>
          <w:u w:val="thick"/>
        </w:rPr>
        <w:t>.</w:t>
      </w:r>
    </w:p>
    <w:p w14:paraId="5BFA76A8">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FFFFFF"/>
          <w:sz w:val="24"/>
          <w:u w:val="thick"/>
        </w:rPr>
        <w:t>.</w:t>
      </w:r>
    </w:p>
    <w:p w14:paraId="74A8E8A5">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4969D5CA">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r>
        <w:rPr>
          <w:rFonts w:hint="eastAsia" w:ascii="宋体" w:hAnsi="宋体" w:eastAsia="宋体" w:cs="宋体"/>
          <w:color w:val="FFFFFF"/>
          <w:sz w:val="24"/>
          <w:u w:val="single"/>
        </w:rPr>
        <w:t>.</w:t>
      </w:r>
    </w:p>
    <w:p w14:paraId="062FE555">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r>
        <w:rPr>
          <w:rFonts w:hint="eastAsia" w:ascii="宋体" w:hAnsi="宋体" w:eastAsia="宋体" w:cs="宋体"/>
          <w:color w:val="FFFFFF"/>
          <w:sz w:val="24"/>
          <w:u w:val="single"/>
        </w:rPr>
        <w:t xml:space="preserve"> .</w:t>
      </w:r>
    </w:p>
    <w:p w14:paraId="7B47611D">
      <w:pPr>
        <w:spacing w:line="560" w:lineRule="exact"/>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74C0E0B8">
      <w:pPr>
        <w:spacing w:line="560" w:lineRule="exact"/>
        <w:ind w:firstLine="307" w:firstLineChars="128"/>
        <w:rPr>
          <w:rFonts w:hint="eastAsia" w:ascii="宋体" w:hAnsi="宋体" w:eastAsia="宋体" w:cs="宋体"/>
          <w:color w:val="auto"/>
          <w:sz w:val="24"/>
        </w:rPr>
      </w:pPr>
    </w:p>
    <w:p w14:paraId="62EDECD4">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14:paraId="36DCB6C0">
      <w:pPr>
        <w:spacing w:line="560" w:lineRule="exact"/>
        <w:rPr>
          <w:rFonts w:hint="eastAsia" w:ascii="宋体" w:hAnsi="宋体" w:eastAsia="宋体" w:cs="宋体"/>
          <w:color w:val="auto"/>
          <w:sz w:val="24"/>
        </w:rPr>
      </w:pPr>
      <w:r>
        <w:rPr>
          <w:rFonts w:hint="eastAsia" w:ascii="宋体" w:hAnsi="宋体" w:eastAsia="宋体" w:cs="宋体"/>
          <w:color w:val="auto"/>
          <w:sz w:val="24"/>
        </w:rPr>
        <w:t>附：法定代表人身份证复印件</w:t>
      </w:r>
    </w:p>
    <w:p w14:paraId="5F9BDFB9">
      <w:pPr>
        <w:pStyle w:val="21"/>
        <w:rPr>
          <w:rFonts w:hint="eastAsia" w:ascii="宋体" w:hAnsi="宋体" w:eastAsia="宋体" w:cs="宋体"/>
          <w:color w:val="auto"/>
        </w:rPr>
      </w:pPr>
    </w:p>
    <w:p w14:paraId="763494AD">
      <w:pPr>
        <w:spacing w:line="560" w:lineRule="exact"/>
        <w:rPr>
          <w:rFonts w:hint="eastAsia" w:ascii="宋体" w:hAnsi="宋体" w:eastAsia="宋体" w:cs="宋体"/>
          <w:color w:val="auto"/>
          <w:sz w:val="24"/>
        </w:rPr>
      </w:pPr>
    </w:p>
    <w:p w14:paraId="1B0EC1D0">
      <w:pPr>
        <w:autoSpaceDE w:val="0"/>
        <w:autoSpaceDN w:val="0"/>
        <w:adjustRightInd w:val="0"/>
        <w:jc w:val="right"/>
        <w:rPr>
          <w:rFonts w:hint="eastAsia" w:ascii="宋体" w:hAnsi="宋体" w:eastAsia="宋体" w:cs="宋体"/>
          <w:color w:val="auto"/>
          <w:sz w:val="24"/>
          <w:u w:val="single"/>
          <w:lang w:val="zh-CN"/>
        </w:rPr>
      </w:pP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58F43ECB">
      <w:pPr>
        <w:autoSpaceDE w:val="0"/>
        <w:autoSpaceDN w:val="0"/>
        <w:adjustRightInd w:val="0"/>
        <w:rPr>
          <w:rFonts w:hint="eastAsia" w:ascii="宋体" w:hAnsi="宋体" w:eastAsia="宋体" w:cs="宋体"/>
          <w:color w:val="auto"/>
          <w:sz w:val="24"/>
          <w:lang w:val="zh-CN"/>
        </w:rPr>
      </w:pPr>
    </w:p>
    <w:p w14:paraId="419F6538">
      <w:pPr>
        <w:autoSpaceDE w:val="0"/>
        <w:autoSpaceDN w:val="0"/>
        <w:adjustRightInd w:val="0"/>
        <w:ind w:firstLine="2160" w:firstLineChars="9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（签字或盖章）</w:t>
      </w:r>
    </w:p>
    <w:p w14:paraId="46BA14D2">
      <w:pPr>
        <w:autoSpaceDE w:val="0"/>
        <w:autoSpaceDN w:val="0"/>
        <w:adjustRightInd w:val="0"/>
        <w:jc w:val="right"/>
        <w:rPr>
          <w:rFonts w:hint="eastAsia" w:ascii="宋体" w:hAnsi="宋体" w:eastAsia="宋体" w:cs="宋体"/>
          <w:color w:val="auto"/>
          <w:sz w:val="24"/>
        </w:rPr>
      </w:pPr>
    </w:p>
    <w:p w14:paraId="546012D9">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47EAAD84">
      <w:pPr>
        <w:pStyle w:val="54"/>
        <w:jc w:val="right"/>
        <w:rPr>
          <w:rFonts w:hint="eastAsia" w:ascii="宋体" w:hAnsi="宋体" w:eastAsia="宋体" w:cs="宋体"/>
          <w:bCs/>
          <w:color w:val="auto"/>
          <w:sz w:val="32"/>
          <w:szCs w:val="32"/>
        </w:rPr>
        <w:sectPr>
          <w:footerReference r:id="rId10" w:type="default"/>
          <w:pgSz w:w="11907" w:h="16840"/>
          <w:pgMar w:top="1701" w:right="1134" w:bottom="1701" w:left="1134" w:header="851" w:footer="992" w:gutter="567"/>
          <w:pgNumType w:fmt="numberInDash"/>
          <w:cols w:space="720" w:num="1"/>
          <w:docGrid w:linePitch="312" w:charSpace="0"/>
        </w:sectPr>
      </w:pPr>
    </w:p>
    <w:p w14:paraId="5D07B643">
      <w:pPr>
        <w:pStyle w:val="54"/>
        <w:rPr>
          <w:rFonts w:hint="eastAsia" w:ascii="宋体" w:hAnsi="宋体" w:eastAsia="宋体" w:cs="宋体"/>
          <w:bCs/>
          <w:color w:val="auto"/>
          <w:sz w:val="28"/>
          <w:szCs w:val="28"/>
        </w:rPr>
      </w:pPr>
      <w:r>
        <w:rPr>
          <w:rFonts w:hint="eastAsia" w:ascii="宋体" w:hAnsi="宋体" w:eastAsia="宋体" w:cs="宋体"/>
          <w:bCs/>
          <w:color w:val="auto"/>
          <w:sz w:val="28"/>
          <w:szCs w:val="28"/>
        </w:rPr>
        <w:t>授权委托书</w:t>
      </w:r>
    </w:p>
    <w:p w14:paraId="492E0F85">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pacing w:val="-6"/>
          <w:sz w:val="24"/>
          <w:u w:val="single"/>
        </w:rPr>
        <w:t xml:space="preserve">    </w:t>
      </w:r>
      <w:r>
        <w:rPr>
          <w:rFonts w:hint="eastAsia" w:ascii="宋体" w:hAnsi="宋体" w:eastAsia="宋体" w:cs="宋体"/>
          <w:color w:val="auto"/>
          <w:spacing w:val="-6"/>
          <w:sz w:val="24"/>
          <w:u w:val="single"/>
          <w:lang w:val="en-US" w:eastAsia="zh-CN"/>
        </w:rPr>
        <w:t xml:space="preserve">   </w:t>
      </w:r>
      <w:r>
        <w:rPr>
          <w:rFonts w:hint="eastAsia" w:ascii="宋体" w:hAnsi="宋体" w:eastAsia="宋体" w:cs="宋体"/>
          <w:color w:val="auto"/>
          <w:spacing w:val="-6"/>
          <w:sz w:val="24"/>
          <w:u w:val="single"/>
        </w:rPr>
        <w:t xml:space="preserve"> </w:t>
      </w:r>
      <w:r>
        <w:rPr>
          <w:rFonts w:hint="eastAsia" w:ascii="宋体" w:hAnsi="宋体" w:eastAsia="宋体" w:cs="宋体"/>
          <w:color w:val="auto"/>
          <w:spacing w:val="-6"/>
          <w:sz w:val="24"/>
          <w:u w:val="single"/>
          <w:lang w:val="en-US" w:eastAsia="zh-CN"/>
        </w:rPr>
        <w:t xml:space="preserve">  </w:t>
      </w:r>
      <w:r>
        <w:rPr>
          <w:rFonts w:hint="eastAsia" w:ascii="宋体" w:hAnsi="宋体" w:eastAsia="宋体" w:cs="宋体"/>
          <w:color w:val="auto"/>
          <w:spacing w:val="-6"/>
          <w:sz w:val="24"/>
          <w:u w:val="single"/>
        </w:rPr>
        <w:t xml:space="preserve"> </w:t>
      </w:r>
      <w:r>
        <w:rPr>
          <w:rFonts w:hint="eastAsia" w:ascii="宋体" w:hAnsi="宋体" w:eastAsia="宋体" w:cs="宋体"/>
          <w:color w:val="auto"/>
          <w:spacing w:val="-6"/>
          <w:sz w:val="24"/>
          <w:u w:val="none"/>
        </w:rPr>
        <w:t xml:space="preserve"> </w:t>
      </w:r>
      <w:r>
        <w:rPr>
          <w:rFonts w:hint="eastAsia" w:ascii="宋体" w:hAnsi="宋体" w:cs="宋体"/>
          <w:color w:val="auto"/>
          <w:spacing w:val="-6"/>
          <w:sz w:val="24"/>
          <w:u w:val="none"/>
          <w:lang w:eastAsia="zh-CN"/>
        </w:rPr>
        <w:t>（</w:t>
      </w:r>
      <w:r>
        <w:rPr>
          <w:rFonts w:hint="eastAsia" w:ascii="宋体" w:hAnsi="宋体" w:cs="宋体"/>
          <w:color w:val="auto"/>
          <w:spacing w:val="-6"/>
          <w:sz w:val="24"/>
          <w:u w:val="none"/>
          <w:lang w:val="en-US" w:eastAsia="zh-CN"/>
        </w:rPr>
        <w:t>二标包</w:t>
      </w:r>
      <w:r>
        <w:rPr>
          <w:rFonts w:hint="eastAsia" w:ascii="宋体" w:hAnsi="宋体" w:cs="宋体"/>
          <w:color w:val="auto"/>
          <w:spacing w:val="-6"/>
          <w:sz w:val="24"/>
          <w:u w:val="none"/>
          <w:lang w:eastAsia="zh-CN"/>
        </w:rPr>
        <w:t>）</w:t>
      </w:r>
      <w:r>
        <w:rPr>
          <w:rFonts w:hint="eastAsia" w:ascii="宋体" w:hAnsi="宋体" w:eastAsia="宋体" w:cs="宋体"/>
          <w:color w:val="auto"/>
          <w:spacing w:val="-6"/>
          <w:sz w:val="24"/>
          <w:u w:val="none"/>
          <w:lang w:eastAsia="zh-CN"/>
        </w:rPr>
        <w:t>（项目名称）（</w:t>
      </w:r>
      <w:r>
        <w:rPr>
          <w:rFonts w:hint="eastAsia" w:ascii="宋体" w:hAnsi="宋体" w:eastAsia="宋体" w:cs="宋体"/>
          <w:color w:val="auto"/>
          <w:spacing w:val="-6"/>
          <w:sz w:val="24"/>
          <w:u w:val="none"/>
          <w:lang w:val="en-US" w:eastAsia="zh-CN"/>
        </w:rPr>
        <w:t>项目编号</w:t>
      </w:r>
      <w:r>
        <w:rPr>
          <w:rFonts w:hint="eastAsia" w:ascii="宋体" w:hAnsi="宋体" w:cs="宋体"/>
          <w:color w:val="auto"/>
          <w:spacing w:val="-6"/>
          <w:sz w:val="24"/>
          <w:u w:val="none"/>
          <w:lang w:val="en-US" w:eastAsia="zh-CN"/>
        </w:rPr>
        <w:t>：</w:t>
      </w:r>
      <w:r>
        <w:rPr>
          <w:rFonts w:hint="eastAsia" w:ascii="宋体" w:hAnsi="宋体" w:cs="宋体"/>
          <w:color w:val="auto"/>
          <w:spacing w:val="-6"/>
          <w:sz w:val="24"/>
          <w:u w:val="single"/>
          <w:lang w:val="en-US" w:eastAsia="zh-CN"/>
        </w:rPr>
        <w:t xml:space="preserve">     </w:t>
      </w:r>
      <w:r>
        <w:rPr>
          <w:rFonts w:hint="eastAsia" w:ascii="宋体" w:hAnsi="宋体" w:eastAsia="宋体" w:cs="宋体"/>
          <w:color w:val="auto"/>
          <w:spacing w:val="-6"/>
          <w:sz w:val="24"/>
          <w:u w:val="none"/>
          <w:lang w:eastAsia="zh-CN"/>
        </w:rPr>
        <w:t>）</w:t>
      </w:r>
      <w:r>
        <w:rPr>
          <w:rFonts w:hint="eastAsia" w:ascii="宋体" w:hAnsi="宋体" w:eastAsia="宋体" w:cs="宋体"/>
          <w:color w:val="auto"/>
          <w:sz w:val="24"/>
        </w:rPr>
        <w:t>的磋商活动</w:t>
      </w:r>
      <w:r>
        <w:rPr>
          <w:rFonts w:hint="eastAsia" w:ascii="宋体" w:hAnsi="宋体" w:eastAsia="宋体" w:cs="宋体"/>
          <w:color w:val="auto"/>
          <w:sz w:val="24"/>
          <w:lang w:val="zh-CN"/>
        </w:rPr>
        <w:t>，以本公司名义处理一切与之有关的事务</w:t>
      </w:r>
      <w:r>
        <w:rPr>
          <w:rFonts w:hint="eastAsia" w:ascii="宋体" w:hAnsi="宋体" w:eastAsia="宋体" w:cs="宋体"/>
          <w:color w:val="auto"/>
          <w:sz w:val="24"/>
        </w:rPr>
        <w:t>。</w:t>
      </w:r>
    </w:p>
    <w:p w14:paraId="1D71119C">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5DEEC930">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日签字生效，有效期自递交响应文件截止之日起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日历天。</w:t>
      </w:r>
    </w:p>
    <w:p w14:paraId="3E8E6EC6">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14:paraId="65B81BDA">
      <w:pPr>
        <w:spacing w:line="560" w:lineRule="exact"/>
        <w:ind w:firstLine="360" w:firstLineChars="150"/>
        <w:rPr>
          <w:rFonts w:hint="eastAsia" w:ascii="宋体" w:hAnsi="宋体" w:eastAsia="宋体" w:cs="宋体"/>
          <w:color w:val="auto"/>
        </w:rPr>
      </w:pPr>
      <w:r>
        <w:rPr>
          <w:rFonts w:hint="eastAsia" w:ascii="宋体" w:hAnsi="宋体" w:eastAsia="宋体" w:cs="宋体"/>
          <w:color w:val="auto"/>
          <w:sz w:val="24"/>
        </w:rPr>
        <w:t>附：法定代表人和委托代理人身份证复印件</w:t>
      </w:r>
    </w:p>
    <w:tbl>
      <w:tblPr>
        <w:tblStyle w:val="23"/>
        <w:tblpPr w:leftFromText="180" w:rightFromText="180" w:vertAnchor="text" w:horzAnchor="page" w:tblpX="1646" w:tblpY="180"/>
        <w:tblOverlap w:val="never"/>
        <w:tblW w:w="9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80"/>
        <w:gridCol w:w="4580"/>
      </w:tblGrid>
      <w:tr w14:paraId="3E8AB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999" w:hRule="atLeast"/>
        </w:trPr>
        <w:tc>
          <w:tcPr>
            <w:tcW w:w="4580" w:type="dxa"/>
            <w:shd w:val="clear" w:color="auto" w:fill="E0E0E0"/>
            <w:noWrap w:val="0"/>
            <w:vAlign w:val="center"/>
          </w:tcPr>
          <w:p w14:paraId="562DDD9A">
            <w:pPr>
              <w:pStyle w:val="12"/>
              <w:overflowPunct w:val="0"/>
              <w:snapToGrid w:val="0"/>
              <w:spacing w:line="500" w:lineRule="exact"/>
              <w:jc w:val="center"/>
              <w:rPr>
                <w:rFonts w:hint="eastAsia" w:ascii="宋体" w:hAnsi="宋体" w:eastAsia="宋体" w:cs="宋体"/>
                <w:color w:val="auto"/>
                <w:sz w:val="24"/>
                <w:szCs w:val="24"/>
                <w:shd w:val="pct10" w:color="auto" w:fill="FFFFFF"/>
              </w:rPr>
            </w:pPr>
          </w:p>
        </w:tc>
        <w:tc>
          <w:tcPr>
            <w:tcW w:w="4580" w:type="dxa"/>
            <w:shd w:val="clear" w:color="auto" w:fill="E0E0E0"/>
            <w:noWrap w:val="0"/>
            <w:vAlign w:val="center"/>
          </w:tcPr>
          <w:p w14:paraId="3D8E50C2">
            <w:pPr>
              <w:pStyle w:val="12"/>
              <w:overflowPunct w:val="0"/>
              <w:snapToGrid w:val="0"/>
              <w:spacing w:line="500" w:lineRule="exact"/>
              <w:jc w:val="center"/>
              <w:rPr>
                <w:rFonts w:hint="eastAsia" w:ascii="宋体" w:hAnsi="宋体" w:eastAsia="宋体" w:cs="宋体"/>
                <w:color w:val="auto"/>
                <w:sz w:val="24"/>
                <w:szCs w:val="24"/>
                <w:shd w:val="pct10" w:color="auto" w:fill="FFFFFF"/>
              </w:rPr>
            </w:pPr>
          </w:p>
        </w:tc>
      </w:tr>
      <w:tr w14:paraId="5BDB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21" w:hRule="atLeast"/>
        </w:trPr>
        <w:tc>
          <w:tcPr>
            <w:tcW w:w="4580" w:type="dxa"/>
            <w:shd w:val="clear" w:color="auto" w:fill="E0E0E0"/>
            <w:noWrap w:val="0"/>
            <w:vAlign w:val="center"/>
          </w:tcPr>
          <w:p w14:paraId="49857201">
            <w:pPr>
              <w:pStyle w:val="12"/>
              <w:overflowPunct w:val="0"/>
              <w:snapToGrid w:val="0"/>
              <w:spacing w:line="500" w:lineRule="exact"/>
              <w:jc w:val="center"/>
              <w:rPr>
                <w:rFonts w:hint="eastAsia" w:ascii="宋体" w:hAnsi="宋体" w:eastAsia="宋体" w:cs="宋体"/>
                <w:color w:val="auto"/>
                <w:sz w:val="24"/>
                <w:szCs w:val="24"/>
                <w:shd w:val="pct10" w:color="auto" w:fill="FFFFFF"/>
              </w:rPr>
            </w:pPr>
          </w:p>
        </w:tc>
        <w:tc>
          <w:tcPr>
            <w:tcW w:w="4580" w:type="dxa"/>
            <w:shd w:val="clear" w:color="auto" w:fill="E0E0E0"/>
            <w:noWrap w:val="0"/>
            <w:vAlign w:val="center"/>
          </w:tcPr>
          <w:p w14:paraId="46A73DDC">
            <w:pPr>
              <w:pStyle w:val="12"/>
              <w:overflowPunct w:val="0"/>
              <w:snapToGrid w:val="0"/>
              <w:spacing w:line="500" w:lineRule="exact"/>
              <w:jc w:val="center"/>
              <w:rPr>
                <w:rFonts w:hint="eastAsia" w:ascii="宋体" w:hAnsi="宋体" w:eastAsia="宋体" w:cs="宋体"/>
                <w:color w:val="auto"/>
                <w:sz w:val="24"/>
                <w:szCs w:val="24"/>
                <w:shd w:val="pct10" w:color="auto" w:fill="FFFFFF"/>
              </w:rPr>
            </w:pPr>
          </w:p>
        </w:tc>
      </w:tr>
    </w:tbl>
    <w:p w14:paraId="69937B8C">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   </w:t>
      </w:r>
    </w:p>
    <w:p w14:paraId="7C7F7555">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 xml:space="preserve">）    </w:t>
      </w:r>
    </w:p>
    <w:p w14:paraId="6D689DF7">
      <w:pPr>
        <w:spacing w:line="560" w:lineRule="exact"/>
        <w:ind w:right="12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身份证号码：</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eastAsia="zh-CN"/>
        </w:rPr>
        <w:t xml:space="preserve">      </w:t>
      </w:r>
    </w:p>
    <w:p w14:paraId="301E3C77">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lang w:val="en-US" w:eastAsia="zh-CN"/>
        </w:rPr>
        <w:t>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p>
    <w:p w14:paraId="26A470F3">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lang w:val="en-US" w:eastAsia="zh-CN"/>
        </w:rPr>
        <w:t>身份证号码：</w:t>
      </w:r>
      <w:r>
        <w:rPr>
          <w:rFonts w:hint="eastAsia" w:ascii="宋体" w:hAnsi="宋体" w:eastAsia="宋体" w:cs="宋体"/>
          <w:color w:val="auto"/>
          <w:sz w:val="24"/>
          <w:u w:val="single"/>
        </w:rPr>
        <w:t xml:space="preserve">                             </w:t>
      </w:r>
    </w:p>
    <w:p w14:paraId="777613AC">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日      期：            年            月           日</w:t>
      </w:r>
    </w:p>
    <w:p w14:paraId="0BC240F0">
      <w:pPr>
        <w:pStyle w:val="12"/>
        <w:numPr>
          <w:ilvl w:val="0"/>
          <w:numId w:val="80"/>
        </w:numPr>
        <w:snapToGrid w:val="0"/>
        <w:spacing w:line="500" w:lineRule="exac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bookmarkStart w:id="26" w:name="_Toc17330_WPSOffice_Level1"/>
      <w:r>
        <w:rPr>
          <w:rFonts w:hint="eastAsia" w:ascii="宋体" w:hAnsi="宋体" w:eastAsia="宋体" w:cs="宋体"/>
          <w:b/>
          <w:color w:val="auto"/>
          <w:sz w:val="32"/>
          <w:szCs w:val="32"/>
        </w:rPr>
        <w:t xml:space="preserve">   响应报价表</w:t>
      </w:r>
      <w:bookmarkEnd w:id="26"/>
    </w:p>
    <w:p w14:paraId="7CE19F13">
      <w:pPr>
        <w:tabs>
          <w:tab w:val="left" w:pos="7920"/>
        </w:tabs>
        <w:jc w:val="center"/>
        <w:rPr>
          <w:rFonts w:hint="eastAsia" w:ascii="宋体" w:hAnsi="宋体" w:eastAsia="宋体" w:cs="宋体"/>
          <w:color w:val="auto"/>
          <w:sz w:val="24"/>
          <w:u w:val="none"/>
        </w:rPr>
      </w:pPr>
      <w:r>
        <w:rPr>
          <w:rFonts w:hint="eastAsia" w:ascii="宋体" w:hAnsi="宋体" w:eastAsia="宋体" w:cs="宋体"/>
          <w:color w:val="auto"/>
          <w:sz w:val="24"/>
          <w:u w:val="none"/>
        </w:rPr>
        <w:t xml:space="preserve">    </w:t>
      </w:r>
    </w:p>
    <w:tbl>
      <w:tblPr>
        <w:tblStyle w:val="23"/>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7924D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noWrap w:val="0"/>
            <w:vAlign w:val="center"/>
          </w:tcPr>
          <w:p w14:paraId="7A07AEA0">
            <w:pPr>
              <w:ind w:left="1320" w:hanging="1320" w:hangingChars="500"/>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7065" w:type="dxa"/>
            <w:noWrap w:val="0"/>
            <w:vAlign w:val="center"/>
          </w:tcPr>
          <w:p w14:paraId="5C1A6545">
            <w:pPr>
              <w:rPr>
                <w:rFonts w:hint="default" w:ascii="宋体" w:hAnsi="宋体" w:eastAsia="宋体" w:cs="宋体"/>
                <w:color w:val="auto"/>
                <w:sz w:val="24"/>
                <w:lang w:val="en-US" w:eastAsia="zh-CN"/>
              </w:rPr>
            </w:pPr>
            <w:r>
              <w:rPr>
                <w:rFonts w:hint="eastAsia" w:ascii="宋体" w:hAnsi="宋体" w:cs="宋体"/>
                <w:color w:val="auto"/>
                <w:sz w:val="24"/>
                <w:u w:val="single"/>
                <w:lang w:val="en-US" w:eastAsia="zh-CN"/>
              </w:rPr>
              <w:t xml:space="preserve">                           </w:t>
            </w:r>
            <w:r>
              <w:rPr>
                <w:rFonts w:hint="eastAsia" w:ascii="宋体" w:hAnsi="宋体" w:cs="宋体"/>
                <w:color w:val="auto"/>
                <w:spacing w:val="-6"/>
                <w:sz w:val="24"/>
                <w:u w:val="none"/>
                <w:lang w:eastAsia="zh-CN"/>
              </w:rPr>
              <w:t>（</w:t>
            </w:r>
            <w:r>
              <w:rPr>
                <w:rFonts w:hint="eastAsia" w:ascii="宋体" w:hAnsi="宋体" w:cs="宋体"/>
                <w:color w:val="auto"/>
                <w:spacing w:val="-6"/>
                <w:sz w:val="24"/>
                <w:u w:val="none"/>
                <w:lang w:val="en-US" w:eastAsia="zh-CN"/>
              </w:rPr>
              <w:t>二标包</w:t>
            </w:r>
            <w:r>
              <w:rPr>
                <w:rFonts w:hint="eastAsia" w:ascii="宋体" w:hAnsi="宋体" w:cs="宋体"/>
                <w:color w:val="auto"/>
                <w:spacing w:val="-6"/>
                <w:sz w:val="24"/>
                <w:u w:val="none"/>
                <w:lang w:eastAsia="zh-CN"/>
              </w:rPr>
              <w:t>）</w:t>
            </w:r>
          </w:p>
        </w:tc>
      </w:tr>
      <w:tr w14:paraId="45BE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noWrap w:val="0"/>
            <w:vAlign w:val="center"/>
          </w:tcPr>
          <w:p w14:paraId="0A87B9C3">
            <w:pPr>
              <w:ind w:left="1320" w:hanging="1320" w:hangingChars="500"/>
              <w:jc w:val="center"/>
              <w:rPr>
                <w:rFonts w:hint="eastAsia" w:ascii="宋体" w:hAnsi="宋体" w:eastAsia="宋体" w:cs="宋体"/>
                <w:color w:val="auto"/>
                <w:spacing w:val="12"/>
                <w:sz w:val="24"/>
                <w:lang w:eastAsia="zh-CN"/>
              </w:rPr>
            </w:pPr>
            <w:r>
              <w:rPr>
                <w:rFonts w:hint="eastAsia" w:ascii="宋体" w:hAnsi="宋体" w:eastAsia="宋体" w:cs="宋体"/>
                <w:color w:val="auto"/>
                <w:spacing w:val="12"/>
                <w:sz w:val="24"/>
                <w:lang w:eastAsia="zh-CN"/>
              </w:rPr>
              <w:t>项目编号</w:t>
            </w:r>
          </w:p>
        </w:tc>
        <w:tc>
          <w:tcPr>
            <w:tcW w:w="7065" w:type="dxa"/>
            <w:noWrap w:val="0"/>
            <w:vAlign w:val="center"/>
          </w:tcPr>
          <w:p w14:paraId="12AEC2AB">
            <w:pPr>
              <w:rPr>
                <w:rFonts w:hint="eastAsia" w:ascii="宋体" w:hAnsi="宋体" w:eastAsia="宋体" w:cs="宋体"/>
                <w:color w:val="auto"/>
                <w:sz w:val="24"/>
              </w:rPr>
            </w:pPr>
          </w:p>
        </w:tc>
      </w:tr>
      <w:tr w14:paraId="5B2A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noWrap w:val="0"/>
            <w:vAlign w:val="center"/>
          </w:tcPr>
          <w:p w14:paraId="021F5175">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供应商名称</w:t>
            </w:r>
          </w:p>
        </w:tc>
        <w:tc>
          <w:tcPr>
            <w:tcW w:w="7065" w:type="dxa"/>
            <w:noWrap w:val="0"/>
            <w:vAlign w:val="center"/>
          </w:tcPr>
          <w:p w14:paraId="51BB05A0">
            <w:pPr>
              <w:rPr>
                <w:rFonts w:hint="default" w:ascii="宋体" w:hAnsi="宋体" w:eastAsia="宋体" w:cs="宋体"/>
                <w:color w:val="auto"/>
                <w:spacing w:val="12"/>
                <w:sz w:val="24"/>
                <w:lang w:val="en-US" w:eastAsia="zh-CN"/>
              </w:rPr>
            </w:pPr>
            <w:r>
              <w:rPr>
                <w:rFonts w:hint="eastAsia" w:ascii="宋体" w:hAnsi="宋体" w:eastAsia="宋体" w:cs="宋体"/>
                <w:color w:val="auto"/>
                <w:spacing w:val="12"/>
                <w:sz w:val="24"/>
                <w:lang w:val="en-US" w:eastAsia="zh-CN"/>
              </w:rPr>
              <w:t xml:space="preserve">                    </w:t>
            </w:r>
          </w:p>
        </w:tc>
      </w:tr>
      <w:tr w14:paraId="4F952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21ECF52D">
            <w:pPr>
              <w:jc w:val="center"/>
              <w:rPr>
                <w:rFonts w:hint="eastAsia" w:ascii="宋体" w:hAnsi="宋体" w:eastAsia="宋体" w:cs="宋体"/>
                <w:color w:val="auto"/>
                <w:spacing w:val="12"/>
                <w:sz w:val="24"/>
                <w:lang w:eastAsia="zh-CN"/>
              </w:rPr>
            </w:pPr>
            <w:r>
              <w:rPr>
                <w:rFonts w:hint="eastAsia" w:ascii="宋体" w:hAnsi="宋体" w:cs="宋体"/>
                <w:color w:val="auto"/>
                <w:spacing w:val="12"/>
                <w:sz w:val="24"/>
                <w:lang w:val="en-US" w:eastAsia="zh-CN"/>
              </w:rPr>
              <w:t>响应报价</w:t>
            </w:r>
          </w:p>
        </w:tc>
        <w:tc>
          <w:tcPr>
            <w:tcW w:w="7065" w:type="dxa"/>
            <w:noWrap w:val="0"/>
            <w:vAlign w:val="center"/>
          </w:tcPr>
          <w:p w14:paraId="58191C45">
            <w:pPr>
              <w:jc w:val="left"/>
              <w:rPr>
                <w:rFonts w:hint="eastAsia" w:ascii="宋体" w:hAnsi="宋体" w:cs="宋体"/>
                <w:color w:val="auto"/>
                <w:spacing w:val="12"/>
                <w:sz w:val="24"/>
                <w:lang w:val="en-US" w:eastAsia="zh-CN"/>
              </w:rPr>
            </w:pPr>
            <w:r>
              <w:rPr>
                <w:rFonts w:hint="eastAsia" w:ascii="宋体" w:hAnsi="宋体" w:cs="宋体"/>
                <w:color w:val="auto"/>
                <w:spacing w:val="12"/>
                <w:sz w:val="24"/>
                <w:lang w:val="en-US" w:eastAsia="zh-CN"/>
              </w:rPr>
              <w:t>小写：</w:t>
            </w:r>
          </w:p>
          <w:p w14:paraId="7B2C0D78">
            <w:pPr>
              <w:jc w:val="left"/>
              <w:rPr>
                <w:rFonts w:hint="default" w:ascii="宋体" w:hAnsi="宋体" w:cs="宋体"/>
                <w:color w:val="auto"/>
                <w:spacing w:val="12"/>
                <w:sz w:val="24"/>
                <w:lang w:val="en-US" w:eastAsia="zh-CN"/>
              </w:rPr>
            </w:pPr>
            <w:r>
              <w:rPr>
                <w:rFonts w:hint="eastAsia" w:ascii="宋体" w:hAnsi="宋体" w:cs="宋体"/>
                <w:color w:val="auto"/>
                <w:spacing w:val="12"/>
                <w:sz w:val="24"/>
                <w:lang w:val="en-US" w:eastAsia="zh-CN"/>
              </w:rPr>
              <w:t>大写：</w:t>
            </w:r>
          </w:p>
        </w:tc>
      </w:tr>
      <w:tr w14:paraId="3DB72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7708241E">
            <w:pPr>
              <w:jc w:val="center"/>
              <w:rPr>
                <w:rFonts w:hint="eastAsia" w:ascii="宋体" w:hAnsi="宋体" w:eastAsia="宋体" w:cs="宋体"/>
                <w:color w:val="auto"/>
                <w:spacing w:val="12"/>
                <w:sz w:val="24"/>
              </w:rPr>
            </w:pPr>
            <w:r>
              <w:rPr>
                <w:rFonts w:hint="eastAsia" w:ascii="宋体" w:hAnsi="宋体" w:eastAsia="宋体" w:cs="宋体"/>
                <w:color w:val="auto"/>
                <w:spacing w:val="12"/>
                <w:sz w:val="24"/>
                <w:lang w:val="en-US" w:eastAsia="zh-CN"/>
              </w:rPr>
              <w:t>服务期</w:t>
            </w:r>
          </w:p>
        </w:tc>
        <w:tc>
          <w:tcPr>
            <w:tcW w:w="7065" w:type="dxa"/>
            <w:noWrap w:val="0"/>
            <w:vAlign w:val="center"/>
          </w:tcPr>
          <w:p w14:paraId="02E3F0DA">
            <w:pPr>
              <w:rPr>
                <w:rFonts w:hint="eastAsia" w:ascii="宋体" w:hAnsi="宋体" w:eastAsia="宋体" w:cs="宋体"/>
                <w:color w:val="auto"/>
                <w:spacing w:val="12"/>
                <w:sz w:val="24"/>
              </w:rPr>
            </w:pPr>
          </w:p>
        </w:tc>
      </w:tr>
      <w:tr w14:paraId="33E6B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6D92E7E3">
            <w:pPr>
              <w:jc w:val="center"/>
              <w:rPr>
                <w:rFonts w:hint="default" w:ascii="宋体" w:hAnsi="宋体" w:eastAsia="宋体" w:cs="宋体"/>
                <w:color w:val="auto"/>
                <w:spacing w:val="12"/>
                <w:sz w:val="24"/>
                <w:lang w:val="en-US" w:eastAsia="zh-CN"/>
              </w:rPr>
            </w:pPr>
            <w:r>
              <w:rPr>
                <w:rFonts w:hint="eastAsia" w:ascii="宋体" w:hAnsi="宋体" w:cs="宋体"/>
                <w:color w:val="auto"/>
                <w:spacing w:val="12"/>
                <w:sz w:val="24"/>
                <w:lang w:val="en-US" w:eastAsia="zh-CN"/>
              </w:rPr>
              <w:t>质量目标</w:t>
            </w:r>
          </w:p>
        </w:tc>
        <w:tc>
          <w:tcPr>
            <w:tcW w:w="7065" w:type="dxa"/>
            <w:noWrap w:val="0"/>
            <w:vAlign w:val="center"/>
          </w:tcPr>
          <w:p w14:paraId="1601BF29">
            <w:pPr>
              <w:rPr>
                <w:rFonts w:hint="eastAsia" w:ascii="宋体" w:hAnsi="宋体" w:eastAsia="宋体" w:cs="宋体"/>
                <w:color w:val="auto"/>
                <w:spacing w:val="12"/>
                <w:sz w:val="24"/>
              </w:rPr>
            </w:pPr>
          </w:p>
        </w:tc>
      </w:tr>
      <w:tr w14:paraId="4BFAE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jc w:val="center"/>
        </w:trPr>
        <w:tc>
          <w:tcPr>
            <w:tcW w:w="1935" w:type="dxa"/>
            <w:noWrap w:val="0"/>
            <w:textDirection w:val="tbRlV"/>
            <w:vAlign w:val="center"/>
          </w:tcPr>
          <w:p w14:paraId="4E1B734F">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7065" w:type="dxa"/>
            <w:noWrap w:val="0"/>
            <w:vAlign w:val="top"/>
          </w:tcPr>
          <w:p w14:paraId="07DECEB9">
            <w:pPr>
              <w:pStyle w:val="13"/>
              <w:ind w:left="5250"/>
              <w:rPr>
                <w:rFonts w:hint="eastAsia" w:ascii="宋体" w:hAnsi="宋体" w:eastAsia="宋体" w:cs="宋体"/>
                <w:bCs/>
                <w:color w:val="auto"/>
                <w:spacing w:val="12"/>
              </w:rPr>
            </w:pPr>
          </w:p>
          <w:p w14:paraId="571F12BC">
            <w:pPr>
              <w:rPr>
                <w:rFonts w:hint="eastAsia" w:ascii="宋体" w:hAnsi="宋体" w:eastAsia="宋体" w:cs="宋体"/>
                <w:color w:val="auto"/>
                <w:spacing w:val="12"/>
                <w:sz w:val="24"/>
                <w:lang w:val="en-US" w:eastAsia="zh-CN"/>
              </w:rPr>
            </w:pPr>
          </w:p>
        </w:tc>
      </w:tr>
    </w:tbl>
    <w:p w14:paraId="333983C3">
      <w:pPr>
        <w:snapToGrid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供应商（公章）：                    </w:t>
      </w:r>
    </w:p>
    <w:p w14:paraId="70CE3FB6">
      <w:pPr>
        <w:snapToGrid w:val="0"/>
        <w:spacing w:line="500" w:lineRule="exact"/>
        <w:rPr>
          <w:rFonts w:hint="eastAsia" w:ascii="宋体" w:hAnsi="宋体" w:eastAsia="宋体" w:cs="宋体"/>
          <w:color w:val="auto"/>
          <w:sz w:val="24"/>
        </w:rPr>
      </w:pPr>
    </w:p>
    <w:p w14:paraId="6089DC19">
      <w:pPr>
        <w:snapToGrid w:val="0"/>
        <w:spacing w:line="50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法定代表人/被授权人（签字或盖章）：</w:t>
      </w:r>
    </w:p>
    <w:p w14:paraId="31BF7AA5">
      <w:pPr>
        <w:snapToGrid w:val="0"/>
        <w:spacing w:line="500" w:lineRule="exact"/>
        <w:rPr>
          <w:rFonts w:hint="eastAsia" w:ascii="宋体" w:hAnsi="宋体" w:eastAsia="宋体" w:cs="宋体"/>
          <w:color w:val="auto"/>
          <w:sz w:val="24"/>
          <w:lang w:val="zh-CN"/>
        </w:rPr>
      </w:pPr>
    </w:p>
    <w:p w14:paraId="34376CA1">
      <w:pPr>
        <w:snapToGrid w:val="0"/>
        <w:spacing w:line="50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6F07E4E9">
      <w:pPr>
        <w:snapToGrid w:val="0"/>
        <w:spacing w:line="500" w:lineRule="exact"/>
        <w:ind w:firstLine="723" w:firstLineChars="300"/>
        <w:rPr>
          <w:rFonts w:hint="eastAsia" w:ascii="宋体" w:hAnsi="宋体" w:eastAsia="宋体" w:cs="宋体"/>
          <w:b/>
          <w:bCs/>
          <w:color w:val="auto"/>
          <w:sz w:val="24"/>
        </w:rPr>
      </w:pPr>
      <w:r>
        <w:rPr>
          <w:rFonts w:hint="eastAsia" w:ascii="宋体" w:hAnsi="宋体" w:eastAsia="宋体" w:cs="宋体"/>
          <w:b/>
          <w:bCs/>
          <w:color w:val="auto"/>
          <w:sz w:val="24"/>
        </w:rPr>
        <w:t>注：</w:t>
      </w:r>
    </w:p>
    <w:p w14:paraId="5C02F8DB">
      <w:pPr>
        <w:numPr>
          <w:ilvl w:val="0"/>
          <w:numId w:val="81"/>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本表价应保证磋商响应文件的正、副本中仍有此表，且一致。</w:t>
      </w:r>
    </w:p>
    <w:p w14:paraId="675ABBE0">
      <w:pPr>
        <w:numPr>
          <w:ilvl w:val="0"/>
          <w:numId w:val="81"/>
        </w:numPr>
        <w:snapToGrid w:val="0"/>
        <w:spacing w:line="500" w:lineRule="exact"/>
        <w:ind w:firstLine="630" w:firstLineChars="300"/>
        <w:rPr>
          <w:rFonts w:hint="eastAsia" w:ascii="宋体" w:hAnsi="宋体" w:eastAsia="宋体" w:cs="宋体"/>
          <w:b w:val="0"/>
          <w:bCs w:val="0"/>
          <w:color w:val="auto"/>
          <w:szCs w:val="21"/>
        </w:rPr>
      </w:pPr>
      <w:r>
        <w:rPr>
          <w:rFonts w:hint="eastAsia" w:ascii="宋体" w:hAnsi="宋体" w:eastAsia="宋体" w:cs="宋体"/>
          <w:b w:val="0"/>
          <w:bCs w:val="0"/>
          <w:color w:val="auto"/>
          <w:szCs w:val="21"/>
        </w:rPr>
        <w:t>此表中任何信息与响应文件其他处不一致时以此表为准。</w:t>
      </w:r>
    </w:p>
    <w:p w14:paraId="04853A4A">
      <w:pPr>
        <w:numPr>
          <w:ilvl w:val="0"/>
          <w:numId w:val="81"/>
        </w:numPr>
        <w:snapToGrid w:val="0"/>
        <w:spacing w:line="500" w:lineRule="exact"/>
        <w:ind w:firstLine="630" w:firstLineChars="300"/>
        <w:rPr>
          <w:rFonts w:hint="eastAsia" w:ascii="宋体" w:hAnsi="宋体" w:eastAsia="宋体" w:cs="宋体"/>
          <w:b w:val="0"/>
          <w:bCs w:val="0"/>
          <w:color w:val="auto"/>
        </w:rPr>
      </w:pPr>
      <w:r>
        <w:rPr>
          <w:rFonts w:hint="eastAsia" w:ascii="宋体" w:hAnsi="宋体" w:eastAsia="宋体" w:cs="宋体"/>
          <w:b w:val="0"/>
          <w:bCs w:val="0"/>
          <w:color w:val="auto"/>
          <w:szCs w:val="21"/>
        </w:rPr>
        <w:t>此表为规范格式，严格按此表格填列，不填列或不按此表格填列，按无效标对待。</w:t>
      </w:r>
    </w:p>
    <w:p w14:paraId="0875B4D3">
      <w:pPr>
        <w:jc w:val="center"/>
        <w:rPr>
          <w:rFonts w:hint="eastAsia" w:ascii="宋体" w:hAnsi="宋体" w:eastAsia="宋体" w:cs="宋体"/>
          <w:b/>
          <w:bCs/>
          <w:color w:val="auto"/>
          <w:szCs w:val="21"/>
        </w:rPr>
      </w:pPr>
    </w:p>
    <w:p w14:paraId="24B05287">
      <w:pPr>
        <w:jc w:val="center"/>
        <w:rPr>
          <w:rFonts w:hint="eastAsia" w:ascii="宋体" w:hAnsi="宋体" w:eastAsia="宋体" w:cs="宋体"/>
          <w:b/>
          <w:bCs/>
          <w:color w:val="auto"/>
          <w:szCs w:val="21"/>
        </w:rPr>
        <w:sectPr>
          <w:footerReference r:id="rId11" w:type="default"/>
          <w:pgSz w:w="11906" w:h="16838"/>
          <w:pgMar w:top="1418" w:right="1134" w:bottom="1418" w:left="1321" w:header="851" w:footer="992" w:gutter="0"/>
          <w:pgNumType w:fmt="numberInDash"/>
          <w:cols w:space="720" w:num="1"/>
          <w:docGrid w:type="lines" w:linePitch="312" w:charSpace="0"/>
        </w:sectPr>
      </w:pPr>
    </w:p>
    <w:p w14:paraId="6C5C7A0B">
      <w:pPr>
        <w:pStyle w:val="15"/>
        <w:ind w:firstLine="321" w:firstLineChars="100"/>
        <w:jc w:val="both"/>
        <w:rPr>
          <w:rFonts w:hint="default" w:ascii="宋体" w:hAnsi="宋体" w:eastAsia="宋体" w:cs="宋体"/>
          <w:b/>
          <w:bCs/>
          <w:color w:val="auto"/>
          <w:kern w:val="2"/>
          <w:sz w:val="32"/>
          <w:szCs w:val="32"/>
          <w:lang w:val="en-US" w:eastAsia="zh-CN" w:bidi="ar-SA"/>
        </w:rPr>
      </w:pPr>
      <w:r>
        <w:rPr>
          <w:rFonts w:hint="eastAsia" w:ascii="宋体" w:hAnsi="宋体" w:cs="宋体"/>
          <w:b/>
          <w:bCs/>
          <w:color w:val="auto"/>
          <w:kern w:val="2"/>
          <w:sz w:val="32"/>
          <w:szCs w:val="32"/>
          <w:lang w:val="en-US" w:eastAsia="zh-CN" w:bidi="ar-SA"/>
        </w:rPr>
        <w:t>附：                  分项报价表</w:t>
      </w:r>
    </w:p>
    <w:p w14:paraId="5394CCC0">
      <w:pPr>
        <w:pStyle w:val="15"/>
        <w:ind w:firstLine="264" w:firstLineChars="100"/>
        <w:rPr>
          <w:rFonts w:hint="eastAsia" w:ascii="宋体" w:hAnsi="宋体" w:cs="宋体"/>
          <w:color w:val="auto"/>
          <w:sz w:val="24"/>
          <w:lang w:val="en-US" w:eastAsia="zh-CN"/>
        </w:rPr>
      </w:pPr>
      <w:r>
        <w:rPr>
          <w:rFonts w:hint="eastAsia" w:ascii="宋体" w:hAnsi="宋体" w:eastAsia="宋体" w:cs="宋体"/>
          <w:color w:val="auto"/>
          <w:spacing w:val="12"/>
          <w:sz w:val="24"/>
          <w:szCs w:val="18"/>
        </w:rPr>
        <w:t>项目名称</w:t>
      </w:r>
      <w:r>
        <w:rPr>
          <w:rFonts w:hint="eastAsia" w:ascii="宋体" w:hAnsi="宋体" w:eastAsia="宋体" w:cs="宋体"/>
          <w:color w:val="auto"/>
          <w:spacing w:val="12"/>
          <w:sz w:val="24"/>
          <w:szCs w:val="18"/>
          <w:lang w:eastAsia="zh-CN"/>
        </w:rPr>
        <w:t>：</w:t>
      </w:r>
      <w:r>
        <w:rPr>
          <w:rFonts w:hint="eastAsia" w:ascii="宋体" w:hAnsi="宋体" w:cs="宋体"/>
          <w:color w:val="auto"/>
          <w:sz w:val="24"/>
          <w:u w:val="single"/>
          <w:lang w:val="en-US" w:eastAsia="zh-CN"/>
        </w:rPr>
        <w:t xml:space="preserve">                           </w:t>
      </w:r>
      <w:r>
        <w:rPr>
          <w:rFonts w:hint="eastAsia" w:ascii="宋体" w:hAnsi="宋体" w:cs="宋体"/>
          <w:color w:val="auto"/>
          <w:spacing w:val="-6"/>
          <w:sz w:val="24"/>
          <w:u w:val="none"/>
          <w:lang w:eastAsia="zh-CN"/>
        </w:rPr>
        <w:t>（</w:t>
      </w:r>
      <w:r>
        <w:rPr>
          <w:rFonts w:hint="eastAsia" w:ascii="宋体" w:hAnsi="宋体" w:cs="宋体"/>
          <w:color w:val="auto"/>
          <w:spacing w:val="-6"/>
          <w:sz w:val="24"/>
          <w:u w:val="none"/>
          <w:lang w:val="en-US" w:eastAsia="zh-CN"/>
        </w:rPr>
        <w:t>二标包</w:t>
      </w:r>
      <w:r>
        <w:rPr>
          <w:rFonts w:hint="eastAsia" w:ascii="宋体" w:hAnsi="宋体" w:cs="宋体"/>
          <w:color w:val="auto"/>
          <w:spacing w:val="-6"/>
          <w:sz w:val="24"/>
          <w:u w:val="none"/>
          <w:lang w:eastAsia="zh-CN"/>
        </w:rPr>
        <w:t>）</w:t>
      </w:r>
    </w:p>
    <w:p w14:paraId="32D69E71">
      <w:pPr>
        <w:pStyle w:val="15"/>
        <w:ind w:firstLine="264" w:firstLineChars="100"/>
        <w:rPr>
          <w:rFonts w:hint="default" w:ascii="宋体" w:hAnsi="宋体" w:eastAsia="宋体" w:cs="宋体"/>
          <w:color w:val="auto"/>
          <w:spacing w:val="12"/>
          <w:sz w:val="24"/>
          <w:szCs w:val="18"/>
          <w:lang w:val="en-US" w:eastAsia="zh-CN"/>
        </w:rPr>
      </w:pPr>
      <w:r>
        <w:rPr>
          <w:rFonts w:hint="eastAsia" w:ascii="宋体" w:hAnsi="宋体" w:eastAsia="宋体" w:cs="宋体"/>
          <w:color w:val="auto"/>
          <w:spacing w:val="12"/>
          <w:sz w:val="24"/>
          <w:szCs w:val="18"/>
          <w:lang w:eastAsia="zh-CN"/>
        </w:rPr>
        <w:t>项目编号：</w:t>
      </w:r>
      <w:r>
        <w:rPr>
          <w:rFonts w:hint="eastAsia" w:ascii="宋体" w:hAnsi="宋体" w:cs="宋体"/>
          <w:color w:val="auto"/>
          <w:sz w:val="24"/>
          <w:u w:val="single"/>
          <w:lang w:val="en-US" w:eastAsia="zh-CN"/>
        </w:rPr>
        <w:t xml:space="preserve">                           </w:t>
      </w:r>
      <w:r>
        <w:rPr>
          <w:rFonts w:hint="eastAsia" w:ascii="宋体" w:hAnsi="宋体" w:cs="宋体"/>
          <w:color w:val="auto"/>
          <w:spacing w:val="12"/>
          <w:sz w:val="24"/>
          <w:szCs w:val="18"/>
          <w:lang w:val="en-US" w:eastAsia="zh-CN"/>
        </w:rPr>
        <w:t xml:space="preserve">                    </w:t>
      </w:r>
    </w:p>
    <w:p w14:paraId="0861194F">
      <w:pPr>
        <w:pStyle w:val="15"/>
        <w:ind w:firstLine="264" w:firstLineChars="100"/>
        <w:rPr>
          <w:rFonts w:hint="eastAsia" w:ascii="宋体" w:hAnsi="宋体" w:eastAsia="宋体" w:cs="宋体"/>
          <w:color w:val="auto"/>
          <w:spacing w:val="12"/>
          <w:sz w:val="24"/>
          <w:szCs w:val="18"/>
          <w:lang w:eastAsia="zh-CN"/>
        </w:rPr>
      </w:pPr>
      <w:r>
        <w:rPr>
          <w:rFonts w:hint="eastAsia" w:ascii="宋体" w:hAnsi="宋体" w:eastAsia="宋体" w:cs="宋体"/>
          <w:color w:val="auto"/>
          <w:spacing w:val="12"/>
          <w:sz w:val="24"/>
          <w:szCs w:val="18"/>
        </w:rPr>
        <w:t>供应商名称</w:t>
      </w:r>
      <w:r>
        <w:rPr>
          <w:rFonts w:hint="eastAsia" w:ascii="宋体" w:hAnsi="宋体" w:eastAsia="宋体" w:cs="宋体"/>
          <w:color w:val="auto"/>
          <w:spacing w:val="12"/>
          <w:sz w:val="24"/>
          <w:szCs w:val="18"/>
          <w:lang w:eastAsia="zh-CN"/>
        </w:rPr>
        <w:t>：</w:t>
      </w:r>
      <w:r>
        <w:rPr>
          <w:rFonts w:hint="eastAsia" w:ascii="宋体" w:hAnsi="宋体" w:cs="宋体"/>
          <w:color w:val="auto"/>
          <w:sz w:val="24"/>
          <w:u w:val="single"/>
          <w:lang w:val="en-US" w:eastAsia="zh-CN"/>
        </w:rPr>
        <w:t xml:space="preserve">                         </w:t>
      </w:r>
    </w:p>
    <w:tbl>
      <w:tblPr>
        <w:tblStyle w:val="23"/>
        <w:tblpPr w:leftFromText="180" w:rightFromText="180" w:vertAnchor="text" w:horzAnchor="page" w:tblpX="1688" w:tblpY="3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2"/>
        <w:gridCol w:w="2138"/>
        <w:gridCol w:w="1585"/>
        <w:gridCol w:w="1437"/>
        <w:gridCol w:w="2401"/>
      </w:tblGrid>
      <w:tr w14:paraId="2D982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382" w:type="dxa"/>
            <w:noWrap w:val="0"/>
            <w:vAlign w:val="center"/>
          </w:tcPr>
          <w:p w14:paraId="7630A0E8">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序号</w:t>
            </w:r>
          </w:p>
        </w:tc>
        <w:tc>
          <w:tcPr>
            <w:tcW w:w="2138" w:type="dxa"/>
            <w:noWrap w:val="0"/>
            <w:vAlign w:val="center"/>
          </w:tcPr>
          <w:p w14:paraId="03E51B0C">
            <w:pPr>
              <w:widowControl/>
              <w:spacing w:line="40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1585" w:type="dxa"/>
            <w:noWrap w:val="0"/>
            <w:vAlign w:val="center"/>
          </w:tcPr>
          <w:p w14:paraId="56633DC0">
            <w:pPr>
              <w:widowControl/>
              <w:spacing w:line="400" w:lineRule="exact"/>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单价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元</w:t>
            </w:r>
            <w:r>
              <w:rPr>
                <w:rFonts w:hint="eastAsia" w:ascii="宋体" w:hAnsi="宋体" w:eastAsia="宋体" w:cs="宋体"/>
                <w:color w:val="000000"/>
                <w:sz w:val="24"/>
                <w:szCs w:val="24"/>
                <w:lang w:eastAsia="zh-CN"/>
              </w:rPr>
              <w:t>）</w:t>
            </w:r>
          </w:p>
        </w:tc>
        <w:tc>
          <w:tcPr>
            <w:tcW w:w="1437" w:type="dxa"/>
            <w:noWrap w:val="0"/>
            <w:vAlign w:val="center"/>
          </w:tcPr>
          <w:p w14:paraId="4386F78C">
            <w:pPr>
              <w:widowControl/>
              <w:spacing w:line="400" w:lineRule="exact"/>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数量</w:t>
            </w:r>
            <w:r>
              <w:rPr>
                <w:rFonts w:hint="eastAsia" w:ascii="宋体" w:hAnsi="宋体" w:eastAsia="宋体" w:cs="宋体"/>
                <w:color w:val="000000"/>
                <w:sz w:val="24"/>
                <w:szCs w:val="24"/>
                <w:lang w:val="en-US" w:eastAsia="zh-CN"/>
              </w:rPr>
              <w:t>/单位</w:t>
            </w:r>
          </w:p>
        </w:tc>
        <w:tc>
          <w:tcPr>
            <w:tcW w:w="2401" w:type="dxa"/>
            <w:noWrap w:val="0"/>
            <w:vAlign w:val="center"/>
          </w:tcPr>
          <w:p w14:paraId="0493ACBE">
            <w:pPr>
              <w:widowControl/>
              <w:spacing w:line="400" w:lineRule="exact"/>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总价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元</w:t>
            </w:r>
            <w:r>
              <w:rPr>
                <w:rFonts w:hint="eastAsia" w:ascii="宋体" w:hAnsi="宋体" w:eastAsia="宋体" w:cs="宋体"/>
                <w:color w:val="000000"/>
                <w:sz w:val="24"/>
                <w:szCs w:val="24"/>
                <w:lang w:eastAsia="zh-CN"/>
              </w:rPr>
              <w:t>）</w:t>
            </w:r>
          </w:p>
        </w:tc>
      </w:tr>
      <w:tr w14:paraId="6C67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4" w:hRule="atLeast"/>
        </w:trPr>
        <w:tc>
          <w:tcPr>
            <w:tcW w:w="1382" w:type="dxa"/>
            <w:noWrap w:val="0"/>
            <w:vAlign w:val="center"/>
          </w:tcPr>
          <w:p w14:paraId="3F2191FB">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2138" w:type="dxa"/>
            <w:noWrap w:val="0"/>
            <w:vAlign w:val="center"/>
          </w:tcPr>
          <w:p w14:paraId="2073F162">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延安职业技术学院2026年度数字化教学资源(智慧课程平台)服务项目</w:t>
            </w:r>
          </w:p>
        </w:tc>
        <w:tc>
          <w:tcPr>
            <w:tcW w:w="1585" w:type="dxa"/>
            <w:noWrap w:val="0"/>
            <w:vAlign w:val="center"/>
          </w:tcPr>
          <w:p w14:paraId="75D57C40">
            <w:pPr>
              <w:widowControl/>
              <w:spacing w:line="400" w:lineRule="exact"/>
              <w:jc w:val="center"/>
              <w:rPr>
                <w:rFonts w:hint="eastAsia" w:ascii="宋体" w:hAnsi="宋体" w:eastAsia="宋体" w:cs="宋体"/>
                <w:color w:val="000000"/>
                <w:sz w:val="24"/>
                <w:szCs w:val="24"/>
                <w:lang w:val="en-US" w:eastAsia="zh-CN"/>
              </w:rPr>
            </w:pPr>
          </w:p>
        </w:tc>
        <w:tc>
          <w:tcPr>
            <w:tcW w:w="1437" w:type="dxa"/>
            <w:noWrap w:val="0"/>
            <w:vAlign w:val="center"/>
          </w:tcPr>
          <w:p w14:paraId="16CC52B3">
            <w:pPr>
              <w:widowControl/>
              <w:spacing w:line="400" w:lineRule="exact"/>
              <w:jc w:val="center"/>
              <w:rPr>
                <w:rFonts w:hint="eastAsia" w:ascii="宋体" w:hAnsi="宋体" w:eastAsia="宋体" w:cs="宋体"/>
                <w:color w:val="000000"/>
                <w:sz w:val="24"/>
                <w:szCs w:val="24"/>
                <w:lang w:val="en-US" w:eastAsia="zh-CN"/>
              </w:rPr>
            </w:pPr>
          </w:p>
        </w:tc>
        <w:tc>
          <w:tcPr>
            <w:tcW w:w="2401" w:type="dxa"/>
            <w:noWrap w:val="0"/>
            <w:vAlign w:val="center"/>
          </w:tcPr>
          <w:p w14:paraId="516B098A">
            <w:pPr>
              <w:widowControl/>
              <w:spacing w:line="400" w:lineRule="exact"/>
              <w:jc w:val="center"/>
              <w:rPr>
                <w:rFonts w:hint="eastAsia" w:ascii="宋体" w:hAnsi="宋体" w:eastAsia="宋体" w:cs="宋体"/>
                <w:color w:val="000000"/>
                <w:sz w:val="24"/>
                <w:szCs w:val="24"/>
                <w:lang w:val="en-US" w:eastAsia="zh-CN"/>
              </w:rPr>
            </w:pPr>
          </w:p>
        </w:tc>
      </w:tr>
      <w:tr w14:paraId="2702F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6542" w:type="dxa"/>
            <w:gridSpan w:val="4"/>
            <w:noWrap w:val="0"/>
            <w:vAlign w:val="center"/>
          </w:tcPr>
          <w:p w14:paraId="49113EE2">
            <w:pPr>
              <w:widowControl/>
              <w:spacing w:line="40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合计</w:t>
            </w:r>
          </w:p>
        </w:tc>
        <w:tc>
          <w:tcPr>
            <w:tcW w:w="2401" w:type="dxa"/>
            <w:noWrap w:val="0"/>
            <w:vAlign w:val="center"/>
          </w:tcPr>
          <w:p w14:paraId="213206BB">
            <w:pPr>
              <w:widowControl/>
              <w:spacing w:line="400" w:lineRule="exact"/>
              <w:jc w:val="center"/>
              <w:rPr>
                <w:rFonts w:hint="eastAsia" w:ascii="宋体" w:hAnsi="宋体" w:eastAsia="宋体" w:cs="宋体"/>
                <w:color w:val="000000"/>
                <w:sz w:val="24"/>
                <w:szCs w:val="24"/>
                <w:lang w:val="en-US" w:eastAsia="zh-CN"/>
              </w:rPr>
            </w:pPr>
          </w:p>
        </w:tc>
      </w:tr>
    </w:tbl>
    <w:p w14:paraId="125B37EF">
      <w:pPr>
        <w:pStyle w:val="15"/>
        <w:ind w:firstLine="321" w:firstLineChars="100"/>
        <w:jc w:val="center"/>
        <w:rPr>
          <w:rFonts w:hint="eastAsia" w:ascii="宋体" w:hAnsi="宋体" w:eastAsia="宋体" w:cs="宋体"/>
          <w:b/>
          <w:bCs/>
          <w:color w:val="auto"/>
          <w:kern w:val="2"/>
          <w:sz w:val="32"/>
          <w:szCs w:val="32"/>
          <w:lang w:val="en-US" w:eastAsia="zh-CN" w:bidi="ar-SA"/>
        </w:rPr>
      </w:pPr>
    </w:p>
    <w:p w14:paraId="5E207852">
      <w:pPr>
        <w:pStyle w:val="15"/>
        <w:ind w:firstLine="321" w:firstLineChars="100"/>
        <w:jc w:val="center"/>
        <w:rPr>
          <w:rFonts w:hint="eastAsia" w:ascii="宋体" w:hAnsi="宋体" w:eastAsia="宋体" w:cs="宋体"/>
          <w:b/>
          <w:bCs/>
          <w:color w:val="auto"/>
          <w:kern w:val="2"/>
          <w:sz w:val="32"/>
          <w:szCs w:val="32"/>
          <w:lang w:val="en-US" w:eastAsia="zh-CN" w:bidi="ar-SA"/>
        </w:rPr>
      </w:pPr>
    </w:p>
    <w:p w14:paraId="25093880">
      <w:pPr>
        <w:pStyle w:val="15"/>
        <w:ind w:firstLine="321" w:firstLineChars="100"/>
        <w:jc w:val="center"/>
        <w:rPr>
          <w:rFonts w:hint="eastAsia" w:ascii="宋体" w:hAnsi="宋体" w:eastAsia="宋体" w:cs="宋体"/>
          <w:b/>
          <w:bCs/>
          <w:color w:val="auto"/>
          <w:kern w:val="2"/>
          <w:sz w:val="32"/>
          <w:szCs w:val="32"/>
          <w:lang w:val="en-US" w:eastAsia="zh-CN" w:bidi="ar-SA"/>
        </w:rPr>
      </w:pPr>
    </w:p>
    <w:p w14:paraId="51784F21">
      <w:pPr>
        <w:snapToGrid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供应商（公章）：                    </w:t>
      </w:r>
    </w:p>
    <w:p w14:paraId="6115865B">
      <w:pPr>
        <w:snapToGrid w:val="0"/>
        <w:spacing w:line="500" w:lineRule="exact"/>
        <w:rPr>
          <w:rFonts w:hint="eastAsia" w:ascii="宋体" w:hAnsi="宋体" w:eastAsia="宋体" w:cs="宋体"/>
          <w:color w:val="auto"/>
          <w:sz w:val="24"/>
        </w:rPr>
      </w:pPr>
    </w:p>
    <w:p w14:paraId="56A53A87">
      <w:pPr>
        <w:snapToGrid w:val="0"/>
        <w:spacing w:line="500" w:lineRule="exact"/>
        <w:rPr>
          <w:rFonts w:hint="eastAsia" w:ascii="宋体" w:hAnsi="宋体" w:eastAsia="宋体" w:cs="宋体"/>
          <w:b/>
          <w:bCs/>
          <w:color w:val="auto"/>
          <w:sz w:val="24"/>
        </w:rPr>
      </w:pPr>
      <w:r>
        <w:rPr>
          <w:rFonts w:hint="eastAsia" w:ascii="宋体" w:hAnsi="宋体" w:eastAsia="宋体" w:cs="宋体"/>
          <w:color w:val="auto"/>
          <w:sz w:val="24"/>
        </w:rPr>
        <w:t>法定代表人/被授权人（签字或盖章）：</w:t>
      </w:r>
    </w:p>
    <w:p w14:paraId="48DD0976">
      <w:pPr>
        <w:snapToGrid w:val="0"/>
        <w:spacing w:line="500" w:lineRule="exact"/>
        <w:rPr>
          <w:rFonts w:hint="eastAsia" w:ascii="宋体" w:hAnsi="宋体" w:eastAsia="宋体" w:cs="宋体"/>
          <w:color w:val="auto"/>
          <w:sz w:val="24"/>
          <w:lang w:val="zh-CN"/>
        </w:rPr>
      </w:pPr>
    </w:p>
    <w:p w14:paraId="12621230">
      <w:pPr>
        <w:snapToGrid w:val="0"/>
        <w:spacing w:line="500" w:lineRule="exact"/>
        <w:rPr>
          <w:rFonts w:hint="eastAsia" w:ascii="宋体" w:hAnsi="宋体" w:eastAsia="宋体" w:cs="宋体"/>
          <w:color w:val="auto"/>
          <w:sz w:val="24"/>
          <w:u w:val="single"/>
        </w:rPr>
      </w:pP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68B4709C">
      <w:pPr>
        <w:pStyle w:val="15"/>
        <w:ind w:firstLine="321" w:firstLineChars="100"/>
        <w:jc w:val="center"/>
        <w:rPr>
          <w:rFonts w:hint="eastAsia" w:ascii="宋体" w:hAnsi="宋体" w:eastAsia="宋体" w:cs="宋体"/>
          <w:b/>
          <w:bCs/>
          <w:color w:val="auto"/>
          <w:kern w:val="2"/>
          <w:sz w:val="32"/>
          <w:szCs w:val="32"/>
          <w:lang w:val="en-US" w:eastAsia="zh-CN" w:bidi="ar-SA"/>
        </w:rPr>
      </w:pPr>
    </w:p>
    <w:p w14:paraId="335ABFE3">
      <w:pPr>
        <w:pStyle w:val="15"/>
        <w:ind w:firstLine="321" w:firstLineChars="100"/>
        <w:jc w:val="center"/>
        <w:rPr>
          <w:rFonts w:hint="eastAsia" w:ascii="宋体" w:hAnsi="宋体" w:eastAsia="宋体" w:cs="宋体"/>
          <w:b/>
          <w:bCs/>
          <w:color w:val="auto"/>
          <w:kern w:val="2"/>
          <w:sz w:val="32"/>
          <w:szCs w:val="32"/>
          <w:lang w:val="en-US" w:eastAsia="zh-CN" w:bidi="ar-SA"/>
        </w:rPr>
      </w:pPr>
    </w:p>
    <w:p w14:paraId="5E1C41AB">
      <w:pPr>
        <w:pStyle w:val="15"/>
        <w:ind w:firstLine="321" w:firstLineChars="100"/>
        <w:jc w:val="center"/>
        <w:rPr>
          <w:rFonts w:hint="eastAsia" w:ascii="宋体" w:hAnsi="宋体" w:eastAsia="宋体" w:cs="宋体"/>
          <w:b/>
          <w:bCs/>
          <w:color w:val="auto"/>
          <w:kern w:val="2"/>
          <w:sz w:val="32"/>
          <w:szCs w:val="32"/>
          <w:lang w:val="en-US" w:eastAsia="zh-CN" w:bidi="ar-SA"/>
        </w:rPr>
      </w:pPr>
    </w:p>
    <w:p w14:paraId="1022EBCC">
      <w:pPr>
        <w:pStyle w:val="15"/>
        <w:ind w:firstLine="321" w:firstLineChars="100"/>
        <w:jc w:val="center"/>
        <w:rPr>
          <w:rFonts w:hint="eastAsia" w:ascii="宋体" w:hAnsi="宋体" w:eastAsia="宋体" w:cs="宋体"/>
          <w:b/>
          <w:bCs/>
          <w:color w:val="auto"/>
          <w:kern w:val="2"/>
          <w:sz w:val="32"/>
          <w:szCs w:val="32"/>
          <w:lang w:val="en-US" w:eastAsia="zh-CN" w:bidi="ar-SA"/>
        </w:rPr>
      </w:pPr>
    </w:p>
    <w:p w14:paraId="5015ECA1">
      <w:pPr>
        <w:pStyle w:val="15"/>
        <w:ind w:firstLine="321" w:firstLineChars="100"/>
        <w:jc w:val="center"/>
        <w:rPr>
          <w:rFonts w:hint="eastAsia" w:ascii="宋体" w:hAnsi="宋体" w:eastAsia="宋体" w:cs="宋体"/>
          <w:b/>
          <w:bCs/>
          <w:color w:val="auto"/>
          <w:kern w:val="2"/>
          <w:sz w:val="32"/>
          <w:szCs w:val="32"/>
          <w:lang w:val="en-US" w:eastAsia="zh-CN" w:bidi="ar-SA"/>
        </w:rPr>
      </w:pPr>
    </w:p>
    <w:p w14:paraId="7EF266D3">
      <w:pPr>
        <w:pStyle w:val="15"/>
        <w:ind w:firstLine="321" w:firstLineChars="100"/>
        <w:jc w:val="center"/>
        <w:rPr>
          <w:rFonts w:hint="eastAsia" w:ascii="宋体" w:hAnsi="宋体" w:eastAsia="宋体" w:cs="宋体"/>
          <w:b/>
          <w:bCs/>
          <w:color w:val="auto"/>
          <w:kern w:val="2"/>
          <w:sz w:val="32"/>
          <w:szCs w:val="32"/>
          <w:lang w:val="en-US" w:eastAsia="zh-CN" w:bidi="ar-SA"/>
        </w:rPr>
      </w:pPr>
    </w:p>
    <w:p w14:paraId="48CFF6F7">
      <w:pPr>
        <w:pStyle w:val="15"/>
        <w:ind w:firstLine="321" w:firstLineChars="100"/>
        <w:jc w:val="center"/>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32"/>
          <w:szCs w:val="32"/>
          <w:lang w:val="en-US" w:eastAsia="zh-CN" w:bidi="ar-SA"/>
        </w:rPr>
        <w:fldChar w:fldCharType="begin"/>
      </w:r>
      <w:r>
        <w:rPr>
          <w:rFonts w:hint="eastAsia" w:ascii="宋体" w:hAnsi="宋体" w:eastAsia="宋体" w:cs="宋体"/>
          <w:b/>
          <w:bCs/>
          <w:color w:val="auto"/>
          <w:kern w:val="2"/>
          <w:sz w:val="32"/>
          <w:szCs w:val="32"/>
          <w:lang w:val="en-US" w:eastAsia="zh-CN" w:bidi="ar-SA"/>
        </w:rPr>
        <w:instrText xml:space="preserve"> HYPERLINK \l _Toc5207_WPSOffice_Level1 </w:instrText>
      </w:r>
      <w:r>
        <w:rPr>
          <w:rFonts w:hint="eastAsia" w:ascii="宋体" w:hAnsi="宋体" w:eastAsia="宋体" w:cs="宋体"/>
          <w:b/>
          <w:bCs/>
          <w:color w:val="auto"/>
          <w:kern w:val="2"/>
          <w:sz w:val="32"/>
          <w:szCs w:val="32"/>
          <w:lang w:val="en-US" w:eastAsia="zh-CN" w:bidi="ar-SA"/>
        </w:rPr>
        <w:fldChar w:fldCharType="separate"/>
      </w:r>
      <w:r>
        <w:rPr>
          <w:rFonts w:hint="eastAsia" w:ascii="宋体" w:hAnsi="宋体" w:eastAsia="宋体" w:cs="宋体"/>
          <w:b/>
          <w:bCs/>
          <w:color w:val="auto"/>
          <w:kern w:val="2"/>
          <w:sz w:val="32"/>
          <w:szCs w:val="32"/>
          <w:lang w:val="en-US" w:eastAsia="zh-CN" w:bidi="ar-SA"/>
        </w:rPr>
        <w:t>第4部分  技术偏离表</w:t>
      </w:r>
      <w:r>
        <w:rPr>
          <w:rFonts w:hint="eastAsia" w:ascii="宋体" w:hAnsi="宋体" w:eastAsia="宋体" w:cs="宋体"/>
          <w:b/>
          <w:bCs/>
          <w:color w:val="auto"/>
          <w:kern w:val="2"/>
          <w:sz w:val="32"/>
          <w:szCs w:val="32"/>
          <w:lang w:val="en-US" w:eastAsia="zh-CN" w:bidi="ar-SA"/>
        </w:rPr>
        <w:fldChar w:fldCharType="end"/>
      </w:r>
    </w:p>
    <w:p w14:paraId="40D3A6CD">
      <w:pPr>
        <w:pStyle w:val="15"/>
        <w:ind w:firstLine="264" w:firstLineChars="100"/>
        <w:rPr>
          <w:rFonts w:hint="eastAsia" w:ascii="宋体" w:hAnsi="宋体" w:cs="宋体"/>
          <w:color w:val="auto"/>
          <w:sz w:val="24"/>
          <w:lang w:val="en-US" w:eastAsia="zh-CN"/>
        </w:rPr>
      </w:pPr>
      <w:r>
        <w:rPr>
          <w:rFonts w:hint="eastAsia" w:ascii="宋体" w:hAnsi="宋体" w:eastAsia="宋体" w:cs="宋体"/>
          <w:color w:val="auto"/>
          <w:spacing w:val="12"/>
          <w:sz w:val="24"/>
          <w:szCs w:val="18"/>
        </w:rPr>
        <w:t>项目名称</w:t>
      </w:r>
      <w:r>
        <w:rPr>
          <w:rFonts w:hint="eastAsia" w:ascii="宋体" w:hAnsi="宋体" w:eastAsia="宋体" w:cs="宋体"/>
          <w:color w:val="auto"/>
          <w:spacing w:val="12"/>
          <w:sz w:val="24"/>
          <w:szCs w:val="18"/>
          <w:lang w:eastAsia="zh-CN"/>
        </w:rPr>
        <w:t>：</w:t>
      </w:r>
      <w:r>
        <w:rPr>
          <w:rFonts w:hint="eastAsia" w:ascii="宋体" w:hAnsi="宋体" w:cs="宋体"/>
          <w:color w:val="auto"/>
          <w:sz w:val="24"/>
          <w:u w:val="single"/>
          <w:lang w:val="en-US" w:eastAsia="zh-CN"/>
        </w:rPr>
        <w:t xml:space="preserve">                           </w:t>
      </w:r>
      <w:r>
        <w:rPr>
          <w:rFonts w:hint="eastAsia" w:ascii="宋体" w:hAnsi="宋体" w:cs="宋体"/>
          <w:color w:val="auto"/>
          <w:sz w:val="24"/>
          <w:lang w:val="en-US" w:eastAsia="zh-CN"/>
        </w:rPr>
        <w:t>（二标包）</w:t>
      </w:r>
    </w:p>
    <w:p w14:paraId="115BB39B">
      <w:pPr>
        <w:pStyle w:val="15"/>
        <w:ind w:firstLine="264" w:firstLineChars="100"/>
        <w:rPr>
          <w:rFonts w:hint="default" w:ascii="宋体" w:hAnsi="宋体" w:eastAsia="宋体" w:cs="宋体"/>
          <w:color w:val="auto"/>
          <w:spacing w:val="12"/>
          <w:sz w:val="24"/>
          <w:szCs w:val="18"/>
          <w:lang w:val="en-US" w:eastAsia="zh-CN"/>
        </w:rPr>
      </w:pPr>
      <w:r>
        <w:rPr>
          <w:rFonts w:hint="eastAsia" w:ascii="宋体" w:hAnsi="宋体" w:eastAsia="宋体" w:cs="宋体"/>
          <w:color w:val="auto"/>
          <w:spacing w:val="12"/>
          <w:sz w:val="24"/>
          <w:szCs w:val="18"/>
          <w:lang w:eastAsia="zh-CN"/>
        </w:rPr>
        <w:t>项目编号：</w:t>
      </w:r>
      <w:r>
        <w:rPr>
          <w:rFonts w:hint="eastAsia" w:ascii="宋体" w:hAnsi="宋体" w:cs="宋体"/>
          <w:color w:val="auto"/>
          <w:sz w:val="24"/>
          <w:u w:val="single"/>
          <w:lang w:val="en-US" w:eastAsia="zh-CN"/>
        </w:rPr>
        <w:t xml:space="preserve">                           </w:t>
      </w:r>
      <w:r>
        <w:rPr>
          <w:rFonts w:hint="eastAsia" w:ascii="宋体" w:hAnsi="宋体" w:cs="宋体"/>
          <w:color w:val="auto"/>
          <w:spacing w:val="12"/>
          <w:sz w:val="24"/>
          <w:szCs w:val="18"/>
          <w:lang w:val="en-US" w:eastAsia="zh-CN"/>
        </w:rPr>
        <w:t xml:space="preserve">                    </w:t>
      </w:r>
    </w:p>
    <w:p w14:paraId="506BBFD1">
      <w:pPr>
        <w:pStyle w:val="15"/>
        <w:ind w:firstLine="264" w:firstLineChars="100"/>
        <w:rPr>
          <w:rFonts w:hint="eastAsia" w:ascii="宋体" w:hAnsi="宋体" w:eastAsia="宋体" w:cs="宋体"/>
          <w:color w:val="auto"/>
          <w:spacing w:val="12"/>
          <w:sz w:val="24"/>
          <w:szCs w:val="18"/>
          <w:lang w:eastAsia="zh-CN"/>
        </w:rPr>
      </w:pPr>
      <w:r>
        <w:rPr>
          <w:rFonts w:hint="eastAsia" w:ascii="宋体" w:hAnsi="宋体" w:eastAsia="宋体" w:cs="宋体"/>
          <w:color w:val="auto"/>
          <w:spacing w:val="12"/>
          <w:sz w:val="24"/>
          <w:szCs w:val="18"/>
        </w:rPr>
        <w:t>供应商名称</w:t>
      </w:r>
      <w:r>
        <w:rPr>
          <w:rFonts w:hint="eastAsia" w:ascii="宋体" w:hAnsi="宋体" w:eastAsia="宋体" w:cs="宋体"/>
          <w:color w:val="auto"/>
          <w:spacing w:val="12"/>
          <w:sz w:val="24"/>
          <w:szCs w:val="18"/>
          <w:lang w:eastAsia="zh-CN"/>
        </w:rPr>
        <w:t>：</w:t>
      </w:r>
      <w:r>
        <w:rPr>
          <w:rFonts w:hint="eastAsia" w:ascii="宋体" w:hAnsi="宋体" w:cs="宋体"/>
          <w:color w:val="auto"/>
          <w:sz w:val="24"/>
          <w:u w:val="single"/>
          <w:lang w:val="en-US" w:eastAsia="zh-CN"/>
        </w:rPr>
        <w:t xml:space="preserve">                         </w:t>
      </w:r>
    </w:p>
    <w:tbl>
      <w:tblPr>
        <w:tblStyle w:val="23"/>
        <w:tblW w:w="8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584"/>
        <w:gridCol w:w="2052"/>
        <w:gridCol w:w="1738"/>
        <w:gridCol w:w="1263"/>
        <w:gridCol w:w="1238"/>
      </w:tblGrid>
      <w:tr w14:paraId="0897A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63" w:type="dxa"/>
            <w:noWrap w:val="0"/>
            <w:vAlign w:val="center"/>
          </w:tcPr>
          <w:p w14:paraId="7A27B9DD">
            <w:pPr>
              <w:pStyle w:val="12"/>
              <w:ind w:left="-31" w:leftChars="-15"/>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584" w:type="dxa"/>
            <w:noWrap w:val="0"/>
            <w:vAlign w:val="center"/>
          </w:tcPr>
          <w:p w14:paraId="75E112D9">
            <w:pPr>
              <w:pStyle w:val="12"/>
              <w:ind w:left="-149" w:leftChars="-71"/>
              <w:jc w:val="center"/>
              <w:rPr>
                <w:rFonts w:hint="eastAsia" w:ascii="宋体" w:hAnsi="宋体" w:eastAsia="宋体" w:cs="宋体"/>
                <w:color w:val="auto"/>
                <w:sz w:val="24"/>
              </w:rPr>
            </w:pPr>
            <w:r>
              <w:rPr>
                <w:rFonts w:hint="eastAsia" w:ascii="宋体" w:hAnsi="宋体" w:eastAsia="宋体" w:cs="宋体"/>
                <w:color w:val="auto"/>
                <w:sz w:val="24"/>
              </w:rPr>
              <w:t>名称</w:t>
            </w:r>
          </w:p>
        </w:tc>
        <w:tc>
          <w:tcPr>
            <w:tcW w:w="2052" w:type="dxa"/>
            <w:noWrap w:val="0"/>
            <w:vAlign w:val="center"/>
          </w:tcPr>
          <w:p w14:paraId="29629459">
            <w:pPr>
              <w:pStyle w:val="12"/>
              <w:ind w:left="-206" w:leftChars="-98" w:right="-166" w:rightChars="-79"/>
              <w:jc w:val="center"/>
              <w:rPr>
                <w:rFonts w:hint="eastAsia" w:ascii="宋体" w:hAnsi="宋体" w:eastAsia="宋体" w:cs="宋体"/>
                <w:color w:val="auto"/>
                <w:sz w:val="24"/>
              </w:rPr>
            </w:pPr>
            <w:r>
              <w:rPr>
                <w:rFonts w:hint="eastAsia" w:ascii="宋体" w:hAnsi="宋体" w:eastAsia="宋体" w:cs="宋体"/>
                <w:color w:val="auto"/>
                <w:sz w:val="24"/>
                <w:lang w:val="en-US" w:eastAsia="zh-CN"/>
              </w:rPr>
              <w:t>采购</w:t>
            </w:r>
            <w:r>
              <w:rPr>
                <w:rFonts w:hint="eastAsia" w:ascii="宋体" w:hAnsi="宋体" w:eastAsia="宋体" w:cs="宋体"/>
                <w:color w:val="auto"/>
                <w:sz w:val="24"/>
              </w:rPr>
              <w:t>要求</w:t>
            </w:r>
          </w:p>
        </w:tc>
        <w:tc>
          <w:tcPr>
            <w:tcW w:w="1738" w:type="dxa"/>
            <w:noWrap w:val="0"/>
            <w:vAlign w:val="center"/>
          </w:tcPr>
          <w:p w14:paraId="35A8CDDB">
            <w:pPr>
              <w:pStyle w:val="12"/>
              <w:ind w:left="-48" w:leftChars="-23"/>
              <w:jc w:val="center"/>
              <w:rPr>
                <w:rFonts w:hint="eastAsia" w:ascii="宋体" w:hAnsi="宋体" w:eastAsia="宋体" w:cs="宋体"/>
                <w:color w:val="auto"/>
                <w:sz w:val="24"/>
              </w:rPr>
            </w:pPr>
            <w:r>
              <w:rPr>
                <w:rFonts w:hint="eastAsia" w:ascii="宋体" w:hAnsi="宋体" w:eastAsia="宋体" w:cs="宋体"/>
                <w:color w:val="auto"/>
                <w:sz w:val="24"/>
                <w:lang w:val="en-US" w:eastAsia="zh-CN"/>
              </w:rPr>
              <w:t>磋商</w:t>
            </w:r>
            <w:r>
              <w:rPr>
                <w:rFonts w:hint="eastAsia" w:ascii="宋体" w:hAnsi="宋体" w:eastAsia="宋体" w:cs="宋体"/>
                <w:color w:val="auto"/>
                <w:sz w:val="24"/>
              </w:rPr>
              <w:t>响应</w:t>
            </w:r>
          </w:p>
        </w:tc>
        <w:tc>
          <w:tcPr>
            <w:tcW w:w="1263" w:type="dxa"/>
            <w:noWrap w:val="0"/>
            <w:vAlign w:val="center"/>
          </w:tcPr>
          <w:p w14:paraId="40CA5F89">
            <w:pPr>
              <w:pStyle w:val="12"/>
              <w:ind w:left="-34" w:leftChars="-16"/>
              <w:jc w:val="center"/>
              <w:rPr>
                <w:rFonts w:hint="eastAsia" w:ascii="宋体" w:hAnsi="宋体" w:eastAsia="宋体" w:cs="宋体"/>
                <w:color w:val="auto"/>
                <w:sz w:val="24"/>
              </w:rPr>
            </w:pPr>
            <w:r>
              <w:rPr>
                <w:rFonts w:hint="eastAsia" w:ascii="宋体" w:hAnsi="宋体" w:eastAsia="宋体" w:cs="宋体"/>
                <w:color w:val="auto"/>
                <w:sz w:val="24"/>
              </w:rPr>
              <w:t>偏离</w:t>
            </w:r>
          </w:p>
        </w:tc>
        <w:tc>
          <w:tcPr>
            <w:tcW w:w="1238" w:type="dxa"/>
            <w:noWrap w:val="0"/>
            <w:vAlign w:val="center"/>
          </w:tcPr>
          <w:p w14:paraId="587B926E">
            <w:pPr>
              <w:pStyle w:val="12"/>
              <w:ind w:left="-82" w:leftChars="-39"/>
              <w:jc w:val="center"/>
              <w:rPr>
                <w:rFonts w:hint="eastAsia" w:ascii="宋体" w:hAnsi="宋体" w:eastAsia="宋体" w:cs="宋体"/>
                <w:color w:val="auto"/>
                <w:sz w:val="24"/>
              </w:rPr>
            </w:pPr>
            <w:r>
              <w:rPr>
                <w:rFonts w:hint="eastAsia" w:ascii="宋体" w:hAnsi="宋体" w:eastAsia="宋体" w:cs="宋体"/>
                <w:color w:val="auto"/>
                <w:sz w:val="24"/>
              </w:rPr>
              <w:t>说明</w:t>
            </w:r>
          </w:p>
        </w:tc>
      </w:tr>
      <w:tr w14:paraId="5174D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63" w:type="dxa"/>
            <w:noWrap w:val="0"/>
            <w:vAlign w:val="top"/>
          </w:tcPr>
          <w:p w14:paraId="1EC0932D">
            <w:pPr>
              <w:pStyle w:val="12"/>
              <w:spacing w:line="360" w:lineRule="auto"/>
              <w:ind w:left="1080" w:leftChars="257" w:hanging="540"/>
              <w:rPr>
                <w:rFonts w:hint="eastAsia" w:ascii="宋体" w:hAnsi="宋体" w:eastAsia="宋体" w:cs="宋体"/>
                <w:color w:val="auto"/>
                <w:sz w:val="24"/>
              </w:rPr>
            </w:pPr>
          </w:p>
        </w:tc>
        <w:tc>
          <w:tcPr>
            <w:tcW w:w="1584" w:type="dxa"/>
            <w:noWrap w:val="0"/>
            <w:vAlign w:val="top"/>
          </w:tcPr>
          <w:p w14:paraId="4B840F49">
            <w:pPr>
              <w:pStyle w:val="12"/>
              <w:spacing w:line="360" w:lineRule="auto"/>
              <w:ind w:left="1080" w:leftChars="257" w:hanging="540"/>
              <w:rPr>
                <w:rFonts w:hint="eastAsia" w:ascii="宋体" w:hAnsi="宋体" w:eastAsia="宋体" w:cs="宋体"/>
                <w:color w:val="auto"/>
                <w:sz w:val="24"/>
              </w:rPr>
            </w:pPr>
          </w:p>
        </w:tc>
        <w:tc>
          <w:tcPr>
            <w:tcW w:w="2052" w:type="dxa"/>
            <w:noWrap w:val="0"/>
            <w:vAlign w:val="top"/>
          </w:tcPr>
          <w:p w14:paraId="367F5001">
            <w:pPr>
              <w:pStyle w:val="12"/>
              <w:spacing w:line="360" w:lineRule="auto"/>
              <w:ind w:left="1080" w:leftChars="257" w:hanging="540"/>
              <w:rPr>
                <w:rFonts w:hint="eastAsia" w:ascii="宋体" w:hAnsi="宋体" w:eastAsia="宋体" w:cs="宋体"/>
                <w:color w:val="auto"/>
                <w:sz w:val="24"/>
              </w:rPr>
            </w:pPr>
          </w:p>
        </w:tc>
        <w:tc>
          <w:tcPr>
            <w:tcW w:w="1738" w:type="dxa"/>
            <w:noWrap w:val="0"/>
            <w:vAlign w:val="top"/>
          </w:tcPr>
          <w:p w14:paraId="7C63A104">
            <w:pPr>
              <w:pStyle w:val="12"/>
              <w:spacing w:line="360" w:lineRule="auto"/>
              <w:ind w:left="1080" w:leftChars="257" w:hanging="540"/>
              <w:rPr>
                <w:rFonts w:hint="eastAsia" w:ascii="宋体" w:hAnsi="宋体" w:eastAsia="宋体" w:cs="宋体"/>
                <w:color w:val="auto"/>
                <w:sz w:val="24"/>
              </w:rPr>
            </w:pPr>
          </w:p>
        </w:tc>
        <w:tc>
          <w:tcPr>
            <w:tcW w:w="1263" w:type="dxa"/>
            <w:noWrap w:val="0"/>
            <w:vAlign w:val="top"/>
          </w:tcPr>
          <w:p w14:paraId="0D5975C0">
            <w:pPr>
              <w:pStyle w:val="12"/>
              <w:spacing w:line="360" w:lineRule="auto"/>
              <w:ind w:left="1080" w:leftChars="257" w:hanging="540"/>
              <w:rPr>
                <w:rFonts w:hint="eastAsia" w:ascii="宋体" w:hAnsi="宋体" w:eastAsia="宋体" w:cs="宋体"/>
                <w:color w:val="auto"/>
                <w:sz w:val="24"/>
              </w:rPr>
            </w:pPr>
          </w:p>
        </w:tc>
        <w:tc>
          <w:tcPr>
            <w:tcW w:w="1238" w:type="dxa"/>
            <w:noWrap w:val="0"/>
            <w:vAlign w:val="top"/>
          </w:tcPr>
          <w:p w14:paraId="56D74A7D">
            <w:pPr>
              <w:pStyle w:val="12"/>
              <w:spacing w:line="360" w:lineRule="auto"/>
              <w:ind w:left="1080" w:leftChars="257" w:hanging="540"/>
              <w:rPr>
                <w:rFonts w:hint="eastAsia" w:ascii="宋体" w:hAnsi="宋体" w:eastAsia="宋体" w:cs="宋体"/>
                <w:color w:val="auto"/>
                <w:sz w:val="24"/>
              </w:rPr>
            </w:pPr>
          </w:p>
        </w:tc>
      </w:tr>
      <w:tr w14:paraId="58854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63" w:type="dxa"/>
            <w:noWrap w:val="0"/>
            <w:vAlign w:val="top"/>
          </w:tcPr>
          <w:p w14:paraId="17251D16">
            <w:pPr>
              <w:pStyle w:val="12"/>
              <w:spacing w:line="360" w:lineRule="auto"/>
              <w:ind w:left="1080" w:leftChars="257" w:hanging="540"/>
              <w:rPr>
                <w:rFonts w:hint="eastAsia" w:ascii="宋体" w:hAnsi="宋体" w:eastAsia="宋体" w:cs="宋体"/>
                <w:color w:val="auto"/>
                <w:sz w:val="24"/>
              </w:rPr>
            </w:pPr>
          </w:p>
        </w:tc>
        <w:tc>
          <w:tcPr>
            <w:tcW w:w="1584" w:type="dxa"/>
            <w:noWrap w:val="0"/>
            <w:vAlign w:val="top"/>
          </w:tcPr>
          <w:p w14:paraId="3236BDD6">
            <w:pPr>
              <w:pStyle w:val="12"/>
              <w:spacing w:line="360" w:lineRule="auto"/>
              <w:ind w:left="1080" w:leftChars="257" w:hanging="540"/>
              <w:rPr>
                <w:rFonts w:hint="eastAsia" w:ascii="宋体" w:hAnsi="宋体" w:eastAsia="宋体" w:cs="宋体"/>
                <w:color w:val="auto"/>
                <w:sz w:val="24"/>
              </w:rPr>
            </w:pPr>
          </w:p>
        </w:tc>
        <w:tc>
          <w:tcPr>
            <w:tcW w:w="2052" w:type="dxa"/>
            <w:noWrap w:val="0"/>
            <w:vAlign w:val="top"/>
          </w:tcPr>
          <w:p w14:paraId="6A80FA90">
            <w:pPr>
              <w:pStyle w:val="12"/>
              <w:spacing w:line="360" w:lineRule="auto"/>
              <w:ind w:left="1080" w:leftChars="257" w:hanging="540"/>
              <w:rPr>
                <w:rFonts w:hint="eastAsia" w:ascii="宋体" w:hAnsi="宋体" w:eastAsia="宋体" w:cs="宋体"/>
                <w:color w:val="auto"/>
                <w:sz w:val="24"/>
              </w:rPr>
            </w:pPr>
          </w:p>
        </w:tc>
        <w:tc>
          <w:tcPr>
            <w:tcW w:w="1738" w:type="dxa"/>
            <w:noWrap w:val="0"/>
            <w:vAlign w:val="top"/>
          </w:tcPr>
          <w:p w14:paraId="54749E25">
            <w:pPr>
              <w:pStyle w:val="12"/>
              <w:spacing w:line="360" w:lineRule="auto"/>
              <w:ind w:left="1080" w:leftChars="257" w:hanging="540"/>
              <w:rPr>
                <w:rFonts w:hint="eastAsia" w:ascii="宋体" w:hAnsi="宋体" w:eastAsia="宋体" w:cs="宋体"/>
                <w:color w:val="auto"/>
                <w:sz w:val="24"/>
              </w:rPr>
            </w:pPr>
          </w:p>
        </w:tc>
        <w:tc>
          <w:tcPr>
            <w:tcW w:w="1263" w:type="dxa"/>
            <w:noWrap w:val="0"/>
            <w:vAlign w:val="top"/>
          </w:tcPr>
          <w:p w14:paraId="4F77E9DB">
            <w:pPr>
              <w:pStyle w:val="12"/>
              <w:spacing w:line="360" w:lineRule="auto"/>
              <w:ind w:left="1080" w:leftChars="257" w:hanging="540"/>
              <w:rPr>
                <w:rFonts w:hint="eastAsia" w:ascii="宋体" w:hAnsi="宋体" w:eastAsia="宋体" w:cs="宋体"/>
                <w:color w:val="auto"/>
                <w:sz w:val="24"/>
              </w:rPr>
            </w:pPr>
          </w:p>
        </w:tc>
        <w:tc>
          <w:tcPr>
            <w:tcW w:w="1238" w:type="dxa"/>
            <w:noWrap w:val="0"/>
            <w:vAlign w:val="top"/>
          </w:tcPr>
          <w:p w14:paraId="49AA4991">
            <w:pPr>
              <w:pStyle w:val="12"/>
              <w:spacing w:line="360" w:lineRule="auto"/>
              <w:ind w:left="1080" w:leftChars="257" w:hanging="540"/>
              <w:rPr>
                <w:rFonts w:hint="eastAsia" w:ascii="宋体" w:hAnsi="宋体" w:eastAsia="宋体" w:cs="宋体"/>
                <w:color w:val="auto"/>
                <w:sz w:val="24"/>
              </w:rPr>
            </w:pPr>
          </w:p>
        </w:tc>
      </w:tr>
      <w:tr w14:paraId="14B92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63" w:type="dxa"/>
            <w:noWrap w:val="0"/>
            <w:vAlign w:val="top"/>
          </w:tcPr>
          <w:p w14:paraId="4B0E3E5F">
            <w:pPr>
              <w:pStyle w:val="12"/>
              <w:spacing w:line="360" w:lineRule="auto"/>
              <w:ind w:left="1080" w:leftChars="257" w:hanging="540"/>
              <w:rPr>
                <w:rFonts w:hint="eastAsia" w:ascii="宋体" w:hAnsi="宋体" w:eastAsia="宋体" w:cs="宋体"/>
                <w:color w:val="auto"/>
                <w:sz w:val="24"/>
              </w:rPr>
            </w:pPr>
          </w:p>
        </w:tc>
        <w:tc>
          <w:tcPr>
            <w:tcW w:w="1584" w:type="dxa"/>
            <w:noWrap w:val="0"/>
            <w:vAlign w:val="top"/>
          </w:tcPr>
          <w:p w14:paraId="2F834C5A">
            <w:pPr>
              <w:pStyle w:val="12"/>
              <w:spacing w:line="360" w:lineRule="auto"/>
              <w:ind w:left="1080" w:leftChars="257" w:hanging="540"/>
              <w:rPr>
                <w:rFonts w:hint="eastAsia" w:ascii="宋体" w:hAnsi="宋体" w:eastAsia="宋体" w:cs="宋体"/>
                <w:color w:val="auto"/>
                <w:sz w:val="24"/>
              </w:rPr>
            </w:pPr>
          </w:p>
        </w:tc>
        <w:tc>
          <w:tcPr>
            <w:tcW w:w="2052" w:type="dxa"/>
            <w:noWrap w:val="0"/>
            <w:vAlign w:val="top"/>
          </w:tcPr>
          <w:p w14:paraId="217C8B25">
            <w:pPr>
              <w:pStyle w:val="12"/>
              <w:spacing w:line="360" w:lineRule="auto"/>
              <w:ind w:left="1080" w:leftChars="257" w:hanging="540"/>
              <w:rPr>
                <w:rFonts w:hint="eastAsia" w:ascii="宋体" w:hAnsi="宋体" w:eastAsia="宋体" w:cs="宋体"/>
                <w:color w:val="auto"/>
                <w:sz w:val="24"/>
              </w:rPr>
            </w:pPr>
          </w:p>
        </w:tc>
        <w:tc>
          <w:tcPr>
            <w:tcW w:w="1738" w:type="dxa"/>
            <w:noWrap w:val="0"/>
            <w:vAlign w:val="top"/>
          </w:tcPr>
          <w:p w14:paraId="4257B9D4">
            <w:pPr>
              <w:pStyle w:val="12"/>
              <w:spacing w:line="360" w:lineRule="auto"/>
              <w:ind w:left="1080" w:leftChars="257" w:hanging="540"/>
              <w:rPr>
                <w:rFonts w:hint="eastAsia" w:ascii="宋体" w:hAnsi="宋体" w:eastAsia="宋体" w:cs="宋体"/>
                <w:color w:val="auto"/>
                <w:sz w:val="24"/>
              </w:rPr>
            </w:pPr>
          </w:p>
        </w:tc>
        <w:tc>
          <w:tcPr>
            <w:tcW w:w="1263" w:type="dxa"/>
            <w:noWrap w:val="0"/>
            <w:vAlign w:val="top"/>
          </w:tcPr>
          <w:p w14:paraId="2BC2AC3A">
            <w:pPr>
              <w:pStyle w:val="12"/>
              <w:spacing w:line="360" w:lineRule="auto"/>
              <w:ind w:left="1080" w:leftChars="257" w:hanging="540"/>
              <w:rPr>
                <w:rFonts w:hint="eastAsia" w:ascii="宋体" w:hAnsi="宋体" w:eastAsia="宋体" w:cs="宋体"/>
                <w:color w:val="auto"/>
                <w:sz w:val="24"/>
              </w:rPr>
            </w:pPr>
          </w:p>
        </w:tc>
        <w:tc>
          <w:tcPr>
            <w:tcW w:w="1238" w:type="dxa"/>
            <w:noWrap w:val="0"/>
            <w:vAlign w:val="top"/>
          </w:tcPr>
          <w:p w14:paraId="346016E1">
            <w:pPr>
              <w:pStyle w:val="12"/>
              <w:spacing w:line="360" w:lineRule="auto"/>
              <w:ind w:left="1080" w:leftChars="257" w:hanging="540"/>
              <w:rPr>
                <w:rFonts w:hint="eastAsia" w:ascii="宋体" w:hAnsi="宋体" w:eastAsia="宋体" w:cs="宋体"/>
                <w:color w:val="auto"/>
                <w:sz w:val="24"/>
              </w:rPr>
            </w:pPr>
          </w:p>
        </w:tc>
      </w:tr>
      <w:tr w14:paraId="61ACF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63" w:type="dxa"/>
            <w:noWrap w:val="0"/>
            <w:vAlign w:val="top"/>
          </w:tcPr>
          <w:p w14:paraId="1C2860A4">
            <w:pPr>
              <w:pStyle w:val="12"/>
              <w:spacing w:line="360" w:lineRule="auto"/>
              <w:ind w:left="1080" w:leftChars="257" w:hanging="540"/>
              <w:rPr>
                <w:rFonts w:hint="eastAsia" w:ascii="宋体" w:hAnsi="宋体" w:eastAsia="宋体" w:cs="宋体"/>
                <w:color w:val="auto"/>
                <w:sz w:val="24"/>
              </w:rPr>
            </w:pPr>
          </w:p>
        </w:tc>
        <w:tc>
          <w:tcPr>
            <w:tcW w:w="1584" w:type="dxa"/>
            <w:noWrap w:val="0"/>
            <w:vAlign w:val="top"/>
          </w:tcPr>
          <w:p w14:paraId="4D3DBBC9">
            <w:pPr>
              <w:pStyle w:val="12"/>
              <w:spacing w:line="360" w:lineRule="auto"/>
              <w:ind w:left="1080" w:leftChars="257" w:hanging="540"/>
              <w:rPr>
                <w:rFonts w:hint="eastAsia" w:ascii="宋体" w:hAnsi="宋体" w:eastAsia="宋体" w:cs="宋体"/>
                <w:color w:val="auto"/>
                <w:sz w:val="24"/>
              </w:rPr>
            </w:pPr>
          </w:p>
        </w:tc>
        <w:tc>
          <w:tcPr>
            <w:tcW w:w="2052" w:type="dxa"/>
            <w:noWrap w:val="0"/>
            <w:vAlign w:val="top"/>
          </w:tcPr>
          <w:p w14:paraId="30FD73C7">
            <w:pPr>
              <w:pStyle w:val="12"/>
              <w:spacing w:line="360" w:lineRule="auto"/>
              <w:ind w:left="1080" w:leftChars="257" w:hanging="540"/>
              <w:rPr>
                <w:rFonts w:hint="eastAsia" w:ascii="宋体" w:hAnsi="宋体" w:eastAsia="宋体" w:cs="宋体"/>
                <w:color w:val="auto"/>
                <w:sz w:val="24"/>
              </w:rPr>
            </w:pPr>
          </w:p>
        </w:tc>
        <w:tc>
          <w:tcPr>
            <w:tcW w:w="1738" w:type="dxa"/>
            <w:noWrap w:val="0"/>
            <w:vAlign w:val="top"/>
          </w:tcPr>
          <w:p w14:paraId="333FAF5B">
            <w:pPr>
              <w:pStyle w:val="12"/>
              <w:spacing w:line="360" w:lineRule="auto"/>
              <w:ind w:left="1080" w:leftChars="257" w:hanging="540"/>
              <w:rPr>
                <w:rFonts w:hint="eastAsia" w:ascii="宋体" w:hAnsi="宋体" w:eastAsia="宋体" w:cs="宋体"/>
                <w:color w:val="auto"/>
                <w:sz w:val="24"/>
              </w:rPr>
            </w:pPr>
          </w:p>
        </w:tc>
        <w:tc>
          <w:tcPr>
            <w:tcW w:w="1263" w:type="dxa"/>
            <w:noWrap w:val="0"/>
            <w:vAlign w:val="top"/>
          </w:tcPr>
          <w:p w14:paraId="60967ED6">
            <w:pPr>
              <w:pStyle w:val="12"/>
              <w:spacing w:line="360" w:lineRule="auto"/>
              <w:ind w:left="1080" w:leftChars="257" w:hanging="540"/>
              <w:rPr>
                <w:rFonts w:hint="eastAsia" w:ascii="宋体" w:hAnsi="宋体" w:eastAsia="宋体" w:cs="宋体"/>
                <w:color w:val="auto"/>
                <w:sz w:val="24"/>
              </w:rPr>
            </w:pPr>
          </w:p>
        </w:tc>
        <w:tc>
          <w:tcPr>
            <w:tcW w:w="1238" w:type="dxa"/>
            <w:noWrap w:val="0"/>
            <w:vAlign w:val="top"/>
          </w:tcPr>
          <w:p w14:paraId="6BA91A7E">
            <w:pPr>
              <w:pStyle w:val="12"/>
              <w:spacing w:line="360" w:lineRule="auto"/>
              <w:ind w:left="1080" w:leftChars="257" w:hanging="540"/>
              <w:rPr>
                <w:rFonts w:hint="eastAsia" w:ascii="宋体" w:hAnsi="宋体" w:eastAsia="宋体" w:cs="宋体"/>
                <w:color w:val="auto"/>
                <w:sz w:val="24"/>
              </w:rPr>
            </w:pPr>
          </w:p>
        </w:tc>
      </w:tr>
      <w:tr w14:paraId="253AE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63" w:type="dxa"/>
            <w:noWrap w:val="0"/>
            <w:vAlign w:val="top"/>
          </w:tcPr>
          <w:p w14:paraId="40F97286">
            <w:pPr>
              <w:pStyle w:val="12"/>
              <w:spacing w:line="360" w:lineRule="auto"/>
              <w:ind w:left="1080" w:leftChars="257" w:hanging="540"/>
              <w:rPr>
                <w:rFonts w:hint="eastAsia" w:ascii="宋体" w:hAnsi="宋体" w:eastAsia="宋体" w:cs="宋体"/>
                <w:color w:val="auto"/>
                <w:sz w:val="24"/>
              </w:rPr>
            </w:pPr>
          </w:p>
        </w:tc>
        <w:tc>
          <w:tcPr>
            <w:tcW w:w="1584" w:type="dxa"/>
            <w:noWrap w:val="0"/>
            <w:vAlign w:val="top"/>
          </w:tcPr>
          <w:p w14:paraId="2E9FB8D0">
            <w:pPr>
              <w:pStyle w:val="12"/>
              <w:spacing w:line="360" w:lineRule="auto"/>
              <w:ind w:left="1080" w:leftChars="257" w:hanging="540"/>
              <w:rPr>
                <w:rFonts w:hint="eastAsia" w:ascii="宋体" w:hAnsi="宋体" w:eastAsia="宋体" w:cs="宋体"/>
                <w:color w:val="auto"/>
                <w:sz w:val="24"/>
              </w:rPr>
            </w:pPr>
          </w:p>
        </w:tc>
        <w:tc>
          <w:tcPr>
            <w:tcW w:w="2052" w:type="dxa"/>
            <w:noWrap w:val="0"/>
            <w:vAlign w:val="top"/>
          </w:tcPr>
          <w:p w14:paraId="4E97BBD6">
            <w:pPr>
              <w:pStyle w:val="12"/>
              <w:spacing w:line="360" w:lineRule="auto"/>
              <w:ind w:left="1080" w:leftChars="257" w:hanging="540"/>
              <w:rPr>
                <w:rFonts w:hint="eastAsia" w:ascii="宋体" w:hAnsi="宋体" w:eastAsia="宋体" w:cs="宋体"/>
                <w:color w:val="auto"/>
                <w:sz w:val="24"/>
              </w:rPr>
            </w:pPr>
          </w:p>
        </w:tc>
        <w:tc>
          <w:tcPr>
            <w:tcW w:w="1738" w:type="dxa"/>
            <w:noWrap w:val="0"/>
            <w:vAlign w:val="top"/>
          </w:tcPr>
          <w:p w14:paraId="215D2ACE">
            <w:pPr>
              <w:pStyle w:val="12"/>
              <w:spacing w:line="360" w:lineRule="auto"/>
              <w:ind w:left="1080" w:leftChars="257" w:hanging="540"/>
              <w:rPr>
                <w:rFonts w:hint="eastAsia" w:ascii="宋体" w:hAnsi="宋体" w:eastAsia="宋体" w:cs="宋体"/>
                <w:color w:val="auto"/>
                <w:sz w:val="24"/>
              </w:rPr>
            </w:pPr>
          </w:p>
        </w:tc>
        <w:tc>
          <w:tcPr>
            <w:tcW w:w="1263" w:type="dxa"/>
            <w:noWrap w:val="0"/>
            <w:vAlign w:val="top"/>
          </w:tcPr>
          <w:p w14:paraId="4F74E8B0">
            <w:pPr>
              <w:pStyle w:val="12"/>
              <w:spacing w:line="360" w:lineRule="auto"/>
              <w:ind w:left="1080" w:leftChars="257" w:hanging="540"/>
              <w:rPr>
                <w:rFonts w:hint="eastAsia" w:ascii="宋体" w:hAnsi="宋体" w:eastAsia="宋体" w:cs="宋体"/>
                <w:color w:val="auto"/>
                <w:sz w:val="24"/>
              </w:rPr>
            </w:pPr>
          </w:p>
        </w:tc>
        <w:tc>
          <w:tcPr>
            <w:tcW w:w="1238" w:type="dxa"/>
            <w:noWrap w:val="0"/>
            <w:vAlign w:val="top"/>
          </w:tcPr>
          <w:p w14:paraId="56F9B190">
            <w:pPr>
              <w:pStyle w:val="12"/>
              <w:spacing w:line="360" w:lineRule="auto"/>
              <w:ind w:left="1080" w:leftChars="257" w:hanging="540"/>
              <w:rPr>
                <w:rFonts w:hint="eastAsia" w:ascii="宋体" w:hAnsi="宋体" w:eastAsia="宋体" w:cs="宋体"/>
                <w:color w:val="auto"/>
                <w:sz w:val="24"/>
              </w:rPr>
            </w:pPr>
          </w:p>
        </w:tc>
      </w:tr>
      <w:tr w14:paraId="51B55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63" w:type="dxa"/>
            <w:noWrap w:val="0"/>
            <w:vAlign w:val="top"/>
          </w:tcPr>
          <w:p w14:paraId="7D83FAD8">
            <w:pPr>
              <w:pStyle w:val="12"/>
              <w:spacing w:line="360" w:lineRule="auto"/>
              <w:ind w:left="1080" w:leftChars="257" w:hanging="540"/>
              <w:rPr>
                <w:rFonts w:hint="eastAsia" w:ascii="宋体" w:hAnsi="宋体" w:eastAsia="宋体" w:cs="宋体"/>
                <w:color w:val="auto"/>
                <w:sz w:val="24"/>
              </w:rPr>
            </w:pPr>
          </w:p>
        </w:tc>
        <w:tc>
          <w:tcPr>
            <w:tcW w:w="1584" w:type="dxa"/>
            <w:noWrap w:val="0"/>
            <w:vAlign w:val="top"/>
          </w:tcPr>
          <w:p w14:paraId="6E739D75">
            <w:pPr>
              <w:pStyle w:val="12"/>
              <w:spacing w:line="360" w:lineRule="auto"/>
              <w:ind w:left="1080" w:leftChars="257" w:hanging="540"/>
              <w:rPr>
                <w:rFonts w:hint="eastAsia" w:ascii="宋体" w:hAnsi="宋体" w:eastAsia="宋体" w:cs="宋体"/>
                <w:color w:val="auto"/>
                <w:sz w:val="24"/>
              </w:rPr>
            </w:pPr>
          </w:p>
        </w:tc>
        <w:tc>
          <w:tcPr>
            <w:tcW w:w="2052" w:type="dxa"/>
            <w:noWrap w:val="0"/>
            <w:vAlign w:val="top"/>
          </w:tcPr>
          <w:p w14:paraId="33CB48F7">
            <w:pPr>
              <w:pStyle w:val="12"/>
              <w:spacing w:line="360" w:lineRule="auto"/>
              <w:ind w:left="1080" w:leftChars="257" w:hanging="540"/>
              <w:rPr>
                <w:rFonts w:hint="eastAsia" w:ascii="宋体" w:hAnsi="宋体" w:eastAsia="宋体" w:cs="宋体"/>
                <w:color w:val="auto"/>
                <w:sz w:val="24"/>
              </w:rPr>
            </w:pPr>
          </w:p>
        </w:tc>
        <w:tc>
          <w:tcPr>
            <w:tcW w:w="1738" w:type="dxa"/>
            <w:noWrap w:val="0"/>
            <w:vAlign w:val="top"/>
          </w:tcPr>
          <w:p w14:paraId="59383C60">
            <w:pPr>
              <w:pStyle w:val="12"/>
              <w:spacing w:line="360" w:lineRule="auto"/>
              <w:ind w:left="1080" w:leftChars="257" w:hanging="540"/>
              <w:rPr>
                <w:rFonts w:hint="eastAsia" w:ascii="宋体" w:hAnsi="宋体" w:eastAsia="宋体" w:cs="宋体"/>
                <w:color w:val="auto"/>
                <w:sz w:val="24"/>
              </w:rPr>
            </w:pPr>
          </w:p>
        </w:tc>
        <w:tc>
          <w:tcPr>
            <w:tcW w:w="1263" w:type="dxa"/>
            <w:noWrap w:val="0"/>
            <w:vAlign w:val="top"/>
          </w:tcPr>
          <w:p w14:paraId="22C5FE50">
            <w:pPr>
              <w:pStyle w:val="12"/>
              <w:spacing w:line="360" w:lineRule="auto"/>
              <w:ind w:left="1080" w:leftChars="257" w:hanging="540"/>
              <w:rPr>
                <w:rFonts w:hint="eastAsia" w:ascii="宋体" w:hAnsi="宋体" w:eastAsia="宋体" w:cs="宋体"/>
                <w:color w:val="auto"/>
                <w:sz w:val="24"/>
              </w:rPr>
            </w:pPr>
          </w:p>
        </w:tc>
        <w:tc>
          <w:tcPr>
            <w:tcW w:w="1238" w:type="dxa"/>
            <w:noWrap w:val="0"/>
            <w:vAlign w:val="top"/>
          </w:tcPr>
          <w:p w14:paraId="19758AE2">
            <w:pPr>
              <w:pStyle w:val="12"/>
              <w:spacing w:line="360" w:lineRule="auto"/>
              <w:ind w:left="1080" w:leftChars="257" w:hanging="540"/>
              <w:rPr>
                <w:rFonts w:hint="eastAsia" w:ascii="宋体" w:hAnsi="宋体" w:eastAsia="宋体" w:cs="宋体"/>
                <w:color w:val="auto"/>
                <w:sz w:val="24"/>
              </w:rPr>
            </w:pPr>
          </w:p>
        </w:tc>
      </w:tr>
      <w:tr w14:paraId="04264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63" w:type="dxa"/>
            <w:noWrap w:val="0"/>
            <w:vAlign w:val="top"/>
          </w:tcPr>
          <w:p w14:paraId="67CC91DE">
            <w:pPr>
              <w:pStyle w:val="12"/>
              <w:spacing w:line="360" w:lineRule="auto"/>
              <w:ind w:left="1080" w:leftChars="257" w:hanging="540"/>
              <w:rPr>
                <w:rFonts w:hint="eastAsia" w:ascii="宋体" w:hAnsi="宋体" w:eastAsia="宋体" w:cs="宋体"/>
                <w:color w:val="auto"/>
                <w:sz w:val="24"/>
              </w:rPr>
            </w:pPr>
          </w:p>
        </w:tc>
        <w:tc>
          <w:tcPr>
            <w:tcW w:w="1584" w:type="dxa"/>
            <w:noWrap w:val="0"/>
            <w:vAlign w:val="top"/>
          </w:tcPr>
          <w:p w14:paraId="5C3EADDA">
            <w:pPr>
              <w:pStyle w:val="12"/>
              <w:spacing w:line="360" w:lineRule="auto"/>
              <w:ind w:left="1080" w:leftChars="257" w:hanging="540"/>
              <w:rPr>
                <w:rFonts w:hint="eastAsia" w:ascii="宋体" w:hAnsi="宋体" w:eastAsia="宋体" w:cs="宋体"/>
                <w:color w:val="auto"/>
                <w:sz w:val="24"/>
              </w:rPr>
            </w:pPr>
          </w:p>
        </w:tc>
        <w:tc>
          <w:tcPr>
            <w:tcW w:w="2052" w:type="dxa"/>
            <w:noWrap w:val="0"/>
            <w:vAlign w:val="top"/>
          </w:tcPr>
          <w:p w14:paraId="2CC5D45C">
            <w:pPr>
              <w:pStyle w:val="12"/>
              <w:spacing w:line="360" w:lineRule="auto"/>
              <w:ind w:left="1080" w:leftChars="257" w:hanging="540"/>
              <w:rPr>
                <w:rFonts w:hint="eastAsia" w:ascii="宋体" w:hAnsi="宋体" w:eastAsia="宋体" w:cs="宋体"/>
                <w:color w:val="auto"/>
                <w:sz w:val="24"/>
              </w:rPr>
            </w:pPr>
          </w:p>
        </w:tc>
        <w:tc>
          <w:tcPr>
            <w:tcW w:w="1738" w:type="dxa"/>
            <w:noWrap w:val="0"/>
            <w:vAlign w:val="top"/>
          </w:tcPr>
          <w:p w14:paraId="741EDF76">
            <w:pPr>
              <w:pStyle w:val="12"/>
              <w:spacing w:line="360" w:lineRule="auto"/>
              <w:ind w:left="1080" w:leftChars="257" w:hanging="540"/>
              <w:rPr>
                <w:rFonts w:hint="eastAsia" w:ascii="宋体" w:hAnsi="宋体" w:eastAsia="宋体" w:cs="宋体"/>
                <w:color w:val="auto"/>
                <w:sz w:val="24"/>
              </w:rPr>
            </w:pPr>
          </w:p>
        </w:tc>
        <w:tc>
          <w:tcPr>
            <w:tcW w:w="1263" w:type="dxa"/>
            <w:noWrap w:val="0"/>
            <w:vAlign w:val="top"/>
          </w:tcPr>
          <w:p w14:paraId="67F0610E">
            <w:pPr>
              <w:pStyle w:val="12"/>
              <w:spacing w:line="360" w:lineRule="auto"/>
              <w:ind w:left="1080" w:leftChars="257" w:hanging="540"/>
              <w:rPr>
                <w:rFonts w:hint="eastAsia" w:ascii="宋体" w:hAnsi="宋体" w:eastAsia="宋体" w:cs="宋体"/>
                <w:color w:val="auto"/>
                <w:sz w:val="24"/>
              </w:rPr>
            </w:pPr>
          </w:p>
        </w:tc>
        <w:tc>
          <w:tcPr>
            <w:tcW w:w="1238" w:type="dxa"/>
            <w:noWrap w:val="0"/>
            <w:vAlign w:val="top"/>
          </w:tcPr>
          <w:p w14:paraId="74B05103">
            <w:pPr>
              <w:pStyle w:val="12"/>
              <w:spacing w:line="360" w:lineRule="auto"/>
              <w:ind w:left="1080" w:leftChars="257" w:hanging="540"/>
              <w:rPr>
                <w:rFonts w:hint="eastAsia" w:ascii="宋体" w:hAnsi="宋体" w:eastAsia="宋体" w:cs="宋体"/>
                <w:color w:val="auto"/>
                <w:sz w:val="24"/>
              </w:rPr>
            </w:pPr>
          </w:p>
        </w:tc>
      </w:tr>
      <w:tr w14:paraId="514DB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63" w:type="dxa"/>
            <w:noWrap w:val="0"/>
            <w:vAlign w:val="top"/>
          </w:tcPr>
          <w:p w14:paraId="3992D3AB">
            <w:pPr>
              <w:pStyle w:val="12"/>
              <w:spacing w:line="360" w:lineRule="auto"/>
              <w:ind w:left="1080" w:leftChars="257" w:hanging="540"/>
              <w:rPr>
                <w:rFonts w:hint="eastAsia" w:ascii="宋体" w:hAnsi="宋体" w:eastAsia="宋体" w:cs="宋体"/>
                <w:color w:val="auto"/>
                <w:sz w:val="24"/>
              </w:rPr>
            </w:pPr>
          </w:p>
        </w:tc>
        <w:tc>
          <w:tcPr>
            <w:tcW w:w="1584" w:type="dxa"/>
            <w:noWrap w:val="0"/>
            <w:vAlign w:val="top"/>
          </w:tcPr>
          <w:p w14:paraId="3FB7E83F">
            <w:pPr>
              <w:pStyle w:val="12"/>
              <w:spacing w:line="360" w:lineRule="auto"/>
              <w:ind w:left="1080" w:leftChars="257" w:hanging="540"/>
              <w:rPr>
                <w:rFonts w:hint="eastAsia" w:ascii="宋体" w:hAnsi="宋体" w:eastAsia="宋体" w:cs="宋体"/>
                <w:color w:val="auto"/>
                <w:sz w:val="24"/>
              </w:rPr>
            </w:pPr>
          </w:p>
        </w:tc>
        <w:tc>
          <w:tcPr>
            <w:tcW w:w="2052" w:type="dxa"/>
            <w:noWrap w:val="0"/>
            <w:vAlign w:val="top"/>
          </w:tcPr>
          <w:p w14:paraId="69D7E5A9">
            <w:pPr>
              <w:pStyle w:val="12"/>
              <w:spacing w:line="360" w:lineRule="auto"/>
              <w:ind w:left="1080" w:leftChars="257" w:hanging="540"/>
              <w:rPr>
                <w:rFonts w:hint="eastAsia" w:ascii="宋体" w:hAnsi="宋体" w:eastAsia="宋体" w:cs="宋体"/>
                <w:color w:val="auto"/>
                <w:sz w:val="24"/>
              </w:rPr>
            </w:pPr>
          </w:p>
        </w:tc>
        <w:tc>
          <w:tcPr>
            <w:tcW w:w="1738" w:type="dxa"/>
            <w:noWrap w:val="0"/>
            <w:vAlign w:val="top"/>
          </w:tcPr>
          <w:p w14:paraId="7186EC22">
            <w:pPr>
              <w:pStyle w:val="12"/>
              <w:spacing w:line="360" w:lineRule="auto"/>
              <w:ind w:left="1080" w:leftChars="257" w:hanging="540"/>
              <w:rPr>
                <w:rFonts w:hint="eastAsia" w:ascii="宋体" w:hAnsi="宋体" w:eastAsia="宋体" w:cs="宋体"/>
                <w:color w:val="auto"/>
                <w:sz w:val="24"/>
              </w:rPr>
            </w:pPr>
          </w:p>
        </w:tc>
        <w:tc>
          <w:tcPr>
            <w:tcW w:w="1263" w:type="dxa"/>
            <w:noWrap w:val="0"/>
            <w:vAlign w:val="top"/>
          </w:tcPr>
          <w:p w14:paraId="744AFA7F">
            <w:pPr>
              <w:pStyle w:val="12"/>
              <w:spacing w:line="360" w:lineRule="auto"/>
              <w:ind w:left="1080" w:leftChars="257" w:hanging="540"/>
              <w:rPr>
                <w:rFonts w:hint="eastAsia" w:ascii="宋体" w:hAnsi="宋体" w:eastAsia="宋体" w:cs="宋体"/>
                <w:color w:val="auto"/>
                <w:sz w:val="24"/>
              </w:rPr>
            </w:pPr>
          </w:p>
        </w:tc>
        <w:tc>
          <w:tcPr>
            <w:tcW w:w="1238" w:type="dxa"/>
            <w:noWrap w:val="0"/>
            <w:vAlign w:val="top"/>
          </w:tcPr>
          <w:p w14:paraId="15D2C643">
            <w:pPr>
              <w:pStyle w:val="12"/>
              <w:spacing w:line="360" w:lineRule="auto"/>
              <w:ind w:left="1080" w:leftChars="257" w:hanging="540"/>
              <w:rPr>
                <w:rFonts w:hint="eastAsia" w:ascii="宋体" w:hAnsi="宋体" w:eastAsia="宋体" w:cs="宋体"/>
                <w:color w:val="auto"/>
                <w:sz w:val="24"/>
              </w:rPr>
            </w:pPr>
          </w:p>
        </w:tc>
      </w:tr>
      <w:tr w14:paraId="2B03D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63" w:type="dxa"/>
            <w:noWrap w:val="0"/>
            <w:vAlign w:val="top"/>
          </w:tcPr>
          <w:p w14:paraId="534E81A0">
            <w:pPr>
              <w:pStyle w:val="12"/>
              <w:spacing w:line="360" w:lineRule="auto"/>
              <w:ind w:left="1080" w:leftChars="257" w:hanging="540"/>
              <w:rPr>
                <w:rFonts w:hint="eastAsia" w:ascii="宋体" w:hAnsi="宋体" w:eastAsia="宋体" w:cs="宋体"/>
                <w:color w:val="auto"/>
                <w:sz w:val="24"/>
              </w:rPr>
            </w:pPr>
          </w:p>
        </w:tc>
        <w:tc>
          <w:tcPr>
            <w:tcW w:w="1584" w:type="dxa"/>
            <w:noWrap w:val="0"/>
            <w:vAlign w:val="top"/>
          </w:tcPr>
          <w:p w14:paraId="4A4BCEC2">
            <w:pPr>
              <w:pStyle w:val="12"/>
              <w:spacing w:line="360" w:lineRule="auto"/>
              <w:ind w:left="1080" w:leftChars="257" w:hanging="540"/>
              <w:rPr>
                <w:rFonts w:hint="eastAsia" w:ascii="宋体" w:hAnsi="宋体" w:eastAsia="宋体" w:cs="宋体"/>
                <w:color w:val="auto"/>
                <w:sz w:val="24"/>
              </w:rPr>
            </w:pPr>
          </w:p>
        </w:tc>
        <w:tc>
          <w:tcPr>
            <w:tcW w:w="2052" w:type="dxa"/>
            <w:noWrap w:val="0"/>
            <w:vAlign w:val="top"/>
          </w:tcPr>
          <w:p w14:paraId="1FA8FEE2">
            <w:pPr>
              <w:pStyle w:val="12"/>
              <w:spacing w:line="360" w:lineRule="auto"/>
              <w:ind w:left="1080" w:leftChars="257" w:hanging="540"/>
              <w:rPr>
                <w:rFonts w:hint="eastAsia" w:ascii="宋体" w:hAnsi="宋体" w:eastAsia="宋体" w:cs="宋体"/>
                <w:color w:val="auto"/>
                <w:sz w:val="24"/>
              </w:rPr>
            </w:pPr>
          </w:p>
        </w:tc>
        <w:tc>
          <w:tcPr>
            <w:tcW w:w="1738" w:type="dxa"/>
            <w:noWrap w:val="0"/>
            <w:vAlign w:val="top"/>
          </w:tcPr>
          <w:p w14:paraId="4AAAE911">
            <w:pPr>
              <w:pStyle w:val="12"/>
              <w:spacing w:line="360" w:lineRule="auto"/>
              <w:ind w:left="1080" w:leftChars="257" w:hanging="540"/>
              <w:rPr>
                <w:rFonts w:hint="eastAsia" w:ascii="宋体" w:hAnsi="宋体" w:eastAsia="宋体" w:cs="宋体"/>
                <w:color w:val="auto"/>
                <w:sz w:val="24"/>
              </w:rPr>
            </w:pPr>
          </w:p>
        </w:tc>
        <w:tc>
          <w:tcPr>
            <w:tcW w:w="1263" w:type="dxa"/>
            <w:noWrap w:val="0"/>
            <w:vAlign w:val="top"/>
          </w:tcPr>
          <w:p w14:paraId="36940053">
            <w:pPr>
              <w:pStyle w:val="12"/>
              <w:spacing w:line="360" w:lineRule="auto"/>
              <w:ind w:left="1080" w:leftChars="257" w:hanging="540"/>
              <w:rPr>
                <w:rFonts w:hint="eastAsia" w:ascii="宋体" w:hAnsi="宋体" w:eastAsia="宋体" w:cs="宋体"/>
                <w:color w:val="auto"/>
                <w:sz w:val="24"/>
              </w:rPr>
            </w:pPr>
          </w:p>
        </w:tc>
        <w:tc>
          <w:tcPr>
            <w:tcW w:w="1238" w:type="dxa"/>
            <w:noWrap w:val="0"/>
            <w:vAlign w:val="top"/>
          </w:tcPr>
          <w:p w14:paraId="65D2046F">
            <w:pPr>
              <w:pStyle w:val="12"/>
              <w:spacing w:line="360" w:lineRule="auto"/>
              <w:ind w:left="1080" w:leftChars="257" w:hanging="540"/>
              <w:rPr>
                <w:rFonts w:hint="eastAsia" w:ascii="宋体" w:hAnsi="宋体" w:eastAsia="宋体" w:cs="宋体"/>
                <w:color w:val="auto"/>
                <w:sz w:val="24"/>
              </w:rPr>
            </w:pPr>
          </w:p>
        </w:tc>
      </w:tr>
      <w:tr w14:paraId="414F0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63" w:type="dxa"/>
            <w:noWrap w:val="0"/>
            <w:vAlign w:val="top"/>
          </w:tcPr>
          <w:p w14:paraId="0CA93A3B">
            <w:pPr>
              <w:pStyle w:val="12"/>
              <w:spacing w:line="360" w:lineRule="auto"/>
              <w:ind w:left="1080" w:leftChars="257" w:hanging="540"/>
              <w:rPr>
                <w:rFonts w:hint="eastAsia" w:ascii="宋体" w:hAnsi="宋体" w:eastAsia="宋体" w:cs="宋体"/>
                <w:color w:val="auto"/>
                <w:sz w:val="24"/>
              </w:rPr>
            </w:pPr>
          </w:p>
        </w:tc>
        <w:tc>
          <w:tcPr>
            <w:tcW w:w="1584" w:type="dxa"/>
            <w:noWrap w:val="0"/>
            <w:vAlign w:val="top"/>
          </w:tcPr>
          <w:p w14:paraId="106335DF">
            <w:pPr>
              <w:pStyle w:val="12"/>
              <w:spacing w:line="360" w:lineRule="auto"/>
              <w:ind w:left="1080" w:leftChars="257" w:hanging="540"/>
              <w:rPr>
                <w:rFonts w:hint="eastAsia" w:ascii="宋体" w:hAnsi="宋体" w:eastAsia="宋体" w:cs="宋体"/>
                <w:color w:val="auto"/>
                <w:sz w:val="24"/>
              </w:rPr>
            </w:pPr>
          </w:p>
        </w:tc>
        <w:tc>
          <w:tcPr>
            <w:tcW w:w="2052" w:type="dxa"/>
            <w:noWrap w:val="0"/>
            <w:vAlign w:val="top"/>
          </w:tcPr>
          <w:p w14:paraId="00738524">
            <w:pPr>
              <w:pStyle w:val="12"/>
              <w:spacing w:line="360" w:lineRule="auto"/>
              <w:ind w:left="1080" w:leftChars="257" w:hanging="540"/>
              <w:rPr>
                <w:rFonts w:hint="eastAsia" w:ascii="宋体" w:hAnsi="宋体" w:eastAsia="宋体" w:cs="宋体"/>
                <w:color w:val="auto"/>
                <w:sz w:val="24"/>
              </w:rPr>
            </w:pPr>
          </w:p>
        </w:tc>
        <w:tc>
          <w:tcPr>
            <w:tcW w:w="1738" w:type="dxa"/>
            <w:noWrap w:val="0"/>
            <w:vAlign w:val="top"/>
          </w:tcPr>
          <w:p w14:paraId="404F14D6">
            <w:pPr>
              <w:pStyle w:val="12"/>
              <w:spacing w:line="360" w:lineRule="auto"/>
              <w:ind w:left="1080" w:leftChars="257" w:hanging="540"/>
              <w:rPr>
                <w:rFonts w:hint="eastAsia" w:ascii="宋体" w:hAnsi="宋体" w:eastAsia="宋体" w:cs="宋体"/>
                <w:color w:val="auto"/>
                <w:sz w:val="24"/>
              </w:rPr>
            </w:pPr>
          </w:p>
        </w:tc>
        <w:tc>
          <w:tcPr>
            <w:tcW w:w="1263" w:type="dxa"/>
            <w:noWrap w:val="0"/>
            <w:vAlign w:val="top"/>
          </w:tcPr>
          <w:p w14:paraId="6E0312FE">
            <w:pPr>
              <w:pStyle w:val="12"/>
              <w:spacing w:line="360" w:lineRule="auto"/>
              <w:ind w:left="1080" w:leftChars="257" w:hanging="540"/>
              <w:rPr>
                <w:rFonts w:hint="eastAsia" w:ascii="宋体" w:hAnsi="宋体" w:eastAsia="宋体" w:cs="宋体"/>
                <w:color w:val="auto"/>
                <w:sz w:val="24"/>
              </w:rPr>
            </w:pPr>
          </w:p>
        </w:tc>
        <w:tc>
          <w:tcPr>
            <w:tcW w:w="1238" w:type="dxa"/>
            <w:noWrap w:val="0"/>
            <w:vAlign w:val="top"/>
          </w:tcPr>
          <w:p w14:paraId="2E437B6C">
            <w:pPr>
              <w:pStyle w:val="12"/>
              <w:spacing w:line="360" w:lineRule="auto"/>
              <w:ind w:left="1080" w:leftChars="257" w:hanging="540"/>
              <w:rPr>
                <w:rFonts w:hint="eastAsia" w:ascii="宋体" w:hAnsi="宋体" w:eastAsia="宋体" w:cs="宋体"/>
                <w:color w:val="auto"/>
                <w:sz w:val="24"/>
              </w:rPr>
            </w:pPr>
          </w:p>
        </w:tc>
      </w:tr>
    </w:tbl>
    <w:p w14:paraId="1077BBF1">
      <w:pPr>
        <w:pStyle w:val="12"/>
        <w:spacing w:line="360" w:lineRule="auto"/>
        <w:ind w:left="1080" w:leftChars="257" w:hanging="540"/>
        <w:rPr>
          <w:rFonts w:hint="eastAsia" w:ascii="宋体" w:hAnsi="宋体" w:eastAsia="宋体" w:cs="宋体"/>
          <w:color w:val="auto"/>
          <w:sz w:val="24"/>
        </w:rPr>
      </w:pPr>
    </w:p>
    <w:p w14:paraId="00412C8F">
      <w:pPr>
        <w:snapToGrid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供应商（公章）：                    </w:t>
      </w:r>
    </w:p>
    <w:p w14:paraId="69FDC61E">
      <w:pPr>
        <w:snapToGrid w:val="0"/>
        <w:spacing w:line="500" w:lineRule="exact"/>
        <w:rPr>
          <w:rFonts w:hint="eastAsia" w:ascii="宋体" w:hAnsi="宋体" w:eastAsia="宋体" w:cs="宋体"/>
          <w:color w:val="auto"/>
          <w:sz w:val="24"/>
        </w:rPr>
      </w:pPr>
    </w:p>
    <w:p w14:paraId="28D8A1A7">
      <w:pPr>
        <w:snapToGrid w:val="0"/>
        <w:spacing w:line="500" w:lineRule="exact"/>
        <w:rPr>
          <w:rFonts w:hint="eastAsia" w:ascii="宋体" w:hAnsi="宋体" w:eastAsia="宋体" w:cs="宋体"/>
          <w:b/>
          <w:bCs/>
          <w:color w:val="auto"/>
          <w:sz w:val="24"/>
        </w:rPr>
      </w:pPr>
      <w:r>
        <w:rPr>
          <w:rFonts w:hint="eastAsia" w:ascii="宋体" w:hAnsi="宋体" w:eastAsia="宋体" w:cs="宋体"/>
          <w:color w:val="auto"/>
          <w:sz w:val="24"/>
        </w:rPr>
        <w:t>法定代表人/被授权人（签字或盖章）：</w:t>
      </w:r>
    </w:p>
    <w:p w14:paraId="34D2FA96">
      <w:pPr>
        <w:snapToGrid w:val="0"/>
        <w:spacing w:line="500" w:lineRule="exact"/>
        <w:rPr>
          <w:rFonts w:hint="eastAsia" w:ascii="宋体" w:hAnsi="宋体" w:eastAsia="宋体" w:cs="宋体"/>
          <w:color w:val="auto"/>
          <w:sz w:val="24"/>
          <w:lang w:val="zh-CN"/>
        </w:rPr>
      </w:pPr>
    </w:p>
    <w:p w14:paraId="2F4D2DC6">
      <w:pPr>
        <w:snapToGrid w:val="0"/>
        <w:spacing w:line="500" w:lineRule="exact"/>
        <w:rPr>
          <w:rFonts w:hint="eastAsia" w:ascii="宋体" w:hAnsi="宋体" w:eastAsia="宋体" w:cs="宋体"/>
          <w:color w:val="auto"/>
          <w:sz w:val="24"/>
          <w:u w:val="single"/>
        </w:rPr>
      </w:pP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12011483">
      <w:pPr>
        <w:pStyle w:val="19"/>
        <w:widowControl w:val="0"/>
        <w:spacing w:beforeAutospacing="0" w:afterAutospacing="0" w:line="360" w:lineRule="auto"/>
        <w:jc w:val="both"/>
        <w:rPr>
          <w:rFonts w:hint="eastAsia" w:ascii="宋体" w:hAnsi="宋体" w:eastAsia="宋体" w:cs="宋体"/>
          <w:color w:val="auto"/>
          <w:szCs w:val="24"/>
        </w:rPr>
      </w:pPr>
      <w:r>
        <w:rPr>
          <w:rFonts w:hint="eastAsia" w:ascii="宋体" w:hAnsi="宋体" w:eastAsia="宋体" w:cs="宋体"/>
          <w:color w:val="auto"/>
          <w:kern w:val="2"/>
          <w:szCs w:val="24"/>
        </w:rPr>
        <w:t>说明：</w:t>
      </w:r>
    </w:p>
    <w:p w14:paraId="0148D79D">
      <w:pPr>
        <w:numPr>
          <w:ilvl w:val="0"/>
          <w:numId w:val="0"/>
        </w:numPr>
        <w:autoSpaceDE w:val="0"/>
        <w:autoSpaceDN w:val="0"/>
        <w:adjustRightInd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请按项目的实际技术参数，逐条对应</w:t>
      </w:r>
      <w:r>
        <w:rPr>
          <w:rFonts w:hint="eastAsia" w:ascii="宋体" w:hAnsi="宋体" w:eastAsia="宋体" w:cs="宋体"/>
          <w:b/>
          <w:color w:val="auto"/>
          <w:sz w:val="24"/>
          <w:szCs w:val="24"/>
          <w:lang w:val="en-US" w:eastAsia="zh-CN"/>
        </w:rPr>
        <w:t>磋商</w:t>
      </w:r>
      <w:r>
        <w:rPr>
          <w:rFonts w:hint="eastAsia" w:ascii="宋体" w:hAnsi="宋体" w:eastAsia="宋体" w:cs="宋体"/>
          <w:b/>
          <w:color w:val="auto"/>
          <w:sz w:val="24"/>
          <w:szCs w:val="24"/>
        </w:rPr>
        <w:t>文件的“</w:t>
      </w:r>
      <w:r>
        <w:rPr>
          <w:rFonts w:hint="eastAsia" w:ascii="宋体" w:hAnsi="宋体" w:eastAsia="宋体" w:cs="宋体"/>
          <w:b/>
          <w:color w:val="auto"/>
          <w:sz w:val="24"/>
          <w:szCs w:val="24"/>
          <w:lang w:val="en-US" w:eastAsia="zh-CN"/>
        </w:rPr>
        <w:t>磋商内容及要求</w:t>
      </w:r>
      <w:r>
        <w:rPr>
          <w:rFonts w:hint="eastAsia" w:ascii="宋体" w:hAnsi="宋体" w:eastAsia="宋体" w:cs="宋体"/>
          <w:b/>
          <w:color w:val="auto"/>
          <w:sz w:val="24"/>
          <w:szCs w:val="24"/>
        </w:rPr>
        <w:t>”，认真填写本表。偏离情况填写：优于、等于或低于，偏离说明对偏离情况做出详细说明</w:t>
      </w:r>
      <w:r>
        <w:rPr>
          <w:rFonts w:hint="eastAsia" w:ascii="宋体" w:hAnsi="宋体" w:eastAsia="宋体" w:cs="宋体"/>
          <w:b/>
          <w:color w:val="auto"/>
          <w:sz w:val="24"/>
          <w:szCs w:val="24"/>
          <w:lang w:eastAsia="zh-CN"/>
        </w:rPr>
        <w:t>。</w:t>
      </w:r>
    </w:p>
    <w:p w14:paraId="562260D0">
      <w:pPr>
        <w:pStyle w:val="4"/>
        <w:ind w:firstLine="0" w:firstLineChars="0"/>
        <w:jc w:val="center"/>
        <w:rPr>
          <w:rFonts w:hint="eastAsia" w:ascii="宋体" w:hAnsi="宋体" w:eastAsia="宋体" w:cs="宋体"/>
          <w:b/>
          <w:bCs/>
          <w:color w:val="auto"/>
          <w:kern w:val="2"/>
          <w:sz w:val="32"/>
          <w:szCs w:val="32"/>
          <w:lang w:val="en-US" w:eastAsia="zh-CN" w:bidi="ar-SA"/>
        </w:rPr>
        <w:sectPr>
          <w:pgSz w:w="11906" w:h="16838"/>
          <w:pgMar w:top="1418" w:right="1134" w:bottom="1418" w:left="1321" w:header="851" w:footer="992" w:gutter="0"/>
          <w:pgNumType w:fmt="numberInDash"/>
          <w:cols w:space="720" w:num="1"/>
          <w:docGrid w:type="lines" w:linePitch="312" w:charSpace="0"/>
        </w:sectPr>
      </w:pPr>
      <w:bookmarkStart w:id="27" w:name="_Toc23"/>
      <w:bookmarkStart w:id="28" w:name="_Toc532473510"/>
      <w:bookmarkStart w:id="29" w:name="_Toc515647821"/>
      <w:bookmarkStart w:id="30" w:name="_Toc1980"/>
    </w:p>
    <w:p w14:paraId="12D313BA">
      <w:pPr>
        <w:pStyle w:val="4"/>
        <w:ind w:firstLine="0" w:firstLineChars="0"/>
        <w:jc w:val="center"/>
        <w:rPr>
          <w:rFonts w:hint="eastAsia" w:ascii="宋体" w:hAnsi="宋体" w:eastAsia="宋体" w:cs="宋体"/>
          <w:color w:val="auto"/>
          <w:sz w:val="32"/>
          <w:szCs w:val="32"/>
          <w:lang w:val="en-US" w:eastAsia="zh-CN"/>
        </w:rPr>
      </w:pPr>
      <w:r>
        <w:rPr>
          <w:rFonts w:hint="eastAsia" w:ascii="宋体" w:hAnsi="宋体" w:eastAsia="宋体" w:cs="宋体"/>
          <w:b/>
          <w:bCs/>
          <w:color w:val="auto"/>
          <w:kern w:val="2"/>
          <w:sz w:val="32"/>
          <w:szCs w:val="32"/>
          <w:lang w:val="en-US" w:eastAsia="zh-CN" w:bidi="ar-SA"/>
        </w:rPr>
        <w:t xml:space="preserve">第5部分  </w:t>
      </w:r>
      <w:r>
        <w:rPr>
          <w:rFonts w:hint="eastAsia" w:ascii="宋体" w:hAnsi="宋体" w:eastAsia="宋体" w:cs="宋体"/>
          <w:color w:val="auto"/>
          <w:sz w:val="32"/>
          <w:szCs w:val="32"/>
          <w:lang w:val="en-US" w:eastAsia="zh-CN"/>
        </w:rPr>
        <w:t>商务及合同主要条款响应说明</w:t>
      </w:r>
    </w:p>
    <w:p w14:paraId="302471F2">
      <w:pPr>
        <w:pStyle w:val="15"/>
        <w:ind w:firstLine="264" w:firstLineChars="100"/>
        <w:rPr>
          <w:rFonts w:hint="eastAsia" w:ascii="宋体" w:hAnsi="宋体" w:cs="宋体"/>
          <w:color w:val="auto"/>
          <w:sz w:val="24"/>
          <w:lang w:val="en-US" w:eastAsia="zh-CN"/>
        </w:rPr>
      </w:pPr>
      <w:r>
        <w:rPr>
          <w:rFonts w:hint="eastAsia" w:ascii="宋体" w:hAnsi="宋体" w:eastAsia="宋体" w:cs="宋体"/>
          <w:color w:val="auto"/>
          <w:spacing w:val="12"/>
          <w:sz w:val="24"/>
          <w:szCs w:val="18"/>
        </w:rPr>
        <w:t>项目名称</w:t>
      </w:r>
      <w:r>
        <w:rPr>
          <w:rFonts w:hint="eastAsia" w:ascii="宋体" w:hAnsi="宋体" w:eastAsia="宋体" w:cs="宋体"/>
          <w:color w:val="auto"/>
          <w:spacing w:val="12"/>
          <w:sz w:val="24"/>
          <w:szCs w:val="18"/>
          <w:lang w:eastAsia="zh-CN"/>
        </w:rPr>
        <w:t>：</w:t>
      </w:r>
      <w:r>
        <w:rPr>
          <w:rFonts w:hint="eastAsia" w:ascii="宋体" w:hAnsi="宋体" w:cs="宋体"/>
          <w:color w:val="auto"/>
          <w:sz w:val="24"/>
          <w:u w:val="single"/>
          <w:lang w:val="en-US" w:eastAsia="zh-CN"/>
        </w:rPr>
        <w:t xml:space="preserve">                           </w:t>
      </w:r>
      <w:r>
        <w:rPr>
          <w:rFonts w:hint="eastAsia" w:ascii="宋体" w:hAnsi="宋体" w:cs="宋体"/>
          <w:color w:val="auto"/>
          <w:sz w:val="24"/>
          <w:lang w:val="en-US" w:eastAsia="zh-CN"/>
        </w:rPr>
        <w:t>（二标包）</w:t>
      </w:r>
    </w:p>
    <w:p w14:paraId="3705D268">
      <w:pPr>
        <w:pStyle w:val="15"/>
        <w:ind w:firstLine="264" w:firstLineChars="100"/>
        <w:rPr>
          <w:rFonts w:hint="default" w:ascii="宋体" w:hAnsi="宋体" w:eastAsia="宋体" w:cs="宋体"/>
          <w:color w:val="auto"/>
          <w:spacing w:val="12"/>
          <w:sz w:val="24"/>
          <w:szCs w:val="18"/>
          <w:lang w:val="en-US" w:eastAsia="zh-CN"/>
        </w:rPr>
      </w:pPr>
      <w:r>
        <w:rPr>
          <w:rFonts w:hint="eastAsia" w:ascii="宋体" w:hAnsi="宋体" w:eastAsia="宋体" w:cs="宋体"/>
          <w:color w:val="auto"/>
          <w:spacing w:val="12"/>
          <w:sz w:val="24"/>
          <w:szCs w:val="18"/>
          <w:lang w:eastAsia="zh-CN"/>
        </w:rPr>
        <w:t>项目编号：</w:t>
      </w:r>
      <w:r>
        <w:rPr>
          <w:rFonts w:hint="eastAsia" w:ascii="宋体" w:hAnsi="宋体" w:cs="宋体"/>
          <w:color w:val="auto"/>
          <w:sz w:val="24"/>
          <w:u w:val="single"/>
          <w:lang w:val="en-US" w:eastAsia="zh-CN"/>
        </w:rPr>
        <w:t xml:space="preserve">                           </w:t>
      </w:r>
      <w:r>
        <w:rPr>
          <w:rFonts w:hint="eastAsia" w:ascii="宋体" w:hAnsi="宋体" w:cs="宋体"/>
          <w:color w:val="auto"/>
          <w:spacing w:val="12"/>
          <w:sz w:val="24"/>
          <w:szCs w:val="18"/>
          <w:lang w:val="en-US" w:eastAsia="zh-CN"/>
        </w:rPr>
        <w:t xml:space="preserve">                    </w:t>
      </w:r>
    </w:p>
    <w:p w14:paraId="4379B8A9">
      <w:pPr>
        <w:pStyle w:val="15"/>
        <w:ind w:firstLine="264" w:firstLineChars="100"/>
        <w:rPr>
          <w:rFonts w:hint="eastAsia" w:ascii="宋体" w:hAnsi="宋体" w:eastAsia="宋体" w:cs="宋体"/>
          <w:color w:val="auto"/>
          <w:spacing w:val="12"/>
          <w:sz w:val="24"/>
          <w:szCs w:val="18"/>
          <w:lang w:eastAsia="zh-CN"/>
        </w:rPr>
      </w:pPr>
      <w:r>
        <w:rPr>
          <w:rFonts w:hint="eastAsia" w:ascii="宋体" w:hAnsi="宋体" w:eastAsia="宋体" w:cs="宋体"/>
          <w:color w:val="auto"/>
          <w:spacing w:val="12"/>
          <w:sz w:val="24"/>
          <w:szCs w:val="18"/>
        </w:rPr>
        <w:t>供应商名称</w:t>
      </w:r>
      <w:r>
        <w:rPr>
          <w:rFonts w:hint="eastAsia" w:ascii="宋体" w:hAnsi="宋体" w:eastAsia="宋体" w:cs="宋体"/>
          <w:color w:val="auto"/>
          <w:spacing w:val="12"/>
          <w:sz w:val="24"/>
          <w:szCs w:val="18"/>
          <w:lang w:eastAsia="zh-CN"/>
        </w:rPr>
        <w:t>：</w:t>
      </w:r>
      <w:r>
        <w:rPr>
          <w:rFonts w:hint="eastAsia" w:ascii="宋体" w:hAnsi="宋体" w:cs="宋体"/>
          <w:color w:val="auto"/>
          <w:sz w:val="24"/>
          <w:u w:val="single"/>
          <w:lang w:val="en-US" w:eastAsia="zh-CN"/>
        </w:rPr>
        <w:t xml:space="preserve">                         </w:t>
      </w:r>
    </w:p>
    <w:bookmarkEnd w:id="27"/>
    <w:bookmarkEnd w:id="28"/>
    <w:bookmarkEnd w:id="29"/>
    <w:bookmarkEnd w:id="30"/>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1792"/>
        <w:gridCol w:w="1628"/>
      </w:tblGrid>
      <w:tr w14:paraId="65599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32CAD3C6">
            <w:pPr>
              <w:pStyle w:val="12"/>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2040" w:type="dxa"/>
            <w:noWrap w:val="0"/>
            <w:vAlign w:val="center"/>
          </w:tcPr>
          <w:p w14:paraId="21444799">
            <w:pPr>
              <w:pStyle w:val="12"/>
              <w:jc w:val="center"/>
              <w:rPr>
                <w:rFonts w:hint="eastAsia" w:ascii="宋体" w:hAnsi="宋体" w:eastAsia="宋体" w:cs="宋体"/>
                <w:color w:val="auto"/>
                <w:sz w:val="24"/>
              </w:rPr>
            </w:pPr>
            <w:r>
              <w:rPr>
                <w:rFonts w:hint="eastAsia" w:ascii="宋体" w:hAnsi="宋体" w:eastAsia="宋体" w:cs="宋体"/>
                <w:color w:val="auto"/>
                <w:sz w:val="24"/>
              </w:rPr>
              <w:t>竞争性磋商文件商务要求</w:t>
            </w:r>
          </w:p>
        </w:tc>
        <w:tc>
          <w:tcPr>
            <w:tcW w:w="2520" w:type="dxa"/>
            <w:noWrap w:val="0"/>
            <w:vAlign w:val="center"/>
          </w:tcPr>
          <w:p w14:paraId="25B400B1">
            <w:pPr>
              <w:pStyle w:val="12"/>
              <w:jc w:val="center"/>
              <w:rPr>
                <w:rFonts w:hint="eastAsia" w:ascii="宋体" w:hAnsi="宋体" w:eastAsia="宋体" w:cs="宋体"/>
                <w:color w:val="auto"/>
                <w:sz w:val="24"/>
              </w:rPr>
            </w:pPr>
            <w:r>
              <w:rPr>
                <w:rFonts w:hint="eastAsia" w:ascii="宋体" w:hAnsi="宋体" w:eastAsia="宋体" w:cs="宋体"/>
                <w:color w:val="auto"/>
                <w:sz w:val="24"/>
                <w:lang w:val="en-US" w:eastAsia="zh-CN"/>
              </w:rPr>
              <w:t>磋商</w:t>
            </w:r>
            <w:r>
              <w:rPr>
                <w:rFonts w:hint="eastAsia" w:ascii="宋体" w:hAnsi="宋体" w:eastAsia="宋体" w:cs="宋体"/>
                <w:color w:val="auto"/>
                <w:sz w:val="24"/>
              </w:rPr>
              <w:t>响应文件</w:t>
            </w:r>
          </w:p>
          <w:p w14:paraId="266C8102">
            <w:pPr>
              <w:pStyle w:val="12"/>
              <w:jc w:val="center"/>
              <w:rPr>
                <w:rFonts w:hint="eastAsia" w:ascii="宋体" w:hAnsi="宋体" w:eastAsia="宋体" w:cs="宋体"/>
                <w:color w:val="auto"/>
                <w:sz w:val="24"/>
              </w:rPr>
            </w:pPr>
            <w:r>
              <w:rPr>
                <w:rFonts w:hint="eastAsia" w:ascii="宋体" w:hAnsi="宋体" w:eastAsia="宋体" w:cs="宋体"/>
                <w:color w:val="auto"/>
                <w:sz w:val="24"/>
              </w:rPr>
              <w:t>商务响应</w:t>
            </w:r>
          </w:p>
        </w:tc>
        <w:tc>
          <w:tcPr>
            <w:tcW w:w="1792" w:type="dxa"/>
            <w:noWrap w:val="0"/>
            <w:vAlign w:val="center"/>
          </w:tcPr>
          <w:p w14:paraId="3DC31B1D">
            <w:pPr>
              <w:pStyle w:val="12"/>
              <w:jc w:val="center"/>
              <w:rPr>
                <w:rFonts w:hint="eastAsia" w:ascii="宋体" w:hAnsi="宋体" w:eastAsia="宋体" w:cs="宋体"/>
                <w:color w:val="auto"/>
                <w:sz w:val="24"/>
              </w:rPr>
            </w:pPr>
            <w:r>
              <w:rPr>
                <w:rFonts w:hint="eastAsia" w:ascii="宋体" w:hAnsi="宋体" w:eastAsia="宋体" w:cs="宋体"/>
                <w:color w:val="auto"/>
                <w:sz w:val="24"/>
              </w:rPr>
              <w:t>偏离</w:t>
            </w:r>
          </w:p>
        </w:tc>
        <w:tc>
          <w:tcPr>
            <w:tcW w:w="1628" w:type="dxa"/>
            <w:noWrap w:val="0"/>
            <w:vAlign w:val="center"/>
          </w:tcPr>
          <w:p w14:paraId="6B2190FE">
            <w:pPr>
              <w:pStyle w:val="12"/>
              <w:jc w:val="center"/>
              <w:rPr>
                <w:rFonts w:hint="eastAsia" w:ascii="宋体" w:hAnsi="宋体" w:eastAsia="宋体" w:cs="宋体"/>
                <w:color w:val="auto"/>
                <w:sz w:val="24"/>
              </w:rPr>
            </w:pPr>
            <w:r>
              <w:rPr>
                <w:rFonts w:hint="eastAsia" w:ascii="宋体" w:hAnsi="宋体" w:eastAsia="宋体" w:cs="宋体"/>
                <w:color w:val="auto"/>
                <w:sz w:val="24"/>
              </w:rPr>
              <w:t>说明</w:t>
            </w:r>
          </w:p>
        </w:tc>
      </w:tr>
      <w:tr w14:paraId="553F7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41FB93FD">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2B7C4EAF">
            <w:pPr>
              <w:jc w:val="center"/>
              <w:rPr>
                <w:rFonts w:hint="eastAsia" w:ascii="宋体" w:hAnsi="宋体" w:eastAsia="宋体" w:cs="宋体"/>
                <w:bCs/>
                <w:color w:val="auto"/>
                <w:sz w:val="24"/>
              </w:rPr>
            </w:pPr>
          </w:p>
        </w:tc>
        <w:tc>
          <w:tcPr>
            <w:tcW w:w="2520" w:type="dxa"/>
            <w:noWrap w:val="0"/>
            <w:vAlign w:val="center"/>
          </w:tcPr>
          <w:p w14:paraId="6338447E">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78C3C966">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5B6EBD34">
            <w:pPr>
              <w:pStyle w:val="12"/>
              <w:ind w:left="1080" w:leftChars="257" w:hanging="540"/>
              <w:jc w:val="center"/>
              <w:rPr>
                <w:rFonts w:hint="eastAsia" w:ascii="宋体" w:hAnsi="宋体" w:eastAsia="宋体" w:cs="宋体"/>
                <w:color w:val="auto"/>
                <w:sz w:val="24"/>
              </w:rPr>
            </w:pPr>
          </w:p>
        </w:tc>
      </w:tr>
      <w:tr w14:paraId="7424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727B1B6F">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6B980FA3">
            <w:pPr>
              <w:jc w:val="center"/>
              <w:rPr>
                <w:rFonts w:hint="eastAsia" w:ascii="宋体" w:hAnsi="宋体" w:eastAsia="宋体" w:cs="宋体"/>
                <w:bCs/>
                <w:color w:val="auto"/>
                <w:sz w:val="24"/>
              </w:rPr>
            </w:pPr>
          </w:p>
        </w:tc>
        <w:tc>
          <w:tcPr>
            <w:tcW w:w="2520" w:type="dxa"/>
            <w:noWrap w:val="0"/>
            <w:vAlign w:val="center"/>
          </w:tcPr>
          <w:p w14:paraId="0AEA89F5">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7102C73B">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5E3DB6EB">
            <w:pPr>
              <w:pStyle w:val="12"/>
              <w:ind w:left="1080" w:leftChars="257" w:hanging="540"/>
              <w:jc w:val="center"/>
              <w:rPr>
                <w:rFonts w:hint="eastAsia" w:ascii="宋体" w:hAnsi="宋体" w:eastAsia="宋体" w:cs="宋体"/>
                <w:color w:val="auto"/>
                <w:sz w:val="24"/>
              </w:rPr>
            </w:pPr>
          </w:p>
        </w:tc>
      </w:tr>
      <w:tr w14:paraId="6FD8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65E63D6">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6C24BA29">
            <w:pPr>
              <w:jc w:val="center"/>
              <w:rPr>
                <w:rFonts w:hint="eastAsia" w:ascii="宋体" w:hAnsi="宋体" w:eastAsia="宋体" w:cs="宋体"/>
                <w:bCs/>
                <w:color w:val="auto"/>
                <w:sz w:val="24"/>
              </w:rPr>
            </w:pPr>
          </w:p>
        </w:tc>
        <w:tc>
          <w:tcPr>
            <w:tcW w:w="2520" w:type="dxa"/>
            <w:noWrap w:val="0"/>
            <w:vAlign w:val="center"/>
          </w:tcPr>
          <w:p w14:paraId="1B75F103">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22B493D0">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5A873F6E">
            <w:pPr>
              <w:pStyle w:val="12"/>
              <w:ind w:left="1080" w:leftChars="257" w:hanging="540"/>
              <w:jc w:val="center"/>
              <w:rPr>
                <w:rFonts w:hint="eastAsia" w:ascii="宋体" w:hAnsi="宋体" w:eastAsia="宋体" w:cs="宋体"/>
                <w:color w:val="auto"/>
                <w:sz w:val="24"/>
              </w:rPr>
            </w:pPr>
          </w:p>
        </w:tc>
      </w:tr>
      <w:tr w14:paraId="0CD7A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768F6428">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089EBEB4">
            <w:pPr>
              <w:jc w:val="center"/>
              <w:rPr>
                <w:rFonts w:hint="eastAsia" w:ascii="宋体" w:hAnsi="宋体" w:eastAsia="宋体" w:cs="宋体"/>
                <w:bCs/>
                <w:color w:val="auto"/>
                <w:sz w:val="24"/>
              </w:rPr>
            </w:pPr>
          </w:p>
        </w:tc>
        <w:tc>
          <w:tcPr>
            <w:tcW w:w="2520" w:type="dxa"/>
            <w:noWrap w:val="0"/>
            <w:vAlign w:val="center"/>
          </w:tcPr>
          <w:p w14:paraId="19C18A8C">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40A03757">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5EF87CFD">
            <w:pPr>
              <w:pStyle w:val="12"/>
              <w:ind w:left="1080" w:leftChars="257" w:hanging="540"/>
              <w:jc w:val="center"/>
              <w:rPr>
                <w:rFonts w:hint="eastAsia" w:ascii="宋体" w:hAnsi="宋体" w:eastAsia="宋体" w:cs="宋体"/>
                <w:color w:val="auto"/>
                <w:sz w:val="24"/>
              </w:rPr>
            </w:pPr>
          </w:p>
        </w:tc>
      </w:tr>
      <w:tr w14:paraId="7CAC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54B3C835">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3F168DD2">
            <w:pPr>
              <w:jc w:val="center"/>
              <w:rPr>
                <w:rFonts w:hint="eastAsia" w:ascii="宋体" w:hAnsi="宋体" w:eastAsia="宋体" w:cs="宋体"/>
                <w:bCs/>
                <w:color w:val="auto"/>
                <w:sz w:val="24"/>
              </w:rPr>
            </w:pPr>
          </w:p>
        </w:tc>
        <w:tc>
          <w:tcPr>
            <w:tcW w:w="2520" w:type="dxa"/>
            <w:noWrap w:val="0"/>
            <w:vAlign w:val="center"/>
          </w:tcPr>
          <w:p w14:paraId="17766B7F">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38E7CC9B">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207548E9">
            <w:pPr>
              <w:pStyle w:val="12"/>
              <w:ind w:left="1080" w:leftChars="257" w:hanging="540"/>
              <w:jc w:val="center"/>
              <w:rPr>
                <w:rFonts w:hint="eastAsia" w:ascii="宋体" w:hAnsi="宋体" w:eastAsia="宋体" w:cs="宋体"/>
                <w:color w:val="auto"/>
                <w:sz w:val="24"/>
              </w:rPr>
            </w:pPr>
          </w:p>
        </w:tc>
      </w:tr>
      <w:tr w14:paraId="25D27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74620FF">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181B0B9E">
            <w:pPr>
              <w:jc w:val="center"/>
              <w:rPr>
                <w:rFonts w:hint="eastAsia" w:ascii="宋体" w:hAnsi="宋体" w:eastAsia="宋体" w:cs="宋体"/>
                <w:bCs/>
                <w:color w:val="auto"/>
                <w:sz w:val="24"/>
              </w:rPr>
            </w:pPr>
          </w:p>
        </w:tc>
        <w:tc>
          <w:tcPr>
            <w:tcW w:w="2520" w:type="dxa"/>
            <w:noWrap w:val="0"/>
            <w:vAlign w:val="center"/>
          </w:tcPr>
          <w:p w14:paraId="5F3D8925">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5D3A3D86">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29B6B065">
            <w:pPr>
              <w:pStyle w:val="12"/>
              <w:ind w:left="1080" w:leftChars="257" w:hanging="540"/>
              <w:jc w:val="center"/>
              <w:rPr>
                <w:rFonts w:hint="eastAsia" w:ascii="宋体" w:hAnsi="宋体" w:eastAsia="宋体" w:cs="宋体"/>
                <w:color w:val="auto"/>
                <w:sz w:val="24"/>
              </w:rPr>
            </w:pPr>
          </w:p>
        </w:tc>
      </w:tr>
      <w:tr w14:paraId="1BE2A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4D7A94AE">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0989E91D">
            <w:pPr>
              <w:jc w:val="center"/>
              <w:rPr>
                <w:rFonts w:hint="eastAsia" w:ascii="宋体" w:hAnsi="宋体" w:eastAsia="宋体" w:cs="宋体"/>
                <w:bCs/>
                <w:color w:val="auto"/>
                <w:sz w:val="24"/>
              </w:rPr>
            </w:pPr>
          </w:p>
        </w:tc>
        <w:tc>
          <w:tcPr>
            <w:tcW w:w="2520" w:type="dxa"/>
            <w:noWrap w:val="0"/>
            <w:vAlign w:val="center"/>
          </w:tcPr>
          <w:p w14:paraId="13D53598">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679ED763">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09A565C2">
            <w:pPr>
              <w:pStyle w:val="12"/>
              <w:ind w:left="1080" w:leftChars="257" w:hanging="540"/>
              <w:jc w:val="center"/>
              <w:rPr>
                <w:rFonts w:hint="eastAsia" w:ascii="宋体" w:hAnsi="宋体" w:eastAsia="宋体" w:cs="宋体"/>
                <w:color w:val="auto"/>
                <w:sz w:val="24"/>
              </w:rPr>
            </w:pPr>
          </w:p>
        </w:tc>
      </w:tr>
      <w:tr w14:paraId="654A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26DC605E">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2FC33BCE">
            <w:pPr>
              <w:pStyle w:val="12"/>
              <w:ind w:left="1080" w:leftChars="257" w:hanging="540"/>
              <w:jc w:val="center"/>
              <w:rPr>
                <w:rFonts w:hint="eastAsia" w:ascii="宋体" w:hAnsi="宋体" w:eastAsia="宋体" w:cs="宋体"/>
                <w:color w:val="auto"/>
                <w:sz w:val="24"/>
              </w:rPr>
            </w:pPr>
          </w:p>
        </w:tc>
        <w:tc>
          <w:tcPr>
            <w:tcW w:w="2520" w:type="dxa"/>
            <w:noWrap w:val="0"/>
            <w:vAlign w:val="center"/>
          </w:tcPr>
          <w:p w14:paraId="4BEF84E7">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306C80E8">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3B128564">
            <w:pPr>
              <w:pStyle w:val="12"/>
              <w:ind w:left="1080" w:leftChars="257" w:hanging="540"/>
              <w:jc w:val="center"/>
              <w:rPr>
                <w:rFonts w:hint="eastAsia" w:ascii="宋体" w:hAnsi="宋体" w:eastAsia="宋体" w:cs="宋体"/>
                <w:color w:val="auto"/>
                <w:sz w:val="24"/>
              </w:rPr>
            </w:pPr>
          </w:p>
        </w:tc>
      </w:tr>
      <w:tr w14:paraId="4C34A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9235CFC">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435C2F2B">
            <w:pPr>
              <w:pStyle w:val="12"/>
              <w:ind w:left="1080" w:leftChars="257" w:hanging="540"/>
              <w:jc w:val="center"/>
              <w:rPr>
                <w:rFonts w:hint="eastAsia" w:ascii="宋体" w:hAnsi="宋体" w:eastAsia="宋体" w:cs="宋体"/>
                <w:color w:val="auto"/>
                <w:sz w:val="24"/>
              </w:rPr>
            </w:pPr>
          </w:p>
        </w:tc>
        <w:tc>
          <w:tcPr>
            <w:tcW w:w="2520" w:type="dxa"/>
            <w:noWrap w:val="0"/>
            <w:vAlign w:val="center"/>
          </w:tcPr>
          <w:p w14:paraId="5A1422D0">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7BFC7A03">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12404577">
            <w:pPr>
              <w:pStyle w:val="12"/>
              <w:ind w:left="1080" w:leftChars="257" w:hanging="540"/>
              <w:jc w:val="center"/>
              <w:rPr>
                <w:rFonts w:hint="eastAsia" w:ascii="宋体" w:hAnsi="宋体" w:eastAsia="宋体" w:cs="宋体"/>
                <w:color w:val="auto"/>
                <w:sz w:val="24"/>
              </w:rPr>
            </w:pPr>
          </w:p>
        </w:tc>
      </w:tr>
      <w:tr w14:paraId="1C02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47B8088">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1BA55EDD">
            <w:pPr>
              <w:pStyle w:val="12"/>
              <w:ind w:left="1080" w:leftChars="257" w:hanging="540"/>
              <w:jc w:val="center"/>
              <w:rPr>
                <w:rFonts w:hint="eastAsia" w:ascii="宋体" w:hAnsi="宋体" w:eastAsia="宋体" w:cs="宋体"/>
                <w:color w:val="auto"/>
                <w:sz w:val="24"/>
              </w:rPr>
            </w:pPr>
          </w:p>
        </w:tc>
        <w:tc>
          <w:tcPr>
            <w:tcW w:w="2520" w:type="dxa"/>
            <w:noWrap w:val="0"/>
            <w:vAlign w:val="center"/>
          </w:tcPr>
          <w:p w14:paraId="687B0529">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7826922E">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20C6248D">
            <w:pPr>
              <w:pStyle w:val="12"/>
              <w:ind w:left="1080" w:leftChars="257" w:hanging="540"/>
              <w:jc w:val="center"/>
              <w:rPr>
                <w:rFonts w:hint="eastAsia" w:ascii="宋体" w:hAnsi="宋体" w:eastAsia="宋体" w:cs="宋体"/>
                <w:color w:val="auto"/>
                <w:sz w:val="24"/>
              </w:rPr>
            </w:pPr>
          </w:p>
        </w:tc>
      </w:tr>
      <w:tr w14:paraId="5A1A2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C57FEE4">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3D864A25">
            <w:pPr>
              <w:pStyle w:val="12"/>
              <w:ind w:left="1080" w:leftChars="257" w:hanging="540"/>
              <w:jc w:val="center"/>
              <w:rPr>
                <w:rFonts w:hint="eastAsia" w:ascii="宋体" w:hAnsi="宋体" w:eastAsia="宋体" w:cs="宋体"/>
                <w:color w:val="auto"/>
                <w:sz w:val="24"/>
              </w:rPr>
            </w:pPr>
          </w:p>
        </w:tc>
        <w:tc>
          <w:tcPr>
            <w:tcW w:w="2520" w:type="dxa"/>
            <w:noWrap w:val="0"/>
            <w:vAlign w:val="center"/>
          </w:tcPr>
          <w:p w14:paraId="11F2A218">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0B493F5A">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2F98D1B5">
            <w:pPr>
              <w:pStyle w:val="12"/>
              <w:ind w:left="1080" w:leftChars="257" w:hanging="540"/>
              <w:jc w:val="center"/>
              <w:rPr>
                <w:rFonts w:hint="eastAsia" w:ascii="宋体" w:hAnsi="宋体" w:eastAsia="宋体" w:cs="宋体"/>
                <w:color w:val="auto"/>
                <w:sz w:val="24"/>
              </w:rPr>
            </w:pPr>
          </w:p>
        </w:tc>
      </w:tr>
      <w:tr w14:paraId="6AD7F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603B7436">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6670E80D">
            <w:pPr>
              <w:pStyle w:val="12"/>
              <w:ind w:left="1080" w:leftChars="257" w:hanging="540"/>
              <w:jc w:val="center"/>
              <w:rPr>
                <w:rFonts w:hint="eastAsia" w:ascii="宋体" w:hAnsi="宋体" w:eastAsia="宋体" w:cs="宋体"/>
                <w:color w:val="auto"/>
                <w:sz w:val="24"/>
              </w:rPr>
            </w:pPr>
          </w:p>
        </w:tc>
        <w:tc>
          <w:tcPr>
            <w:tcW w:w="2520" w:type="dxa"/>
            <w:noWrap w:val="0"/>
            <w:vAlign w:val="center"/>
          </w:tcPr>
          <w:p w14:paraId="5164AF94">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69DBFF45">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78A946CD">
            <w:pPr>
              <w:pStyle w:val="12"/>
              <w:ind w:left="1080" w:leftChars="257" w:hanging="540"/>
              <w:jc w:val="center"/>
              <w:rPr>
                <w:rFonts w:hint="eastAsia" w:ascii="宋体" w:hAnsi="宋体" w:eastAsia="宋体" w:cs="宋体"/>
                <w:color w:val="auto"/>
                <w:sz w:val="24"/>
              </w:rPr>
            </w:pPr>
          </w:p>
        </w:tc>
      </w:tr>
      <w:tr w14:paraId="692F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243DB15E">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190E7A08">
            <w:pPr>
              <w:pStyle w:val="12"/>
              <w:ind w:left="1080" w:leftChars="257" w:hanging="540"/>
              <w:jc w:val="center"/>
              <w:rPr>
                <w:rFonts w:hint="eastAsia" w:ascii="宋体" w:hAnsi="宋体" w:eastAsia="宋体" w:cs="宋体"/>
                <w:color w:val="auto"/>
                <w:sz w:val="24"/>
              </w:rPr>
            </w:pPr>
          </w:p>
        </w:tc>
        <w:tc>
          <w:tcPr>
            <w:tcW w:w="2520" w:type="dxa"/>
            <w:noWrap w:val="0"/>
            <w:vAlign w:val="center"/>
          </w:tcPr>
          <w:p w14:paraId="10FF0069">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3AC749B4">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4C05E530">
            <w:pPr>
              <w:pStyle w:val="12"/>
              <w:ind w:left="1080" w:leftChars="257" w:hanging="540"/>
              <w:jc w:val="center"/>
              <w:rPr>
                <w:rFonts w:hint="eastAsia" w:ascii="宋体" w:hAnsi="宋体" w:eastAsia="宋体" w:cs="宋体"/>
                <w:color w:val="auto"/>
                <w:sz w:val="24"/>
              </w:rPr>
            </w:pPr>
          </w:p>
        </w:tc>
      </w:tr>
      <w:tr w14:paraId="411AC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14:paraId="7FAAEEF5">
            <w:pPr>
              <w:pStyle w:val="12"/>
              <w:ind w:left="1080" w:leftChars="257" w:hanging="540"/>
              <w:jc w:val="center"/>
              <w:rPr>
                <w:rFonts w:hint="eastAsia" w:ascii="宋体" w:hAnsi="宋体" w:eastAsia="宋体" w:cs="宋体"/>
                <w:color w:val="auto"/>
                <w:sz w:val="24"/>
              </w:rPr>
            </w:pPr>
          </w:p>
        </w:tc>
        <w:tc>
          <w:tcPr>
            <w:tcW w:w="2040" w:type="dxa"/>
            <w:noWrap w:val="0"/>
            <w:vAlign w:val="center"/>
          </w:tcPr>
          <w:p w14:paraId="005D23B0">
            <w:pPr>
              <w:pStyle w:val="12"/>
              <w:ind w:left="1080" w:leftChars="257" w:hanging="540"/>
              <w:jc w:val="center"/>
              <w:rPr>
                <w:rFonts w:hint="eastAsia" w:ascii="宋体" w:hAnsi="宋体" w:eastAsia="宋体" w:cs="宋体"/>
                <w:color w:val="auto"/>
                <w:sz w:val="24"/>
              </w:rPr>
            </w:pPr>
          </w:p>
        </w:tc>
        <w:tc>
          <w:tcPr>
            <w:tcW w:w="2520" w:type="dxa"/>
            <w:noWrap w:val="0"/>
            <w:vAlign w:val="center"/>
          </w:tcPr>
          <w:p w14:paraId="13254761">
            <w:pPr>
              <w:pStyle w:val="12"/>
              <w:ind w:left="1080" w:leftChars="257" w:hanging="540"/>
              <w:jc w:val="center"/>
              <w:rPr>
                <w:rFonts w:hint="eastAsia" w:ascii="宋体" w:hAnsi="宋体" w:eastAsia="宋体" w:cs="宋体"/>
                <w:color w:val="auto"/>
                <w:sz w:val="24"/>
              </w:rPr>
            </w:pPr>
          </w:p>
        </w:tc>
        <w:tc>
          <w:tcPr>
            <w:tcW w:w="1792" w:type="dxa"/>
            <w:noWrap w:val="0"/>
            <w:vAlign w:val="center"/>
          </w:tcPr>
          <w:p w14:paraId="4829DB14">
            <w:pPr>
              <w:pStyle w:val="12"/>
              <w:ind w:left="1080" w:leftChars="257" w:hanging="540"/>
              <w:jc w:val="center"/>
              <w:rPr>
                <w:rFonts w:hint="eastAsia" w:ascii="宋体" w:hAnsi="宋体" w:eastAsia="宋体" w:cs="宋体"/>
                <w:color w:val="auto"/>
                <w:sz w:val="24"/>
              </w:rPr>
            </w:pPr>
          </w:p>
        </w:tc>
        <w:tc>
          <w:tcPr>
            <w:tcW w:w="1628" w:type="dxa"/>
            <w:noWrap w:val="0"/>
            <w:vAlign w:val="center"/>
          </w:tcPr>
          <w:p w14:paraId="37B3B335">
            <w:pPr>
              <w:pStyle w:val="12"/>
              <w:ind w:left="1080" w:leftChars="257" w:hanging="540"/>
              <w:jc w:val="center"/>
              <w:rPr>
                <w:rFonts w:hint="eastAsia" w:ascii="宋体" w:hAnsi="宋体" w:eastAsia="宋体" w:cs="宋体"/>
                <w:color w:val="auto"/>
                <w:sz w:val="24"/>
              </w:rPr>
            </w:pPr>
          </w:p>
        </w:tc>
      </w:tr>
    </w:tbl>
    <w:p w14:paraId="2DA65F59">
      <w:pPr>
        <w:spacing w:line="480" w:lineRule="auto"/>
        <w:rPr>
          <w:rFonts w:hint="eastAsia" w:ascii="宋体" w:hAnsi="宋体" w:eastAsia="宋体" w:cs="宋体"/>
          <w:color w:val="auto"/>
          <w:szCs w:val="21"/>
        </w:rPr>
      </w:pPr>
      <w:r>
        <w:rPr>
          <w:rFonts w:hint="eastAsia" w:ascii="宋体" w:hAnsi="宋体" w:eastAsia="宋体" w:cs="宋体"/>
          <w:color w:val="auto"/>
          <w:szCs w:val="21"/>
        </w:rPr>
        <w:t>注：</w:t>
      </w:r>
    </w:p>
    <w:p w14:paraId="4712FE1C">
      <w:pPr>
        <w:numPr>
          <w:ilvl w:val="0"/>
          <w:numId w:val="0"/>
        </w:numPr>
        <w:autoSpaceDE w:val="0"/>
        <w:autoSpaceDN w:val="0"/>
        <w:adjustRightInd w:val="0"/>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响应</w:t>
      </w:r>
      <w:r>
        <w:rPr>
          <w:rFonts w:hint="eastAsia" w:ascii="宋体" w:hAnsi="宋体" w:eastAsia="宋体" w:cs="宋体"/>
          <w:b/>
          <w:color w:val="auto"/>
          <w:sz w:val="24"/>
          <w:szCs w:val="24"/>
        </w:rPr>
        <w:t>文件根据第四部分商务及合同主要条款须逐条响应并如实填写。偏离情况填写：优于、等于或低于，偏离说明对偏离情况做出详细说明</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如不填写</w:t>
      </w:r>
      <w:r>
        <w:rPr>
          <w:rFonts w:hint="eastAsia" w:ascii="宋体" w:hAnsi="宋体" w:cs="宋体"/>
          <w:b/>
          <w:color w:val="auto"/>
          <w:sz w:val="24"/>
          <w:szCs w:val="24"/>
          <w:lang w:val="en-US" w:eastAsia="zh-CN"/>
        </w:rPr>
        <w:t>此表</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其他所有</w:t>
      </w:r>
      <w:r>
        <w:rPr>
          <w:rFonts w:hint="eastAsia" w:ascii="宋体" w:hAnsi="宋体" w:eastAsia="宋体" w:cs="宋体"/>
          <w:b/>
          <w:color w:val="auto"/>
          <w:sz w:val="24"/>
          <w:szCs w:val="24"/>
          <w:lang w:val="en-US" w:eastAsia="zh-CN"/>
        </w:rPr>
        <w:t>商务及合同主要条款</w:t>
      </w:r>
      <w:r>
        <w:rPr>
          <w:rFonts w:hint="eastAsia" w:ascii="宋体" w:hAnsi="宋体" w:eastAsia="宋体" w:cs="宋体"/>
          <w:b/>
          <w:color w:val="auto"/>
          <w:sz w:val="24"/>
          <w:szCs w:val="24"/>
        </w:rPr>
        <w:t>视为全部响应。</w:t>
      </w:r>
    </w:p>
    <w:p w14:paraId="03915570">
      <w:pPr>
        <w:snapToGrid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供应商（公章）：                    </w:t>
      </w:r>
    </w:p>
    <w:p w14:paraId="6F2C9D96">
      <w:pPr>
        <w:snapToGrid w:val="0"/>
        <w:spacing w:line="500" w:lineRule="exact"/>
        <w:rPr>
          <w:rFonts w:hint="eastAsia" w:ascii="宋体" w:hAnsi="宋体" w:eastAsia="宋体" w:cs="宋体"/>
          <w:b/>
          <w:bCs/>
          <w:color w:val="auto"/>
          <w:sz w:val="24"/>
        </w:rPr>
      </w:pPr>
      <w:r>
        <w:rPr>
          <w:rFonts w:hint="eastAsia" w:ascii="宋体" w:hAnsi="宋体" w:eastAsia="宋体" w:cs="宋体"/>
          <w:color w:val="auto"/>
          <w:sz w:val="24"/>
        </w:rPr>
        <w:t>法定代表人/被授权人（签字或盖章）：</w:t>
      </w:r>
    </w:p>
    <w:p w14:paraId="35275639">
      <w:pPr>
        <w:snapToGrid w:val="0"/>
        <w:spacing w:line="500" w:lineRule="exact"/>
        <w:rPr>
          <w:rFonts w:hint="eastAsia" w:ascii="宋体" w:hAnsi="宋体" w:eastAsia="宋体" w:cs="宋体"/>
          <w:b/>
          <w:bCs/>
          <w:color w:val="auto"/>
          <w:sz w:val="24"/>
        </w:rPr>
      </w:pP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7F01974C">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 </w:t>
      </w:r>
    </w:p>
    <w:p w14:paraId="1E65E9D5">
      <w:pPr>
        <w:overflowPunct w:val="0"/>
        <w:topLinePunct/>
        <w:snapToGrid w:val="0"/>
        <w:spacing w:line="360" w:lineRule="auto"/>
        <w:jc w:val="center"/>
        <w:rPr>
          <w:rFonts w:hint="eastAsia" w:ascii="宋体" w:hAnsi="宋体" w:eastAsia="宋体" w:cs="宋体"/>
          <w:color w:val="auto"/>
          <w:sz w:val="24"/>
          <w:lang w:val="en-US" w:eastAsia="zh-CN"/>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6</w:t>
      </w:r>
      <w:r>
        <w:rPr>
          <w:rFonts w:hint="eastAsia" w:ascii="宋体" w:hAnsi="宋体" w:eastAsia="宋体" w:cs="宋体"/>
          <w:b/>
          <w:color w:val="auto"/>
          <w:sz w:val="32"/>
          <w:szCs w:val="32"/>
        </w:rPr>
        <w:t>部分   供应商资质证明文件</w:t>
      </w:r>
    </w:p>
    <w:p w14:paraId="31524F01">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cs="宋体"/>
          <w:sz w:val="24"/>
        </w:rPr>
      </w:pPr>
      <w:r>
        <w:rPr>
          <w:rFonts w:hint="eastAsia" w:ascii="宋体" w:hAnsi="宋体" w:eastAsia="宋体" w:cs="宋体"/>
          <w:bCs/>
          <w:sz w:val="24"/>
          <w:szCs w:val="24"/>
          <w:highlight w:val="none"/>
          <w:lang w:val="en-US" w:eastAsia="zh-CN"/>
        </w:rPr>
        <w:t xml:space="preserve">   </w:t>
      </w:r>
      <w:r>
        <w:rPr>
          <w:rFonts w:hint="eastAsia" w:ascii="宋体" w:hAnsi="宋体" w:cs="宋体"/>
          <w:bCs/>
          <w:sz w:val="24"/>
          <w:szCs w:val="24"/>
          <w:highlight w:val="none"/>
          <w:lang w:val="en-US" w:eastAsia="zh-CN"/>
        </w:rPr>
        <w:t>（1）</w:t>
      </w:r>
      <w:r>
        <w:rPr>
          <w:rFonts w:hint="eastAsia" w:ascii="宋体" w:hAnsi="宋体" w:cs="宋体"/>
          <w:sz w:val="24"/>
        </w:rPr>
        <w:t>具有独立承担民事责任能力的法人或其他组织，提供合法有效的统一社会信用代码的营业执照（附年度报告书）或事业单位法人证书等国家规定的相关证明，自然人参与的提供其身份证明；</w:t>
      </w:r>
    </w:p>
    <w:p w14:paraId="51E89E9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rPr>
      </w:pPr>
      <w:r>
        <w:rPr>
          <w:rFonts w:hint="eastAsia" w:ascii="宋体" w:hAnsi="宋体" w:cs="宋体"/>
          <w:sz w:val="24"/>
          <w:lang w:val="en-US" w:eastAsia="zh-CN"/>
        </w:rPr>
        <w:t>（2）法定代表人授权书（委托代理人参加须提供法定代表人授权书、法定代表人身份证复印件及被授权人身份证）或法定代表人身份证明（法定代表人直接参加只须提供本人身份证）</w:t>
      </w:r>
      <w:r>
        <w:rPr>
          <w:rFonts w:hint="eastAsia" w:ascii="宋体" w:hAnsi="宋体" w:cs="宋体"/>
          <w:sz w:val="24"/>
        </w:rPr>
        <w:t>；</w:t>
      </w:r>
    </w:p>
    <w:p w14:paraId="3279888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lang w:eastAsia="zh-CN"/>
        </w:rPr>
      </w:pPr>
      <w:r>
        <w:rPr>
          <w:rFonts w:hint="eastAsia" w:ascii="宋体" w:hAnsi="宋体" w:cs="宋体"/>
          <w:sz w:val="24"/>
          <w:lang w:val="en-US" w:eastAsia="zh-CN"/>
        </w:rPr>
        <w:t>（3）供应商</w:t>
      </w:r>
      <w:r>
        <w:rPr>
          <w:rFonts w:hint="eastAsia" w:ascii="宋体" w:hAnsi="宋体" w:cs="宋体"/>
          <w:sz w:val="24"/>
          <w:lang w:eastAsia="zh-CN"/>
        </w:rPr>
        <w:t>需提供财务状况、缴纳税收和社保缴纳三项符合要求的承诺函（无需另行提供证明文件）；</w:t>
      </w:r>
    </w:p>
    <w:p w14:paraId="7301D71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lang w:val="en-US" w:eastAsia="zh-CN"/>
        </w:rPr>
      </w:pPr>
      <w:r>
        <w:rPr>
          <w:rFonts w:hint="eastAsia" w:ascii="宋体" w:hAnsi="宋体" w:cs="宋体"/>
          <w:sz w:val="24"/>
          <w:lang w:val="en-US" w:eastAsia="zh-CN"/>
        </w:rPr>
        <w:t>（4）供应商应出具参加政府采购活动前3年内在经营活动中没有重大违法记录的书面声明；</w:t>
      </w:r>
    </w:p>
    <w:p w14:paraId="5D13494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5</w:t>
      </w:r>
      <w:r>
        <w:rPr>
          <w:rFonts w:hint="eastAsia" w:ascii="宋体" w:hAnsi="宋体" w:cs="宋体"/>
          <w:sz w:val="24"/>
          <w:lang w:eastAsia="zh-CN"/>
        </w:rPr>
        <w:t>）</w:t>
      </w:r>
      <w:r>
        <w:rPr>
          <w:rFonts w:hint="eastAsia" w:ascii="宋体" w:hAnsi="宋体" w:cs="宋体"/>
          <w:sz w:val="24"/>
        </w:rPr>
        <w:t>信用记录：提供《</w:t>
      </w:r>
      <w:r>
        <w:rPr>
          <w:rFonts w:hint="eastAsia" w:ascii="宋体" w:hAnsi="宋体" w:cs="宋体"/>
          <w:sz w:val="24"/>
          <w:lang w:val="en-US" w:eastAsia="zh-CN"/>
        </w:rPr>
        <w:t>供应商</w:t>
      </w:r>
      <w:r>
        <w:rPr>
          <w:rFonts w:hint="eastAsia" w:ascii="宋体" w:hAnsi="宋体" w:cs="宋体"/>
          <w:sz w:val="24"/>
        </w:rPr>
        <w:t>信用记录书面声明函》（按格式填写）经查，投标人未被列入“信用中国”网站记录的“严重失信主体”或“重大税收违法失信主体”名单；不处于“中国政府采购网”记录的“政府采购严重违法失信行为信息记录名单”中的禁止参加政府采购活动期间；</w:t>
      </w:r>
    </w:p>
    <w:p w14:paraId="7E58693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rPr>
      </w:pPr>
      <w:r>
        <w:rPr>
          <w:rFonts w:hint="eastAsia" w:ascii="宋体" w:hAnsi="宋体" w:cs="宋体"/>
          <w:sz w:val="24"/>
          <w:lang w:val="en-US" w:eastAsia="zh-CN"/>
        </w:rPr>
        <w:t>（6）本项目专门面向中小企业采购，供应商需提供《中小企业声明函》</w:t>
      </w:r>
      <w:r>
        <w:rPr>
          <w:rFonts w:hint="eastAsia" w:ascii="宋体" w:hAnsi="宋体" w:cs="宋体"/>
          <w:sz w:val="24"/>
        </w:rPr>
        <w:t>；</w:t>
      </w:r>
    </w:p>
    <w:p w14:paraId="16169AA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7</w:t>
      </w:r>
      <w:r>
        <w:rPr>
          <w:rFonts w:hint="eastAsia" w:ascii="宋体" w:hAnsi="宋体" w:cs="宋体"/>
          <w:sz w:val="24"/>
          <w:lang w:eastAsia="zh-CN"/>
        </w:rPr>
        <w:t>）</w:t>
      </w:r>
      <w:r>
        <w:rPr>
          <w:rFonts w:hint="eastAsia" w:ascii="宋体" w:hAnsi="宋体" w:cs="宋体"/>
          <w:sz w:val="24"/>
        </w:rPr>
        <w:t>单位负责人为同一人或者存在直接控股、管理关系的不同</w:t>
      </w:r>
      <w:r>
        <w:rPr>
          <w:rFonts w:hint="eastAsia" w:ascii="宋体" w:hAnsi="宋体" w:cs="宋体"/>
          <w:sz w:val="24"/>
          <w:lang w:val="en-US" w:eastAsia="zh-CN"/>
        </w:rPr>
        <w:t>投标人</w:t>
      </w:r>
      <w:r>
        <w:rPr>
          <w:rFonts w:hint="eastAsia" w:ascii="宋体" w:hAnsi="宋体" w:cs="宋体"/>
          <w:sz w:val="24"/>
        </w:rPr>
        <w:t>，不得参加同一合同项下的政府采购活动</w:t>
      </w:r>
      <w:r>
        <w:rPr>
          <w:rFonts w:hint="eastAsia" w:ascii="宋体" w:hAnsi="宋体" w:cs="宋体"/>
          <w:sz w:val="24"/>
          <w:lang w:eastAsia="zh-CN"/>
        </w:rPr>
        <w:t>；</w:t>
      </w:r>
    </w:p>
    <w:p w14:paraId="7092381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240" w:firstLineChars="100"/>
        <w:textAlignment w:val="auto"/>
        <w:rPr>
          <w:rFonts w:hint="eastAsia" w:ascii="宋体" w:hAnsi="宋体" w:cs="宋体"/>
          <w:sz w:val="24"/>
        </w:rPr>
      </w:pPr>
      <w:r>
        <w:rPr>
          <w:rFonts w:hint="eastAsia" w:ascii="宋体" w:hAnsi="宋体" w:cs="宋体"/>
          <w:sz w:val="24"/>
          <w:lang w:val="en-US" w:eastAsia="zh-CN"/>
        </w:rPr>
        <w:t>（8）</w:t>
      </w:r>
      <w:r>
        <w:rPr>
          <w:rFonts w:hint="eastAsia" w:ascii="宋体" w:hAnsi="宋体" w:cs="宋体"/>
          <w:sz w:val="24"/>
        </w:rPr>
        <w:t>本项目不接受联合体</w:t>
      </w:r>
      <w:r>
        <w:rPr>
          <w:rFonts w:hint="eastAsia" w:ascii="宋体" w:hAnsi="宋体" w:cs="宋体"/>
          <w:sz w:val="24"/>
          <w:lang w:val="en-US" w:eastAsia="zh-CN"/>
        </w:rPr>
        <w:t>磋商</w:t>
      </w:r>
      <w:r>
        <w:rPr>
          <w:rFonts w:hint="eastAsia" w:ascii="宋体" w:hAnsi="宋体" w:cs="宋体"/>
          <w:sz w:val="24"/>
        </w:rPr>
        <w:t>。</w:t>
      </w:r>
    </w:p>
    <w:p w14:paraId="11F88216">
      <w:pPr>
        <w:numPr>
          <w:ilvl w:val="0"/>
          <w:numId w:val="0"/>
        </w:numPr>
        <w:ind w:firstLine="321" w:firstLineChars="100"/>
        <w:jc w:val="both"/>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br w:type="page"/>
      </w:r>
      <w:r>
        <w:rPr>
          <w:rFonts w:hint="eastAsia" w:ascii="宋体" w:hAnsi="宋体" w:eastAsia="宋体" w:cs="宋体"/>
          <w:b/>
          <w:color w:val="auto"/>
          <w:sz w:val="24"/>
          <w:szCs w:val="24"/>
          <w:lang w:val="en-US" w:eastAsia="zh-CN"/>
        </w:rPr>
        <w:t>附件1：</w:t>
      </w:r>
    </w:p>
    <w:p w14:paraId="4646582B">
      <w:pPr>
        <w:pStyle w:val="55"/>
        <w:ind w:firstLine="607"/>
        <w:jc w:val="center"/>
        <w:outlineLvl w:val="9"/>
        <w:rPr>
          <w:rFonts w:hint="eastAsia" w:ascii="宋体" w:hAnsi="宋体" w:eastAsia="宋体" w:cs="宋体"/>
          <w:color w:val="000000"/>
          <w:sz w:val="24"/>
          <w:szCs w:val="40"/>
        </w:rPr>
      </w:pPr>
      <w:r>
        <w:rPr>
          <w:rFonts w:hint="eastAsia" w:ascii="宋体" w:hAnsi="宋体" w:eastAsia="宋体" w:cs="宋体"/>
          <w:color w:val="000000"/>
          <w:sz w:val="24"/>
          <w:szCs w:val="40"/>
        </w:rPr>
        <w:t>供应</w:t>
      </w:r>
      <w:r>
        <w:rPr>
          <w:rFonts w:hint="eastAsia" w:ascii="宋体" w:hAnsi="宋体" w:eastAsia="宋体" w:cs="宋体"/>
          <w:sz w:val="24"/>
          <w:szCs w:val="40"/>
        </w:rPr>
        <w:t>商信用记录书面声明函</w:t>
      </w:r>
      <w:r>
        <w:rPr>
          <w:rFonts w:hint="eastAsia" w:ascii="宋体" w:hAnsi="宋体" w:eastAsia="宋体" w:cs="宋体"/>
          <w:sz w:val="24"/>
          <w:szCs w:val="36"/>
        </w:rPr>
        <w:t>（格式）</w:t>
      </w:r>
    </w:p>
    <w:p w14:paraId="5DDA5E1C">
      <w:pPr>
        <w:spacing w:line="500" w:lineRule="exact"/>
        <w:rPr>
          <w:rFonts w:hint="eastAsia" w:ascii="宋体" w:hAnsi="宋体" w:eastAsia="宋体" w:cs="宋体"/>
          <w:color w:val="000000"/>
          <w:sz w:val="24"/>
          <w:szCs w:val="32"/>
        </w:rPr>
      </w:pPr>
      <w:r>
        <w:rPr>
          <w:rFonts w:hint="eastAsia" w:ascii="宋体" w:hAnsi="宋体" w:eastAsia="宋体" w:cs="宋体"/>
          <w:b w:val="0"/>
          <w:color w:val="auto"/>
          <w:sz w:val="24"/>
          <w:szCs w:val="24"/>
          <w:lang w:val="en-US" w:eastAsia="zh-CN"/>
        </w:rPr>
        <w:t>延安职业技术学院</w:t>
      </w:r>
      <w:r>
        <w:rPr>
          <w:rFonts w:hint="eastAsia" w:ascii="宋体" w:hAnsi="宋体" w:eastAsia="宋体" w:cs="宋体"/>
          <w:color w:val="000000"/>
          <w:sz w:val="24"/>
          <w:szCs w:val="32"/>
        </w:rPr>
        <w:t>：</w:t>
      </w:r>
    </w:p>
    <w:p w14:paraId="7562B1B2">
      <w:pPr>
        <w:spacing w:line="500" w:lineRule="exact"/>
        <w:ind w:firstLine="480" w:firstLineChars="200"/>
        <w:rPr>
          <w:rFonts w:hint="eastAsia" w:ascii="宋体" w:hAnsi="宋体" w:eastAsia="宋体" w:cs="宋体"/>
          <w:color w:val="000000"/>
          <w:sz w:val="24"/>
          <w:szCs w:val="32"/>
        </w:rPr>
      </w:pPr>
      <w:r>
        <w:rPr>
          <w:rFonts w:hint="eastAsia" w:ascii="宋体" w:hAnsi="宋体" w:eastAsia="宋体" w:cs="宋体"/>
          <w:color w:val="000000"/>
          <w:sz w:val="24"/>
          <w:szCs w:val="32"/>
        </w:rPr>
        <w:t>我方作为</w:t>
      </w:r>
      <w:r>
        <w:rPr>
          <w:rFonts w:hint="eastAsia" w:ascii="宋体" w:hAnsi="宋体" w:cs="宋体"/>
          <w:color w:val="000000"/>
          <w:sz w:val="24"/>
          <w:szCs w:val="32"/>
          <w:u w:val="single"/>
          <w:lang w:val="en-US" w:eastAsia="zh-CN"/>
        </w:rPr>
        <w:t xml:space="preserve">       </w:t>
      </w:r>
      <w:r>
        <w:rPr>
          <w:rFonts w:hint="eastAsia" w:ascii="宋体" w:hAnsi="宋体" w:cs="宋体"/>
          <w:color w:val="auto"/>
          <w:sz w:val="24"/>
          <w:u w:val="single"/>
          <w:lang w:val="en-US" w:eastAsia="zh-CN"/>
        </w:rPr>
        <w:t>（二标包）</w:t>
      </w:r>
      <w:r>
        <w:rPr>
          <w:rFonts w:hint="eastAsia" w:ascii="宋体" w:hAnsi="宋体" w:eastAsia="宋体" w:cs="宋体"/>
          <w:sz w:val="24"/>
          <w:szCs w:val="32"/>
          <w:u w:val="single"/>
        </w:rPr>
        <w:t>《项目名称</w:t>
      </w:r>
      <w:r>
        <w:rPr>
          <w:rFonts w:hint="eastAsia" w:ascii="宋体" w:hAnsi="宋体" w:eastAsia="宋体" w:cs="宋体"/>
          <w:sz w:val="24"/>
          <w:szCs w:val="32"/>
        </w:rPr>
        <w:t>》</w:t>
      </w:r>
      <w:r>
        <w:rPr>
          <w:rFonts w:hint="eastAsia" w:ascii="宋体" w:hAnsi="宋体" w:eastAsia="宋体" w:cs="宋体"/>
          <w:color w:val="000000"/>
          <w:sz w:val="24"/>
          <w:szCs w:val="32"/>
        </w:rPr>
        <w:t>（项目编号：</w:t>
      </w:r>
      <w:r>
        <w:rPr>
          <w:rFonts w:hint="eastAsia" w:ascii="宋体" w:hAnsi="宋体" w:eastAsia="宋体" w:cs="宋体"/>
          <w:color w:val="000000"/>
          <w:sz w:val="24"/>
          <w:szCs w:val="32"/>
          <w:u w:val="single"/>
        </w:rPr>
        <w:t xml:space="preserve">       </w:t>
      </w:r>
      <w:r>
        <w:rPr>
          <w:rFonts w:hint="eastAsia" w:ascii="宋体" w:hAnsi="宋体" w:eastAsia="宋体" w:cs="宋体"/>
          <w:color w:val="000000"/>
          <w:sz w:val="24"/>
          <w:szCs w:val="32"/>
        </w:rPr>
        <w:t>）的供应商，在此郑重声明：</w:t>
      </w:r>
    </w:p>
    <w:p w14:paraId="37B81C5D">
      <w:pPr>
        <w:spacing w:line="500" w:lineRule="exact"/>
        <w:ind w:firstLine="480" w:firstLineChars="200"/>
        <w:rPr>
          <w:rFonts w:hint="eastAsia" w:ascii="宋体" w:hAnsi="宋体" w:eastAsia="宋体" w:cs="宋体"/>
          <w:color w:val="000000"/>
          <w:sz w:val="24"/>
          <w:szCs w:val="32"/>
        </w:rPr>
      </w:pPr>
      <w:r>
        <w:rPr>
          <w:rFonts w:hint="eastAsia" w:ascii="宋体" w:hAnsi="宋体" w:eastAsia="宋体" w:cs="宋体"/>
          <w:color w:val="000000"/>
          <w:sz w:val="24"/>
          <w:szCs w:val="32"/>
          <w:lang w:val="en-US" w:eastAsia="zh-CN"/>
        </w:rPr>
        <w:t>1</w:t>
      </w:r>
      <w:r>
        <w:rPr>
          <w:rFonts w:hint="eastAsia" w:ascii="宋体" w:hAnsi="宋体" w:eastAsia="宋体" w:cs="宋体"/>
          <w:color w:val="000000"/>
          <w:sz w:val="24"/>
          <w:szCs w:val="32"/>
          <w:lang w:eastAsia="zh-CN"/>
        </w:rPr>
        <w:t>.</w:t>
      </w:r>
      <w:r>
        <w:rPr>
          <w:rFonts w:hint="eastAsia" w:ascii="宋体" w:hAnsi="宋体" w:eastAsia="宋体" w:cs="宋体"/>
          <w:color w:val="000000"/>
          <w:sz w:val="24"/>
          <w:szCs w:val="32"/>
        </w:rPr>
        <w:t>我方</w:t>
      </w:r>
      <w:r>
        <w:rPr>
          <w:rFonts w:hint="eastAsia" w:ascii="宋体" w:hAnsi="宋体" w:eastAsia="宋体" w:cs="宋体"/>
          <w:color w:val="000000"/>
          <w:sz w:val="24"/>
          <w:szCs w:val="32"/>
          <w:u w:val="single"/>
        </w:rPr>
        <w:t xml:space="preserve">       </w:t>
      </w:r>
      <w:r>
        <w:rPr>
          <w:rFonts w:hint="eastAsia" w:ascii="宋体" w:hAnsi="宋体" w:eastAsia="宋体" w:cs="宋体"/>
          <w:color w:val="000000"/>
          <w:sz w:val="24"/>
          <w:szCs w:val="32"/>
        </w:rPr>
        <w:t>（填“未被列入”或“被列入”）</w:t>
      </w:r>
      <w:r>
        <w:rPr>
          <w:rFonts w:hint="eastAsia" w:ascii="宋体" w:hAnsi="宋体" w:eastAsia="宋体" w:cs="宋体"/>
          <w:color w:val="auto"/>
          <w:kern w:val="0"/>
          <w:sz w:val="24"/>
          <w:szCs w:val="24"/>
          <w:highlight w:val="none"/>
          <w:lang w:eastAsia="zh-CN"/>
        </w:rPr>
        <w:t>“信用中国”网站记录的“严重失信主体”</w:t>
      </w:r>
      <w:r>
        <w:rPr>
          <w:rFonts w:hint="eastAsia" w:ascii="宋体" w:hAnsi="宋体" w:eastAsia="宋体" w:cs="宋体"/>
          <w:color w:val="000000"/>
          <w:sz w:val="24"/>
          <w:szCs w:val="32"/>
        </w:rPr>
        <w:t>名单。</w:t>
      </w:r>
    </w:p>
    <w:p w14:paraId="3A615855">
      <w:pPr>
        <w:spacing w:line="500" w:lineRule="exact"/>
        <w:ind w:firstLine="480" w:firstLineChars="200"/>
        <w:rPr>
          <w:rFonts w:hint="eastAsia" w:ascii="宋体" w:hAnsi="宋体" w:eastAsia="宋体" w:cs="宋体"/>
          <w:color w:val="000000"/>
          <w:sz w:val="24"/>
          <w:szCs w:val="32"/>
        </w:rPr>
      </w:pPr>
      <w:r>
        <w:rPr>
          <w:rFonts w:hint="eastAsia" w:ascii="宋体" w:hAnsi="宋体" w:eastAsia="宋体" w:cs="宋体"/>
          <w:color w:val="000000"/>
          <w:sz w:val="24"/>
          <w:szCs w:val="32"/>
          <w:lang w:val="en-US" w:eastAsia="zh-CN"/>
        </w:rPr>
        <w:t>2</w:t>
      </w:r>
      <w:r>
        <w:rPr>
          <w:rFonts w:hint="eastAsia" w:ascii="宋体" w:hAnsi="宋体" w:eastAsia="宋体" w:cs="宋体"/>
          <w:color w:val="000000"/>
          <w:sz w:val="24"/>
          <w:szCs w:val="32"/>
          <w:lang w:eastAsia="zh-CN"/>
        </w:rPr>
        <w:t>.</w:t>
      </w:r>
      <w:r>
        <w:rPr>
          <w:rFonts w:hint="eastAsia" w:ascii="宋体" w:hAnsi="宋体" w:eastAsia="宋体" w:cs="宋体"/>
          <w:color w:val="000000"/>
          <w:sz w:val="24"/>
          <w:szCs w:val="32"/>
        </w:rPr>
        <w:t>我方</w:t>
      </w:r>
      <w:r>
        <w:rPr>
          <w:rFonts w:hint="eastAsia" w:ascii="宋体" w:hAnsi="宋体" w:eastAsia="宋体" w:cs="宋体"/>
          <w:color w:val="000000"/>
          <w:sz w:val="24"/>
          <w:szCs w:val="32"/>
          <w:u w:val="single"/>
        </w:rPr>
        <w:t xml:space="preserve">       </w:t>
      </w:r>
      <w:r>
        <w:rPr>
          <w:rFonts w:hint="eastAsia" w:ascii="宋体" w:hAnsi="宋体" w:eastAsia="宋体" w:cs="宋体"/>
          <w:color w:val="000000"/>
          <w:sz w:val="24"/>
          <w:szCs w:val="32"/>
        </w:rPr>
        <w:t>（填“未被列入”或“被列入”）</w:t>
      </w:r>
      <w:r>
        <w:rPr>
          <w:rFonts w:hint="eastAsia" w:ascii="宋体" w:hAnsi="宋体" w:eastAsia="宋体" w:cs="宋体"/>
          <w:color w:val="auto"/>
          <w:kern w:val="0"/>
          <w:sz w:val="24"/>
          <w:szCs w:val="24"/>
          <w:highlight w:val="none"/>
          <w:lang w:eastAsia="zh-CN"/>
        </w:rPr>
        <w:t>“信用中国”网站记录的“</w:t>
      </w:r>
      <w:r>
        <w:rPr>
          <w:rFonts w:hint="eastAsia" w:ascii="宋体" w:hAnsi="宋体" w:eastAsia="宋体" w:cs="宋体"/>
          <w:color w:val="000000"/>
          <w:sz w:val="24"/>
          <w:szCs w:val="32"/>
          <w:lang w:eastAsia="zh-CN"/>
        </w:rPr>
        <w:t>重大税收违法失信主体</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000000"/>
          <w:sz w:val="24"/>
          <w:szCs w:val="32"/>
        </w:rPr>
        <w:t>名单。</w:t>
      </w:r>
    </w:p>
    <w:p w14:paraId="6648F723">
      <w:pPr>
        <w:spacing w:line="500" w:lineRule="exact"/>
        <w:ind w:firstLine="480" w:firstLineChars="200"/>
        <w:rPr>
          <w:rFonts w:hint="eastAsia" w:ascii="宋体" w:hAnsi="宋体" w:eastAsia="宋体" w:cs="宋体"/>
          <w:color w:val="000000"/>
          <w:sz w:val="24"/>
          <w:szCs w:val="32"/>
        </w:rPr>
      </w:pPr>
      <w:r>
        <w:rPr>
          <w:rFonts w:hint="eastAsia" w:ascii="宋体" w:hAnsi="宋体" w:eastAsia="宋体" w:cs="宋体"/>
          <w:color w:val="000000"/>
          <w:sz w:val="24"/>
          <w:szCs w:val="32"/>
          <w:lang w:val="en-US" w:eastAsia="zh-CN"/>
        </w:rPr>
        <w:t>3</w:t>
      </w:r>
      <w:r>
        <w:rPr>
          <w:rFonts w:hint="eastAsia" w:ascii="宋体" w:hAnsi="宋体" w:eastAsia="宋体" w:cs="宋体"/>
          <w:color w:val="000000"/>
          <w:sz w:val="24"/>
          <w:szCs w:val="32"/>
          <w:lang w:eastAsia="zh-CN"/>
        </w:rPr>
        <w:t>.</w:t>
      </w:r>
      <w:r>
        <w:rPr>
          <w:rFonts w:hint="eastAsia" w:ascii="宋体" w:hAnsi="宋体" w:eastAsia="宋体" w:cs="宋体"/>
          <w:color w:val="000000"/>
          <w:sz w:val="24"/>
          <w:szCs w:val="32"/>
        </w:rPr>
        <w:t>我方</w:t>
      </w:r>
      <w:r>
        <w:rPr>
          <w:rFonts w:hint="eastAsia" w:ascii="宋体" w:hAnsi="宋体" w:eastAsia="宋体" w:cs="宋体"/>
          <w:color w:val="000000"/>
          <w:sz w:val="24"/>
          <w:szCs w:val="32"/>
          <w:u w:val="single"/>
        </w:rPr>
        <w:t xml:space="preserve">       </w:t>
      </w:r>
      <w:r>
        <w:rPr>
          <w:rFonts w:hint="eastAsia" w:ascii="宋体" w:hAnsi="宋体" w:eastAsia="宋体" w:cs="宋体"/>
          <w:color w:val="000000"/>
          <w:sz w:val="24"/>
          <w:szCs w:val="32"/>
        </w:rPr>
        <w:t>（填“未被列入”或“被列入”）</w:t>
      </w:r>
      <w:r>
        <w:rPr>
          <w:rFonts w:hint="eastAsia" w:ascii="宋体" w:hAnsi="宋体" w:eastAsia="宋体" w:cs="宋体"/>
          <w:color w:val="auto"/>
          <w:kern w:val="0"/>
          <w:sz w:val="24"/>
          <w:szCs w:val="24"/>
          <w:highlight w:val="none"/>
          <w:lang w:eastAsia="zh-CN"/>
        </w:rPr>
        <w:t>“中国政府采购网”记录的</w:t>
      </w:r>
      <w:r>
        <w:rPr>
          <w:rFonts w:hint="eastAsia" w:ascii="宋体" w:hAnsi="宋体" w:eastAsia="宋体" w:cs="宋体"/>
          <w:color w:val="000000"/>
          <w:sz w:val="24"/>
          <w:szCs w:val="32"/>
        </w:rPr>
        <w:t>政府采购严重违法失信行为记录名单。</w:t>
      </w:r>
    </w:p>
    <w:p w14:paraId="5168AB3A">
      <w:pPr>
        <w:spacing w:line="500" w:lineRule="exact"/>
        <w:ind w:firstLine="480" w:firstLineChars="200"/>
        <w:rPr>
          <w:rFonts w:hint="eastAsia" w:ascii="宋体" w:hAnsi="宋体" w:eastAsia="宋体" w:cs="宋体"/>
          <w:color w:val="000000"/>
          <w:sz w:val="24"/>
          <w:szCs w:val="32"/>
        </w:rPr>
      </w:pPr>
      <w:r>
        <w:rPr>
          <w:rFonts w:hint="eastAsia" w:ascii="宋体" w:hAnsi="宋体" w:eastAsia="宋体" w:cs="宋体"/>
          <w:color w:val="000000"/>
          <w:sz w:val="24"/>
          <w:szCs w:val="32"/>
        </w:rPr>
        <w:t>如有不实，我方将无条件地退出本项目的采购活动，并遵照《政府采购法》有关“提供虚假材料的规定”接受处罚。</w:t>
      </w:r>
    </w:p>
    <w:p w14:paraId="477FC177">
      <w:pPr>
        <w:spacing w:line="500" w:lineRule="exact"/>
        <w:ind w:firstLine="480" w:firstLineChars="200"/>
        <w:rPr>
          <w:rFonts w:hint="eastAsia" w:ascii="宋体" w:hAnsi="宋体" w:eastAsia="宋体" w:cs="宋体"/>
          <w:color w:val="000000"/>
          <w:sz w:val="24"/>
          <w:szCs w:val="32"/>
        </w:rPr>
      </w:pPr>
      <w:r>
        <w:rPr>
          <w:rFonts w:hint="eastAsia" w:ascii="宋体" w:hAnsi="宋体" w:eastAsia="宋体" w:cs="宋体"/>
          <w:color w:val="000000"/>
          <w:sz w:val="24"/>
          <w:szCs w:val="32"/>
        </w:rPr>
        <w:t>特此声明。</w:t>
      </w:r>
    </w:p>
    <w:p w14:paraId="10779197">
      <w:pPr>
        <w:spacing w:line="500" w:lineRule="exact"/>
        <w:ind w:firstLine="3600" w:firstLineChars="1500"/>
        <w:rPr>
          <w:rFonts w:hint="eastAsia" w:ascii="宋体" w:hAnsi="宋体" w:eastAsia="宋体" w:cs="宋体"/>
          <w:color w:val="000000"/>
          <w:sz w:val="24"/>
          <w:szCs w:val="32"/>
        </w:rPr>
      </w:pPr>
      <w:r>
        <w:rPr>
          <w:rFonts w:hint="eastAsia" w:ascii="宋体" w:hAnsi="宋体" w:eastAsia="宋体" w:cs="宋体"/>
          <w:color w:val="000000"/>
          <w:sz w:val="24"/>
          <w:szCs w:val="32"/>
        </w:rPr>
        <w:t>供应商：</w:t>
      </w:r>
      <w:r>
        <w:rPr>
          <w:rFonts w:hint="eastAsia" w:ascii="宋体" w:hAnsi="宋体" w:eastAsia="宋体" w:cs="宋体"/>
          <w:color w:val="000000"/>
          <w:sz w:val="24"/>
          <w:szCs w:val="32"/>
          <w:u w:val="single"/>
        </w:rPr>
        <w:t>名称</w:t>
      </w:r>
      <w:r>
        <w:rPr>
          <w:rFonts w:hint="eastAsia" w:ascii="宋体" w:hAnsi="宋体" w:eastAsia="宋体" w:cs="宋体"/>
          <w:color w:val="000000"/>
          <w:sz w:val="24"/>
          <w:szCs w:val="32"/>
        </w:rPr>
        <w:t>（加盖公章）</w:t>
      </w:r>
    </w:p>
    <w:p w14:paraId="72B7DA0E">
      <w:pPr>
        <w:spacing w:line="500" w:lineRule="exact"/>
        <w:ind w:firstLine="3600" w:firstLineChars="1500"/>
        <w:rPr>
          <w:rFonts w:hint="eastAsia" w:ascii="宋体" w:hAnsi="宋体" w:eastAsia="宋体" w:cs="宋体"/>
          <w:color w:val="000000"/>
          <w:sz w:val="24"/>
          <w:szCs w:val="32"/>
        </w:rPr>
      </w:pPr>
      <w:r>
        <w:rPr>
          <w:rFonts w:hint="eastAsia" w:ascii="宋体" w:hAnsi="宋体" w:eastAsia="宋体" w:cs="宋体"/>
          <w:color w:val="000000"/>
          <w:sz w:val="24"/>
          <w:szCs w:val="32"/>
        </w:rPr>
        <w:t>日</w:t>
      </w:r>
      <w:r>
        <w:rPr>
          <w:rFonts w:hint="eastAsia" w:ascii="宋体" w:hAnsi="宋体" w:eastAsia="宋体" w:cs="宋体"/>
          <w:color w:val="000000"/>
          <w:sz w:val="24"/>
          <w:szCs w:val="32"/>
          <w:lang w:val="en-US" w:eastAsia="zh-CN"/>
        </w:rPr>
        <w:t xml:space="preserve">  </w:t>
      </w:r>
      <w:r>
        <w:rPr>
          <w:rFonts w:hint="eastAsia" w:ascii="宋体" w:hAnsi="宋体" w:eastAsia="宋体" w:cs="宋体"/>
          <w:color w:val="000000"/>
          <w:sz w:val="24"/>
          <w:szCs w:val="32"/>
        </w:rPr>
        <w:t>期：　　年　月　日</w:t>
      </w:r>
    </w:p>
    <w:p w14:paraId="6D50EA22">
      <w:pPr>
        <w:spacing w:line="500" w:lineRule="exact"/>
        <w:ind w:firstLine="480" w:firstLineChars="200"/>
        <w:rPr>
          <w:rFonts w:hint="eastAsia" w:ascii="宋体" w:hAnsi="宋体" w:eastAsia="宋体" w:cs="宋体"/>
          <w:color w:val="000000"/>
          <w:sz w:val="24"/>
          <w:szCs w:val="32"/>
          <w:highlight w:val="yellow"/>
        </w:rPr>
      </w:pPr>
    </w:p>
    <w:p w14:paraId="7CAC88B7">
      <w:pPr>
        <w:numPr>
          <w:ilvl w:val="0"/>
          <w:numId w:val="0"/>
        </w:numPr>
        <w:jc w:val="both"/>
        <w:rPr>
          <w:rFonts w:hint="eastAsia" w:ascii="宋体" w:hAnsi="宋体" w:eastAsia="宋体" w:cs="宋体"/>
          <w:b/>
          <w:color w:val="auto"/>
          <w:sz w:val="32"/>
          <w:szCs w:val="32"/>
        </w:rPr>
      </w:pPr>
    </w:p>
    <w:p w14:paraId="364BCA54">
      <w:pPr>
        <w:numPr>
          <w:ilvl w:val="0"/>
          <w:numId w:val="0"/>
        </w:numPr>
        <w:jc w:val="both"/>
        <w:rPr>
          <w:rFonts w:hint="eastAsia" w:ascii="宋体" w:hAnsi="宋体" w:eastAsia="宋体" w:cs="宋体"/>
          <w:b/>
          <w:color w:val="auto"/>
          <w:sz w:val="32"/>
          <w:szCs w:val="32"/>
        </w:rPr>
      </w:pPr>
    </w:p>
    <w:p w14:paraId="1FBA1AEA">
      <w:pPr>
        <w:numPr>
          <w:ilvl w:val="0"/>
          <w:numId w:val="0"/>
        </w:numPr>
        <w:jc w:val="both"/>
        <w:rPr>
          <w:rFonts w:hint="eastAsia" w:ascii="宋体" w:hAnsi="宋体" w:eastAsia="宋体" w:cs="宋体"/>
          <w:b/>
          <w:color w:val="auto"/>
          <w:sz w:val="32"/>
          <w:szCs w:val="32"/>
        </w:rPr>
      </w:pPr>
    </w:p>
    <w:p w14:paraId="53C07DCB">
      <w:pPr>
        <w:numPr>
          <w:ilvl w:val="0"/>
          <w:numId w:val="0"/>
        </w:numPr>
        <w:jc w:val="both"/>
        <w:rPr>
          <w:rFonts w:hint="eastAsia" w:ascii="宋体" w:hAnsi="宋体" w:eastAsia="宋体" w:cs="宋体"/>
          <w:b/>
          <w:color w:val="auto"/>
          <w:sz w:val="32"/>
          <w:szCs w:val="32"/>
        </w:rPr>
      </w:pPr>
    </w:p>
    <w:p w14:paraId="7F732B9D">
      <w:pPr>
        <w:numPr>
          <w:ilvl w:val="0"/>
          <w:numId w:val="0"/>
        </w:numPr>
        <w:jc w:val="both"/>
        <w:rPr>
          <w:rFonts w:hint="eastAsia" w:ascii="宋体" w:hAnsi="宋体" w:eastAsia="宋体" w:cs="宋体"/>
          <w:b/>
          <w:color w:val="auto"/>
          <w:sz w:val="32"/>
          <w:szCs w:val="32"/>
        </w:rPr>
      </w:pPr>
    </w:p>
    <w:p w14:paraId="6FE9B99F">
      <w:pPr>
        <w:pStyle w:val="4"/>
        <w:rPr>
          <w:rFonts w:hint="eastAsia"/>
        </w:rPr>
      </w:pPr>
    </w:p>
    <w:p w14:paraId="1CD3CE98">
      <w:pPr>
        <w:rPr>
          <w:rFonts w:hint="eastAsia"/>
        </w:rPr>
      </w:pPr>
    </w:p>
    <w:p w14:paraId="3EFC7FDB">
      <w:pPr>
        <w:numPr>
          <w:ilvl w:val="0"/>
          <w:numId w:val="0"/>
        </w:numPr>
        <w:jc w:val="both"/>
        <w:rPr>
          <w:rFonts w:hint="eastAsia" w:ascii="宋体" w:hAnsi="宋体" w:eastAsia="宋体" w:cs="宋体"/>
          <w:b/>
          <w:color w:val="auto"/>
          <w:sz w:val="32"/>
          <w:szCs w:val="32"/>
        </w:rPr>
      </w:pPr>
    </w:p>
    <w:p w14:paraId="01C516C8">
      <w:pPr>
        <w:numPr>
          <w:ilvl w:val="0"/>
          <w:numId w:val="0"/>
        </w:numPr>
        <w:spacing w:line="480" w:lineRule="exact"/>
        <w:jc w:val="both"/>
        <w:outlineLvl w:val="9"/>
        <w:rPr>
          <w:rFonts w:hint="eastAsia" w:ascii="宋体" w:hAnsi="宋体" w:eastAsia="宋体" w:cs="宋体"/>
          <w:b/>
          <w:color w:val="auto"/>
          <w:sz w:val="28"/>
          <w:szCs w:val="28"/>
          <w:lang w:val="en-US" w:eastAsia="zh-CN"/>
        </w:rPr>
      </w:pPr>
    </w:p>
    <w:p w14:paraId="5754CB46">
      <w:pPr>
        <w:numPr>
          <w:ilvl w:val="0"/>
          <w:numId w:val="0"/>
        </w:numPr>
        <w:spacing w:line="480" w:lineRule="exact"/>
        <w:jc w:val="both"/>
        <w:outlineLvl w:val="9"/>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附件2：</w:t>
      </w:r>
    </w:p>
    <w:p w14:paraId="12AE8AED">
      <w:pPr>
        <w:numPr>
          <w:ilvl w:val="0"/>
          <w:numId w:val="0"/>
        </w:numPr>
        <w:spacing w:line="480" w:lineRule="exact"/>
        <w:jc w:val="center"/>
        <w:outlineLvl w:val="9"/>
        <w:rPr>
          <w:rFonts w:ascii="宋体" w:hAnsi="宋体" w:eastAsia="宋体" w:cs="宋体"/>
          <w:color w:val="auto"/>
          <w:sz w:val="24"/>
          <w:szCs w:val="24"/>
        </w:rPr>
      </w:pPr>
      <w:r>
        <w:rPr>
          <w:rFonts w:hint="eastAsia" w:ascii="宋体" w:hAnsi="宋体" w:eastAsia="宋体" w:cs="宋体"/>
          <w:b/>
          <w:color w:val="auto"/>
          <w:sz w:val="24"/>
          <w:szCs w:val="24"/>
          <w:lang w:val="en-US" w:eastAsia="zh-CN"/>
        </w:rPr>
        <w:t>中小企业声明函（服务）</w:t>
      </w:r>
    </w:p>
    <w:p w14:paraId="08870A07">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ascii="宋体" w:hAnsi="宋体" w:eastAsia="宋体" w:cs="宋体"/>
          <w:color w:val="auto"/>
          <w:sz w:val="24"/>
          <w:szCs w:val="24"/>
        </w:rPr>
        <w:t>本公司（联合体）郑重声明，根据《政府采购促进中小企业发展管理办法》（财库﹝2020﹞46号）的规定，本公司</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rPr>
        <w:t>（联合体）参加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rPr>
        <w:t>（单位名称）的</w:t>
      </w:r>
      <w:r>
        <w:rPr>
          <w:rFonts w:hint="eastAsia" w:ascii="宋体" w:hAnsi="宋体" w:eastAsia="宋体" w:cs="宋体"/>
          <w:color w:val="auto"/>
          <w:sz w:val="24"/>
          <w:szCs w:val="24"/>
          <w:u w:val="single"/>
          <w:lang w:val="en-US" w:eastAsia="zh-CN"/>
        </w:rPr>
        <w:t xml:space="preserve">   </w:t>
      </w:r>
      <w:r>
        <w:rPr>
          <w:rFonts w:ascii="宋体" w:hAnsi="宋体" w:eastAsia="宋体" w:cs="宋体"/>
          <w:color w:val="auto"/>
          <w:sz w:val="24"/>
          <w:szCs w:val="24"/>
        </w:rPr>
        <w:t>（项目名称）采购活动，服务的单位全部由符合政策要求的中小企业承接。相关企业（含联合体中的中小企业、签订分包意向协议的中小企业）的具体情况如下：</w:t>
      </w:r>
    </w:p>
    <w:p w14:paraId="03E2BE45">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ascii="宋体" w:hAnsi="宋体" w:eastAsia="宋体" w:cs="宋体"/>
          <w:color w:val="auto"/>
          <w:sz w:val="24"/>
          <w:szCs w:val="24"/>
        </w:rPr>
        <w:t>1.（标的名称） ，属于（</w:t>
      </w:r>
      <w:r>
        <w:rPr>
          <w:rFonts w:hint="eastAsia" w:ascii="宋体" w:hAnsi="宋体" w:eastAsia="宋体" w:cs="宋体"/>
          <w:color w:val="auto"/>
          <w:sz w:val="24"/>
          <w:szCs w:val="24"/>
          <w:lang w:val="en-US" w:eastAsia="zh-CN"/>
        </w:rPr>
        <w:t>其他未列明行业</w:t>
      </w:r>
      <w:r>
        <w:rPr>
          <w:rFonts w:ascii="宋体" w:hAnsi="宋体" w:eastAsia="宋体" w:cs="宋体"/>
          <w:color w:val="auto"/>
          <w:sz w:val="24"/>
          <w:szCs w:val="24"/>
        </w:rPr>
        <w:t>）； 承建（承接）企业为（企业名称），从业人员     人，营业收入为     万元，资产总额为</w:t>
      </w:r>
    </w:p>
    <w:p w14:paraId="6A01A950">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ascii="宋体" w:hAnsi="宋体" w:eastAsia="宋体" w:cs="宋体"/>
          <w:color w:val="auto"/>
          <w:sz w:val="24"/>
          <w:szCs w:val="24"/>
        </w:rPr>
        <w:t>     万元¹，属于【（  ）中型企业、（  ）小型企业、（  ）微型企业】； </w:t>
      </w:r>
    </w:p>
    <w:p w14:paraId="78E8FCBC">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ascii="宋体" w:hAnsi="宋体" w:eastAsia="宋体" w:cs="宋体"/>
          <w:color w:val="auto"/>
          <w:sz w:val="24"/>
          <w:szCs w:val="24"/>
        </w:rPr>
        <w:t>2.（标的名称） ，属于（</w:t>
      </w:r>
      <w:r>
        <w:rPr>
          <w:rFonts w:hint="eastAsia" w:ascii="宋体" w:hAnsi="宋体" w:eastAsia="宋体" w:cs="宋体"/>
          <w:color w:val="auto"/>
          <w:sz w:val="24"/>
          <w:szCs w:val="24"/>
          <w:lang w:val="en-US" w:eastAsia="zh-CN"/>
        </w:rPr>
        <w:t>其他未列明行业</w:t>
      </w:r>
      <w:r>
        <w:rPr>
          <w:rFonts w:ascii="宋体" w:hAnsi="宋体" w:eastAsia="宋体" w:cs="宋体"/>
          <w:color w:val="auto"/>
          <w:sz w:val="24"/>
          <w:szCs w:val="24"/>
        </w:rPr>
        <w:t>）； 承建（承接）企业为（企业名称），从业人员     人，营业收入为     万元，资产总额为</w:t>
      </w:r>
    </w:p>
    <w:p w14:paraId="667F3C98">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ascii="宋体" w:hAnsi="宋体" w:eastAsia="宋体" w:cs="宋体"/>
          <w:color w:val="auto"/>
          <w:sz w:val="24"/>
          <w:szCs w:val="24"/>
        </w:rPr>
        <w:t>     万元，属于【（  ）中型企业、（  ）小型企业、（  ）微型企业】；</w:t>
      </w:r>
    </w:p>
    <w:p w14:paraId="0E83E86B">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ascii="宋体" w:hAnsi="宋体" w:eastAsia="宋体" w:cs="宋体"/>
          <w:color w:val="auto"/>
          <w:sz w:val="24"/>
          <w:szCs w:val="24"/>
        </w:rPr>
        <w:t>……</w:t>
      </w:r>
    </w:p>
    <w:p w14:paraId="1D4DF0E4">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ascii="宋体" w:hAnsi="宋体" w:eastAsia="宋体" w:cs="宋体"/>
          <w:color w:val="auto"/>
          <w:sz w:val="24"/>
          <w:szCs w:val="24"/>
        </w:rPr>
        <w:t>以上企业，不属于大企业的分支机构，不存在控股股东为大企业的情形，也不存在与大企业的负责人为同一人的情形。</w:t>
      </w:r>
    </w:p>
    <w:p w14:paraId="7F5DFE3F">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ascii="宋体" w:hAnsi="宋体" w:eastAsia="宋体" w:cs="宋体"/>
          <w:color w:val="auto"/>
          <w:sz w:val="24"/>
          <w:szCs w:val="24"/>
        </w:rPr>
        <w:t>本企业对上述声明内容的真实性负责。如有虚假，将依法承担相应责任。</w:t>
      </w:r>
    </w:p>
    <w:p w14:paraId="7889C690">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p>
    <w:p w14:paraId="2B7B159C">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单位名称</w:t>
      </w:r>
      <w:r>
        <w:rPr>
          <w:rFonts w:ascii="宋体" w:hAnsi="宋体" w:eastAsia="宋体" w:cs="宋体"/>
          <w:color w:val="auto"/>
          <w:sz w:val="24"/>
          <w:szCs w:val="24"/>
        </w:rPr>
        <w:t>（单位公章）：                      </w:t>
      </w:r>
    </w:p>
    <w:p w14:paraId="304516B8">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ascii="宋体" w:hAnsi="宋体" w:eastAsia="宋体" w:cs="宋体"/>
          <w:color w:val="auto"/>
          <w:sz w:val="24"/>
          <w:szCs w:val="24"/>
        </w:rPr>
        <w:t>法定代表人或其授权委托人（签字或盖章）：               </w:t>
      </w:r>
    </w:p>
    <w:p w14:paraId="3F90E6A1">
      <w:pPr>
        <w:numPr>
          <w:ilvl w:val="0"/>
          <w:numId w:val="0"/>
        </w:numPr>
        <w:spacing w:line="480" w:lineRule="exact"/>
        <w:ind w:firstLine="720" w:firstLineChars="300"/>
        <w:jc w:val="both"/>
        <w:outlineLvl w:val="9"/>
        <w:rPr>
          <w:rFonts w:hint="eastAsia" w:ascii="宋体" w:hAnsi="宋体" w:eastAsia="宋体" w:cs="宋体"/>
          <w:bCs/>
          <w:color w:val="auto"/>
          <w:sz w:val="24"/>
        </w:rPr>
      </w:pPr>
      <w:r>
        <w:rPr>
          <w:rFonts w:ascii="宋体" w:hAnsi="宋体" w:eastAsia="宋体" w:cs="宋体"/>
          <w:color w:val="auto"/>
          <w:sz w:val="24"/>
          <w:szCs w:val="24"/>
        </w:rPr>
        <w:t>日        期：</w:t>
      </w:r>
    </w:p>
    <w:p w14:paraId="18FE0AD6">
      <w:pPr>
        <w:numPr>
          <w:ilvl w:val="0"/>
          <w:numId w:val="0"/>
        </w:numPr>
        <w:jc w:val="both"/>
        <w:rPr>
          <w:rFonts w:hint="eastAsia" w:ascii="宋体" w:hAnsi="宋体" w:eastAsia="宋体" w:cs="宋体"/>
          <w:b/>
          <w:color w:val="auto"/>
          <w:sz w:val="32"/>
          <w:szCs w:val="32"/>
        </w:rPr>
      </w:pPr>
    </w:p>
    <w:p w14:paraId="45DF97D8">
      <w:pPr>
        <w:numPr>
          <w:ilvl w:val="0"/>
          <w:numId w:val="0"/>
        </w:numPr>
        <w:jc w:val="both"/>
        <w:rPr>
          <w:rFonts w:hint="eastAsia" w:ascii="宋体" w:hAnsi="宋体" w:eastAsia="宋体" w:cs="宋体"/>
          <w:b/>
          <w:color w:val="auto"/>
          <w:sz w:val="32"/>
          <w:szCs w:val="32"/>
        </w:rPr>
      </w:pPr>
    </w:p>
    <w:p w14:paraId="2C71B4DB">
      <w:pPr>
        <w:numPr>
          <w:ilvl w:val="0"/>
          <w:numId w:val="0"/>
        </w:numPr>
        <w:jc w:val="both"/>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注：本项目</w:t>
      </w:r>
      <w:r>
        <w:rPr>
          <w:rFonts w:hint="eastAsia" w:ascii="宋体" w:hAnsi="宋体" w:cs="宋体"/>
          <w:b/>
          <w:color w:val="auto"/>
          <w:sz w:val="24"/>
          <w:szCs w:val="24"/>
          <w:lang w:val="en-US" w:eastAsia="zh-CN"/>
        </w:rPr>
        <w:t>采购标的</w:t>
      </w:r>
      <w:r>
        <w:rPr>
          <w:rFonts w:hint="eastAsia" w:ascii="宋体" w:hAnsi="宋体" w:eastAsia="宋体" w:cs="宋体"/>
          <w:b/>
          <w:color w:val="auto"/>
          <w:sz w:val="24"/>
          <w:szCs w:val="24"/>
          <w:lang w:val="en-US" w:eastAsia="zh-CN"/>
        </w:rPr>
        <w:t>所属行业为：</w:t>
      </w:r>
      <w:r>
        <w:rPr>
          <w:rFonts w:hint="eastAsia" w:ascii="宋体" w:hAnsi="宋体" w:cs="宋体"/>
          <w:b/>
          <w:color w:val="auto"/>
          <w:sz w:val="24"/>
          <w:szCs w:val="24"/>
          <w:lang w:val="en-US" w:eastAsia="zh-CN"/>
        </w:rPr>
        <w:t>其他未列明行业</w:t>
      </w:r>
      <w:r>
        <w:rPr>
          <w:rFonts w:hint="eastAsia" w:ascii="宋体" w:hAnsi="宋体" w:eastAsia="宋体" w:cs="宋体"/>
          <w:b/>
          <w:color w:val="auto"/>
          <w:sz w:val="24"/>
          <w:szCs w:val="24"/>
          <w:lang w:val="en-US" w:eastAsia="zh-CN"/>
        </w:rPr>
        <w:t>。</w:t>
      </w:r>
    </w:p>
    <w:p w14:paraId="2E458EE1">
      <w:pPr>
        <w:numPr>
          <w:ilvl w:val="0"/>
          <w:numId w:val="0"/>
        </w:numPr>
        <w:jc w:val="both"/>
        <w:rPr>
          <w:rFonts w:hint="eastAsia" w:ascii="宋体" w:hAnsi="宋体" w:eastAsia="宋体" w:cs="宋体"/>
          <w:b/>
          <w:color w:val="auto"/>
          <w:sz w:val="32"/>
          <w:szCs w:val="32"/>
        </w:rPr>
      </w:pPr>
    </w:p>
    <w:p w14:paraId="1E9DC63B">
      <w:pPr>
        <w:numPr>
          <w:ilvl w:val="0"/>
          <w:numId w:val="0"/>
        </w:numPr>
        <w:ind w:firstLine="2570" w:firstLineChars="800"/>
        <w:jc w:val="both"/>
        <w:rPr>
          <w:rFonts w:hint="eastAsia" w:ascii="宋体" w:hAnsi="宋体" w:eastAsia="宋体" w:cs="宋体"/>
          <w:b/>
          <w:color w:val="auto"/>
          <w:sz w:val="32"/>
          <w:szCs w:val="32"/>
        </w:rPr>
      </w:pPr>
    </w:p>
    <w:p w14:paraId="6DEABE12">
      <w:pPr>
        <w:numPr>
          <w:ilvl w:val="0"/>
          <w:numId w:val="0"/>
        </w:numPr>
        <w:spacing w:line="480" w:lineRule="exact"/>
        <w:jc w:val="both"/>
        <w:outlineLvl w:val="9"/>
        <w:rPr>
          <w:rFonts w:hint="eastAsia" w:ascii="宋体" w:hAnsi="宋体" w:eastAsia="宋体" w:cs="宋体"/>
          <w:b/>
          <w:color w:val="auto"/>
          <w:sz w:val="24"/>
          <w:szCs w:val="24"/>
          <w:lang w:val="en-US" w:eastAsia="zh-CN"/>
        </w:rPr>
      </w:pPr>
    </w:p>
    <w:p w14:paraId="36403AAE">
      <w:pPr>
        <w:numPr>
          <w:ilvl w:val="0"/>
          <w:numId w:val="0"/>
        </w:numPr>
        <w:spacing w:line="480" w:lineRule="exact"/>
        <w:jc w:val="both"/>
        <w:outlineLvl w:val="9"/>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附件3：</w:t>
      </w:r>
    </w:p>
    <w:p w14:paraId="77982008">
      <w:pPr>
        <w:keepNext w:val="0"/>
        <w:keepLines w:val="0"/>
        <w:pageBreakBefore w:val="0"/>
        <w:widowControl w:val="0"/>
        <w:bidi w:val="0"/>
        <w:rPr>
          <w:rFonts w:hint="default" w:ascii="宋体" w:hAnsi="宋体" w:eastAsia="宋体" w:cs="宋体"/>
          <w:b/>
          <w:color w:val="auto"/>
          <w:sz w:val="24"/>
          <w:szCs w:val="32"/>
          <w:highlight w:val="none"/>
          <w:lang w:val="en-US" w:eastAsia="zh-CN"/>
        </w:rPr>
      </w:pPr>
      <w:r>
        <w:rPr>
          <w:rFonts w:hint="eastAsia" w:ascii="宋体" w:hAnsi="宋体" w:eastAsia="宋体" w:cs="宋体"/>
          <w:b/>
          <w:color w:val="auto"/>
          <w:sz w:val="24"/>
          <w:szCs w:val="32"/>
          <w:highlight w:val="none"/>
          <w:lang w:val="en-US" w:eastAsia="zh-CN"/>
        </w:rPr>
        <w:t xml:space="preserve">                                 承诺书</w:t>
      </w:r>
    </w:p>
    <w:p w14:paraId="11B55CBD">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3B05CE4E">
      <w:pPr>
        <w:pageBreakBefore w:val="0"/>
        <w:wordWrap/>
        <w:overflowPunct/>
        <w:topLinePunct w:val="0"/>
        <w:bidi w:val="0"/>
        <w:adjustRightInd/>
        <w:snapToGrid/>
        <w:spacing w:beforeAutospacing="0" w:afterAutospacing="0" w:line="219" w:lineRule="auto"/>
        <w:ind w:left="0" w:leftChars="0" w:right="0"/>
        <w:rPr>
          <w:rFonts w:hint="eastAsia" w:ascii="宋体" w:hAnsi="宋体" w:eastAsia="宋体" w:cs="宋体"/>
          <w:color w:val="auto"/>
          <w:sz w:val="24"/>
          <w:szCs w:val="24"/>
        </w:rPr>
      </w:pPr>
      <w:r>
        <w:rPr>
          <w:rFonts w:hint="eastAsia" w:ascii="宋体" w:hAnsi="宋体" w:eastAsia="宋体" w:cs="宋体"/>
          <w:color w:val="auto"/>
          <w:spacing w:val="9"/>
          <w:sz w:val="24"/>
          <w:szCs w:val="24"/>
        </w:rPr>
        <w:t>致</w:t>
      </w:r>
      <w:r>
        <w:rPr>
          <w:rFonts w:hint="eastAsia" w:ascii="宋体" w:hAnsi="宋体" w:eastAsia="宋体" w:cs="宋体"/>
          <w:color w:val="auto"/>
          <w:spacing w:val="-38"/>
          <w:sz w:val="24"/>
          <w:szCs w:val="24"/>
        </w:rPr>
        <w:t>：</w:t>
      </w:r>
      <w:r>
        <w:rPr>
          <w:rFonts w:hint="eastAsia" w:ascii="宋体" w:hAnsi="宋体" w:eastAsia="宋体" w:cs="宋体"/>
          <w:color w:val="auto"/>
          <w:spacing w:val="-38"/>
          <w:sz w:val="24"/>
          <w:szCs w:val="24"/>
          <w:lang w:val="en-US" w:eastAsia="zh-CN"/>
        </w:rPr>
        <w:t xml:space="preserve">  </w:t>
      </w:r>
      <w:r>
        <w:rPr>
          <w:rFonts w:hint="eastAsia" w:ascii="宋体" w:hAnsi="宋体" w:eastAsia="宋体" w:cs="宋体"/>
          <w:color w:val="auto"/>
          <w:spacing w:val="-38"/>
          <w:sz w:val="24"/>
          <w:szCs w:val="24"/>
          <w:u w:val="single" w:color="auto"/>
          <w:lang w:val="en-US" w:eastAsia="zh-CN"/>
        </w:rPr>
        <w:t xml:space="preserve">                  </w:t>
      </w:r>
      <w:r>
        <w:rPr>
          <w:rFonts w:hint="eastAsia" w:ascii="宋体" w:hAnsi="宋体" w:eastAsia="宋体" w:cs="宋体"/>
          <w:color w:val="auto"/>
          <w:spacing w:val="-38"/>
          <w:sz w:val="24"/>
          <w:szCs w:val="24"/>
          <w:u w:val="single" w:color="auto"/>
        </w:rPr>
        <w:t>（</w:t>
      </w:r>
      <w:r>
        <w:rPr>
          <w:rFonts w:hint="eastAsia" w:ascii="宋体" w:hAnsi="宋体" w:eastAsia="宋体" w:cs="宋体"/>
          <w:color w:val="auto"/>
          <w:spacing w:val="9"/>
          <w:sz w:val="24"/>
          <w:szCs w:val="24"/>
          <w:u w:val="single" w:color="auto"/>
        </w:rPr>
        <w:t>采购人名称）</w:t>
      </w:r>
    </w:p>
    <w:p w14:paraId="1C7B4B77">
      <w:pPr>
        <w:pStyle w:val="60"/>
        <w:autoSpaceDE w:val="0"/>
        <w:spacing w:line="360" w:lineRule="auto"/>
        <w:ind w:firstLine="480" w:firstLineChars="200"/>
        <w:rPr>
          <w:rFonts w:hint="eastAsia" w:ascii="宋体" w:hAnsi="宋体" w:eastAsia="宋体" w:cs="宋体"/>
          <w:color w:val="auto"/>
          <w:sz w:val="24"/>
          <w:szCs w:val="24"/>
          <w:highlight w:val="none"/>
        </w:rPr>
      </w:pPr>
    </w:p>
    <w:p w14:paraId="1F07DB20">
      <w:pPr>
        <w:pStyle w:val="60"/>
        <w:autoSpaceDE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我方承诺：不存在与其他参加本项目采购活动的供应商单位负责人为同一人，或者存在直接控股、管理关系的情形。如有隐瞒，自愿承担投标无效、列入不良记录等一切法律责任。  </w:t>
      </w:r>
    </w:p>
    <w:p w14:paraId="4BE7E577">
      <w:pPr>
        <w:pStyle w:val="60"/>
        <w:autoSpaceDE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我方保证上述信息的真实和准确，并愿意承担我因方就此弄虚作假所引起的一切法律后果。</w:t>
      </w:r>
    </w:p>
    <w:p w14:paraId="5F73A8FA">
      <w:pPr>
        <w:pStyle w:val="60"/>
        <w:autoSpaceD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BA7E9D2">
      <w:pPr>
        <w:pStyle w:val="60"/>
        <w:autoSpaceD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1FEAC962">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28B29F0E">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16A7DA17">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5956C58B">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45068F43">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单位名称</w:t>
      </w:r>
      <w:r>
        <w:rPr>
          <w:rFonts w:ascii="宋体" w:hAnsi="宋体" w:eastAsia="宋体" w:cs="宋体"/>
          <w:color w:val="auto"/>
          <w:sz w:val="24"/>
          <w:szCs w:val="24"/>
        </w:rPr>
        <w:t>（单位公章）：                      </w:t>
      </w:r>
    </w:p>
    <w:p w14:paraId="4E28641C">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ascii="宋体" w:hAnsi="宋体" w:eastAsia="宋体" w:cs="宋体"/>
          <w:color w:val="auto"/>
          <w:sz w:val="24"/>
          <w:szCs w:val="24"/>
        </w:rPr>
        <w:t>法定代表人或其授权委托人（签字或盖章）：               </w:t>
      </w:r>
    </w:p>
    <w:p w14:paraId="47DBA569">
      <w:pPr>
        <w:numPr>
          <w:ilvl w:val="0"/>
          <w:numId w:val="0"/>
        </w:numPr>
        <w:spacing w:line="480" w:lineRule="exact"/>
        <w:ind w:firstLine="720" w:firstLineChars="300"/>
        <w:jc w:val="both"/>
        <w:outlineLvl w:val="9"/>
        <w:rPr>
          <w:rFonts w:hint="eastAsia" w:ascii="宋体" w:hAnsi="宋体" w:eastAsia="宋体" w:cs="宋体"/>
          <w:bCs/>
          <w:color w:val="auto"/>
          <w:sz w:val="24"/>
        </w:rPr>
      </w:pPr>
      <w:r>
        <w:rPr>
          <w:rFonts w:ascii="宋体" w:hAnsi="宋体" w:eastAsia="宋体" w:cs="宋体"/>
          <w:color w:val="auto"/>
          <w:sz w:val="24"/>
          <w:szCs w:val="24"/>
        </w:rPr>
        <w:t>日        期：</w:t>
      </w:r>
    </w:p>
    <w:p w14:paraId="5DEF382E">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16B5AE21">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20835E34">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4291F0B4">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202CDBE7">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3C6FD07B">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382BB436">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1E304709">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2FA33FDF">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2795DD2E">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1481359F">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2116FEA8">
      <w:pPr>
        <w:keepNext w:val="0"/>
        <w:keepLines w:val="0"/>
        <w:pageBreakBefore w:val="0"/>
        <w:widowControl w:val="0"/>
        <w:bidi w:val="0"/>
        <w:rPr>
          <w:rFonts w:hint="eastAsia" w:ascii="宋体" w:hAnsi="宋体" w:eastAsia="宋体" w:cs="宋体"/>
          <w:b/>
          <w:color w:val="auto"/>
          <w:sz w:val="24"/>
          <w:szCs w:val="32"/>
          <w:highlight w:val="none"/>
          <w:lang w:val="en-US" w:eastAsia="zh-CN"/>
        </w:rPr>
      </w:pPr>
    </w:p>
    <w:p w14:paraId="6AB89443">
      <w:pPr>
        <w:numPr>
          <w:ilvl w:val="0"/>
          <w:numId w:val="0"/>
        </w:numPr>
        <w:spacing w:line="480" w:lineRule="exact"/>
        <w:jc w:val="both"/>
        <w:outlineLvl w:val="9"/>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附件4：</w:t>
      </w:r>
    </w:p>
    <w:p w14:paraId="1F3E34F5">
      <w:pPr>
        <w:keepNext w:val="0"/>
        <w:keepLines w:val="0"/>
        <w:pageBreakBefore w:val="0"/>
        <w:widowControl w:val="0"/>
        <w:bidi w:val="0"/>
        <w:jc w:val="center"/>
        <w:rPr>
          <w:rFonts w:hint="eastAsia" w:ascii="宋体" w:hAnsi="宋体" w:eastAsia="宋体" w:cs="宋体"/>
          <w:b/>
          <w:bCs/>
          <w:color w:val="auto"/>
          <w:spacing w:val="0"/>
          <w:kern w:val="2"/>
          <w:sz w:val="28"/>
          <w:szCs w:val="28"/>
          <w:lang w:val="en-US" w:eastAsia="zh-CN" w:bidi="ar-SA"/>
        </w:rPr>
      </w:pPr>
      <w:r>
        <w:rPr>
          <w:rFonts w:hint="eastAsia" w:ascii="宋体" w:hAnsi="宋体" w:eastAsia="宋体" w:cs="宋体"/>
          <w:b/>
          <w:bCs/>
          <w:color w:val="auto"/>
          <w:spacing w:val="0"/>
          <w:kern w:val="2"/>
          <w:sz w:val="28"/>
          <w:szCs w:val="28"/>
          <w:lang w:val="en-US" w:eastAsia="zh-CN" w:bidi="ar-SA"/>
        </w:rPr>
        <w:t>非联合体磋商声明</w:t>
      </w:r>
    </w:p>
    <w:p w14:paraId="4046EB4B">
      <w:pPr>
        <w:pStyle w:val="9"/>
        <w:pageBreakBefore w:val="0"/>
        <w:wordWrap/>
        <w:overflowPunct/>
        <w:topLinePunct w:val="0"/>
        <w:bidi w:val="0"/>
        <w:adjustRightInd/>
        <w:snapToGrid/>
        <w:spacing w:beforeAutospacing="0" w:afterAutospacing="0" w:line="330" w:lineRule="auto"/>
        <w:ind w:left="0" w:leftChars="0" w:right="0"/>
        <w:rPr>
          <w:rFonts w:hint="eastAsia" w:ascii="宋体" w:hAnsi="宋体" w:eastAsia="宋体" w:cs="宋体"/>
          <w:color w:val="auto"/>
          <w:sz w:val="24"/>
          <w:szCs w:val="24"/>
        </w:rPr>
      </w:pPr>
    </w:p>
    <w:p w14:paraId="78F5D745">
      <w:pPr>
        <w:pageBreakBefore w:val="0"/>
        <w:wordWrap/>
        <w:overflowPunct/>
        <w:topLinePunct w:val="0"/>
        <w:bidi w:val="0"/>
        <w:adjustRightInd/>
        <w:snapToGrid/>
        <w:spacing w:beforeAutospacing="0" w:afterAutospacing="0" w:line="219" w:lineRule="auto"/>
        <w:ind w:left="0" w:leftChars="0" w:right="0"/>
        <w:rPr>
          <w:rFonts w:hint="eastAsia" w:ascii="宋体" w:hAnsi="宋体" w:eastAsia="宋体" w:cs="宋体"/>
          <w:color w:val="auto"/>
          <w:sz w:val="24"/>
          <w:szCs w:val="24"/>
        </w:rPr>
      </w:pPr>
      <w:r>
        <w:rPr>
          <w:rFonts w:hint="eastAsia" w:ascii="宋体" w:hAnsi="宋体" w:eastAsia="宋体" w:cs="宋体"/>
          <w:color w:val="auto"/>
          <w:spacing w:val="9"/>
          <w:sz w:val="24"/>
          <w:szCs w:val="24"/>
        </w:rPr>
        <w:t>致</w:t>
      </w:r>
      <w:r>
        <w:rPr>
          <w:rFonts w:hint="eastAsia" w:ascii="宋体" w:hAnsi="宋体" w:eastAsia="宋体" w:cs="宋体"/>
          <w:color w:val="auto"/>
          <w:spacing w:val="-38"/>
          <w:sz w:val="24"/>
          <w:szCs w:val="24"/>
        </w:rPr>
        <w:t>：</w:t>
      </w:r>
      <w:r>
        <w:rPr>
          <w:rFonts w:hint="eastAsia" w:ascii="宋体" w:hAnsi="宋体" w:eastAsia="宋体" w:cs="宋体"/>
          <w:color w:val="auto"/>
          <w:spacing w:val="-38"/>
          <w:sz w:val="24"/>
          <w:szCs w:val="24"/>
          <w:lang w:val="en-US" w:eastAsia="zh-CN"/>
        </w:rPr>
        <w:t xml:space="preserve">  </w:t>
      </w:r>
      <w:r>
        <w:rPr>
          <w:rFonts w:hint="eastAsia" w:ascii="宋体" w:hAnsi="宋体" w:eastAsia="宋体" w:cs="宋体"/>
          <w:color w:val="auto"/>
          <w:spacing w:val="-38"/>
          <w:sz w:val="24"/>
          <w:szCs w:val="24"/>
          <w:u w:val="single" w:color="auto"/>
          <w:lang w:val="en-US" w:eastAsia="zh-CN"/>
        </w:rPr>
        <w:t xml:space="preserve">                  </w:t>
      </w:r>
      <w:r>
        <w:rPr>
          <w:rFonts w:hint="eastAsia" w:ascii="宋体" w:hAnsi="宋体" w:eastAsia="宋体" w:cs="宋体"/>
          <w:color w:val="auto"/>
          <w:spacing w:val="-38"/>
          <w:sz w:val="24"/>
          <w:szCs w:val="24"/>
          <w:u w:val="single" w:color="auto"/>
        </w:rPr>
        <w:t>（</w:t>
      </w:r>
      <w:r>
        <w:rPr>
          <w:rFonts w:hint="eastAsia" w:ascii="宋体" w:hAnsi="宋体" w:eastAsia="宋体" w:cs="宋体"/>
          <w:color w:val="auto"/>
          <w:spacing w:val="9"/>
          <w:sz w:val="24"/>
          <w:szCs w:val="24"/>
          <w:u w:val="single" w:color="auto"/>
        </w:rPr>
        <w:t>采购人名称）</w:t>
      </w:r>
    </w:p>
    <w:p w14:paraId="7F90B8F8">
      <w:pPr>
        <w:pStyle w:val="9"/>
        <w:pageBreakBefore w:val="0"/>
        <w:wordWrap/>
        <w:overflowPunct/>
        <w:topLinePunct w:val="0"/>
        <w:bidi w:val="0"/>
        <w:adjustRightInd/>
        <w:snapToGrid/>
        <w:spacing w:beforeAutospacing="0" w:afterAutospacing="0" w:line="301" w:lineRule="auto"/>
        <w:ind w:left="0" w:leftChars="0" w:right="0"/>
        <w:rPr>
          <w:rFonts w:hint="eastAsia" w:ascii="宋体" w:hAnsi="宋体" w:eastAsia="宋体" w:cs="宋体"/>
          <w:color w:val="auto"/>
          <w:sz w:val="24"/>
          <w:szCs w:val="24"/>
        </w:rPr>
      </w:pPr>
    </w:p>
    <w:p w14:paraId="3E4D6BD2">
      <w:pPr>
        <w:pageBreakBefore w:val="0"/>
        <w:wordWrap/>
        <w:overflowPunct/>
        <w:topLinePunct w:val="0"/>
        <w:bidi w:val="0"/>
        <w:adjustRightInd/>
        <w:snapToGrid/>
        <w:spacing w:beforeAutospacing="0" w:afterAutospacing="0" w:line="479" w:lineRule="auto"/>
        <w:ind w:left="0" w:leftChars="0" w:right="0" w:firstLine="55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我公司收到贵单位</w:t>
      </w:r>
      <w:r>
        <w:rPr>
          <w:rFonts w:hint="eastAsia" w:ascii="宋体" w:hAnsi="宋体" w:cs="宋体"/>
          <w:color w:val="000000"/>
          <w:sz w:val="24"/>
          <w:szCs w:val="32"/>
          <w:u w:val="single"/>
          <w:lang w:val="en-US" w:eastAsia="zh-CN"/>
        </w:rPr>
        <w:t xml:space="preserve">       </w:t>
      </w:r>
      <w:r>
        <w:rPr>
          <w:rFonts w:hint="eastAsia" w:ascii="宋体" w:hAnsi="宋体" w:cs="宋体"/>
          <w:color w:val="auto"/>
          <w:sz w:val="24"/>
          <w:u w:val="single"/>
          <w:lang w:val="en-US" w:eastAsia="zh-CN"/>
        </w:rPr>
        <w:t>（二标包）</w:t>
      </w:r>
      <w:r>
        <w:rPr>
          <w:rFonts w:hint="eastAsia" w:ascii="宋体" w:hAnsi="宋体" w:eastAsia="宋体" w:cs="宋体"/>
          <w:sz w:val="24"/>
          <w:szCs w:val="32"/>
          <w:u w:val="single"/>
        </w:rPr>
        <w:t>《项目名称</w:t>
      </w:r>
      <w:r>
        <w:rPr>
          <w:rFonts w:hint="eastAsia" w:ascii="宋体" w:hAnsi="宋体" w:eastAsia="宋体" w:cs="宋体"/>
          <w:sz w:val="24"/>
          <w:szCs w:val="32"/>
        </w:rPr>
        <w:t>》</w:t>
      </w:r>
      <w:r>
        <w:rPr>
          <w:rFonts w:hint="eastAsia" w:ascii="宋体" w:hAnsi="宋体" w:eastAsia="宋体" w:cs="宋体"/>
          <w:color w:val="000000"/>
          <w:sz w:val="24"/>
          <w:szCs w:val="32"/>
        </w:rPr>
        <w:t>（项目编号：</w:t>
      </w:r>
      <w:r>
        <w:rPr>
          <w:rFonts w:hint="eastAsia" w:ascii="宋体" w:hAnsi="宋体" w:eastAsia="宋体" w:cs="宋体"/>
          <w:color w:val="000000"/>
          <w:sz w:val="24"/>
          <w:szCs w:val="32"/>
          <w:u w:val="single"/>
        </w:rPr>
        <w:t xml:space="preserve">       </w:t>
      </w:r>
      <w:r>
        <w:rPr>
          <w:rFonts w:hint="eastAsia" w:ascii="宋体" w:hAnsi="宋体" w:eastAsia="宋体" w:cs="宋体"/>
          <w:color w:val="000000"/>
          <w:sz w:val="24"/>
          <w:szCs w:val="32"/>
        </w:rPr>
        <w:t>）</w:t>
      </w:r>
      <w:r>
        <w:rPr>
          <w:rFonts w:hint="eastAsia" w:ascii="宋体" w:hAnsi="宋体" w:eastAsia="宋体" w:cs="宋体"/>
          <w:color w:val="auto"/>
          <w:spacing w:val="1"/>
          <w:sz w:val="24"/>
          <w:szCs w:val="24"/>
        </w:rPr>
        <w:t>的</w:t>
      </w:r>
      <w:r>
        <w:rPr>
          <w:rFonts w:hint="eastAsia" w:ascii="宋体" w:hAnsi="宋体" w:cs="宋体"/>
          <w:color w:val="auto"/>
          <w:spacing w:val="1"/>
          <w:sz w:val="24"/>
          <w:szCs w:val="24"/>
          <w:lang w:val="en-US" w:eastAsia="zh-CN"/>
        </w:rPr>
        <w:t>磋商</w:t>
      </w:r>
      <w:r>
        <w:rPr>
          <w:rFonts w:hint="eastAsia" w:ascii="宋体" w:hAnsi="宋体" w:eastAsia="宋体" w:cs="宋体"/>
          <w:color w:val="auto"/>
          <w:spacing w:val="1"/>
          <w:sz w:val="24"/>
          <w:szCs w:val="24"/>
        </w:rPr>
        <w:t>文件，经详细研究，我们决定参加该项目的</w:t>
      </w:r>
      <w:r>
        <w:rPr>
          <w:rFonts w:hint="eastAsia" w:ascii="宋体" w:hAnsi="宋体" w:eastAsia="宋体" w:cs="宋体"/>
          <w:color w:val="auto"/>
          <w:spacing w:val="1"/>
          <w:sz w:val="24"/>
          <w:szCs w:val="24"/>
          <w:lang w:val="en-US" w:eastAsia="zh-CN"/>
        </w:rPr>
        <w:t>磋商</w:t>
      </w:r>
      <w:r>
        <w:rPr>
          <w:rFonts w:hint="eastAsia" w:ascii="宋体" w:hAnsi="宋体" w:eastAsia="宋体" w:cs="宋体"/>
          <w:color w:val="auto"/>
          <w:spacing w:val="1"/>
          <w:sz w:val="24"/>
          <w:szCs w:val="24"/>
        </w:rPr>
        <w:t>活动。为此，我方</w:t>
      </w:r>
      <w:r>
        <w:rPr>
          <w:rFonts w:hint="eastAsia" w:ascii="宋体" w:hAnsi="宋体" w:eastAsia="宋体" w:cs="宋体"/>
          <w:color w:val="auto"/>
          <w:spacing w:val="-1"/>
          <w:sz w:val="24"/>
          <w:szCs w:val="24"/>
        </w:rPr>
        <w:t>郑重声明以下内容，并负法律责任。</w:t>
      </w:r>
    </w:p>
    <w:p w14:paraId="74F4881B">
      <w:pPr>
        <w:pageBreakBefore w:val="0"/>
        <w:wordWrap/>
        <w:overflowPunct/>
        <w:topLinePunct w:val="0"/>
        <w:bidi w:val="0"/>
        <w:adjustRightInd/>
        <w:snapToGrid/>
        <w:spacing w:beforeAutospacing="0" w:afterAutospacing="0" w:line="219" w:lineRule="auto"/>
        <w:ind w:left="0" w:leftChars="0" w:right="0"/>
        <w:rPr>
          <w:rFonts w:hint="eastAsia" w:ascii="宋体" w:hAnsi="宋体" w:eastAsia="宋体" w:cs="宋体"/>
          <w:color w:val="auto"/>
          <w:sz w:val="24"/>
          <w:szCs w:val="24"/>
        </w:rPr>
      </w:pPr>
      <w:r>
        <w:rPr>
          <w:rFonts w:hint="eastAsia" w:ascii="宋体" w:hAnsi="宋体" w:eastAsia="宋体" w:cs="宋体"/>
          <w:color w:val="auto"/>
          <w:spacing w:val="-1"/>
          <w:sz w:val="24"/>
          <w:szCs w:val="24"/>
        </w:rPr>
        <w:t>1.本项目我公司以自己的名义参加谈判，不存在联合体谈判的情况。</w:t>
      </w:r>
    </w:p>
    <w:p w14:paraId="6E916FBC">
      <w:pPr>
        <w:pStyle w:val="9"/>
        <w:pageBreakBefore w:val="0"/>
        <w:wordWrap/>
        <w:overflowPunct/>
        <w:topLinePunct w:val="0"/>
        <w:bidi w:val="0"/>
        <w:adjustRightInd/>
        <w:snapToGrid/>
        <w:spacing w:beforeAutospacing="0" w:afterAutospacing="0" w:line="299" w:lineRule="auto"/>
        <w:ind w:left="0" w:leftChars="0" w:right="0"/>
        <w:rPr>
          <w:rFonts w:hint="eastAsia" w:ascii="宋体" w:hAnsi="宋体" w:eastAsia="宋体" w:cs="宋体"/>
          <w:color w:val="auto"/>
          <w:sz w:val="24"/>
          <w:szCs w:val="24"/>
        </w:rPr>
      </w:pPr>
    </w:p>
    <w:p w14:paraId="69186297">
      <w:pPr>
        <w:pageBreakBefore w:val="0"/>
        <w:wordWrap/>
        <w:overflowPunct/>
        <w:topLinePunct w:val="0"/>
        <w:bidi w:val="0"/>
        <w:adjustRightInd/>
        <w:snapToGrid/>
        <w:spacing w:beforeAutospacing="0" w:afterAutospacing="0" w:line="220" w:lineRule="auto"/>
        <w:ind w:left="0" w:leftChars="0" w:right="0"/>
        <w:rPr>
          <w:rFonts w:hint="eastAsia" w:ascii="宋体" w:hAnsi="宋体" w:eastAsia="宋体" w:cs="宋体"/>
          <w:color w:val="auto"/>
          <w:sz w:val="24"/>
          <w:szCs w:val="24"/>
        </w:rPr>
      </w:pPr>
      <w:r>
        <w:rPr>
          <w:rFonts w:hint="eastAsia" w:ascii="宋体" w:hAnsi="宋体" w:eastAsia="宋体" w:cs="宋体"/>
          <w:color w:val="auto"/>
          <w:spacing w:val="-1"/>
          <w:sz w:val="24"/>
          <w:szCs w:val="24"/>
        </w:rPr>
        <w:t>2.我公司愿按《中华人民共和国民法典》履行自己的全部责任。</w:t>
      </w:r>
    </w:p>
    <w:p w14:paraId="0855EDAA">
      <w:pPr>
        <w:pStyle w:val="9"/>
        <w:pageBreakBefore w:val="0"/>
        <w:wordWrap/>
        <w:overflowPunct/>
        <w:topLinePunct w:val="0"/>
        <w:bidi w:val="0"/>
        <w:adjustRightInd/>
        <w:snapToGrid/>
        <w:spacing w:beforeAutospacing="0" w:afterAutospacing="0" w:line="300" w:lineRule="auto"/>
        <w:ind w:left="0" w:leftChars="0" w:right="0"/>
        <w:rPr>
          <w:rFonts w:hint="eastAsia" w:ascii="宋体" w:hAnsi="宋体" w:eastAsia="宋体" w:cs="宋体"/>
          <w:color w:val="auto"/>
          <w:sz w:val="24"/>
          <w:szCs w:val="24"/>
        </w:rPr>
      </w:pPr>
    </w:p>
    <w:p w14:paraId="1811304B">
      <w:pPr>
        <w:pageBreakBefore w:val="0"/>
        <w:wordWrap/>
        <w:overflowPunct/>
        <w:topLinePunct w:val="0"/>
        <w:bidi w:val="0"/>
        <w:adjustRightInd/>
        <w:snapToGrid/>
        <w:spacing w:beforeAutospacing="0" w:afterAutospacing="0" w:line="220" w:lineRule="auto"/>
        <w:ind w:left="0" w:leftChars="0" w:right="0"/>
        <w:rPr>
          <w:rFonts w:hint="eastAsia" w:ascii="宋体" w:hAnsi="宋体" w:eastAsia="宋体" w:cs="宋体"/>
          <w:color w:val="auto"/>
          <w:sz w:val="24"/>
          <w:szCs w:val="24"/>
        </w:rPr>
      </w:pPr>
      <w:r>
        <w:rPr>
          <w:rFonts w:hint="eastAsia" w:ascii="宋体" w:hAnsi="宋体" w:eastAsia="宋体" w:cs="宋体"/>
          <w:color w:val="auto"/>
          <w:spacing w:val="-2"/>
          <w:sz w:val="24"/>
          <w:szCs w:val="24"/>
        </w:rPr>
        <w:t>特此声明。</w:t>
      </w:r>
    </w:p>
    <w:p w14:paraId="2673E7A0">
      <w:pPr>
        <w:pStyle w:val="9"/>
        <w:pageBreakBefore w:val="0"/>
        <w:wordWrap/>
        <w:overflowPunct/>
        <w:topLinePunct w:val="0"/>
        <w:bidi w:val="0"/>
        <w:adjustRightInd/>
        <w:snapToGrid/>
        <w:spacing w:beforeAutospacing="0" w:afterAutospacing="0" w:line="249" w:lineRule="auto"/>
        <w:ind w:left="0" w:leftChars="0" w:right="0"/>
        <w:rPr>
          <w:rFonts w:hint="eastAsia" w:ascii="宋体" w:hAnsi="宋体" w:eastAsia="宋体" w:cs="宋体"/>
          <w:color w:val="auto"/>
          <w:sz w:val="24"/>
          <w:szCs w:val="24"/>
        </w:rPr>
      </w:pPr>
    </w:p>
    <w:p w14:paraId="300E74D4">
      <w:pPr>
        <w:pStyle w:val="9"/>
        <w:pageBreakBefore w:val="0"/>
        <w:wordWrap/>
        <w:overflowPunct/>
        <w:topLinePunct w:val="0"/>
        <w:bidi w:val="0"/>
        <w:adjustRightInd/>
        <w:snapToGrid/>
        <w:spacing w:beforeAutospacing="0" w:afterAutospacing="0" w:line="249" w:lineRule="auto"/>
        <w:ind w:left="0" w:leftChars="0" w:right="0"/>
        <w:rPr>
          <w:rFonts w:hint="eastAsia" w:ascii="宋体" w:hAnsi="宋体" w:eastAsia="宋体" w:cs="宋体"/>
          <w:color w:val="auto"/>
          <w:sz w:val="24"/>
          <w:szCs w:val="24"/>
        </w:rPr>
      </w:pPr>
    </w:p>
    <w:p w14:paraId="2B9B2053">
      <w:pPr>
        <w:pStyle w:val="9"/>
        <w:pageBreakBefore w:val="0"/>
        <w:wordWrap/>
        <w:overflowPunct/>
        <w:topLinePunct w:val="0"/>
        <w:bidi w:val="0"/>
        <w:adjustRightInd/>
        <w:snapToGrid/>
        <w:spacing w:beforeAutospacing="0" w:afterAutospacing="0" w:line="249" w:lineRule="auto"/>
        <w:ind w:left="0" w:leftChars="0" w:right="0"/>
        <w:rPr>
          <w:rFonts w:hint="eastAsia" w:ascii="宋体" w:hAnsi="宋体" w:eastAsia="宋体" w:cs="宋体"/>
          <w:color w:val="auto"/>
          <w:sz w:val="24"/>
          <w:szCs w:val="24"/>
        </w:rPr>
      </w:pPr>
    </w:p>
    <w:p w14:paraId="19C82116">
      <w:pPr>
        <w:pStyle w:val="9"/>
        <w:pageBreakBefore w:val="0"/>
        <w:wordWrap/>
        <w:overflowPunct/>
        <w:topLinePunct w:val="0"/>
        <w:bidi w:val="0"/>
        <w:adjustRightInd/>
        <w:snapToGrid/>
        <w:spacing w:beforeAutospacing="0" w:afterAutospacing="0" w:line="249" w:lineRule="auto"/>
        <w:ind w:left="0" w:leftChars="0" w:right="0"/>
        <w:rPr>
          <w:rFonts w:hint="eastAsia" w:ascii="宋体" w:hAnsi="宋体" w:eastAsia="宋体" w:cs="宋体"/>
          <w:color w:val="auto"/>
          <w:sz w:val="24"/>
          <w:szCs w:val="24"/>
        </w:rPr>
      </w:pPr>
    </w:p>
    <w:p w14:paraId="5482CFE7">
      <w:pPr>
        <w:pStyle w:val="9"/>
        <w:pageBreakBefore w:val="0"/>
        <w:wordWrap/>
        <w:overflowPunct/>
        <w:topLinePunct w:val="0"/>
        <w:bidi w:val="0"/>
        <w:adjustRightInd/>
        <w:snapToGrid/>
        <w:spacing w:beforeAutospacing="0" w:afterAutospacing="0" w:line="249" w:lineRule="auto"/>
        <w:ind w:left="0" w:leftChars="0" w:right="0"/>
        <w:rPr>
          <w:rFonts w:hint="eastAsia" w:ascii="宋体" w:hAnsi="宋体" w:eastAsia="宋体" w:cs="宋体"/>
          <w:color w:val="auto"/>
          <w:sz w:val="24"/>
          <w:szCs w:val="24"/>
        </w:rPr>
      </w:pPr>
    </w:p>
    <w:p w14:paraId="2303B555">
      <w:pPr>
        <w:pStyle w:val="9"/>
        <w:pageBreakBefore w:val="0"/>
        <w:wordWrap/>
        <w:overflowPunct/>
        <w:topLinePunct w:val="0"/>
        <w:bidi w:val="0"/>
        <w:adjustRightInd/>
        <w:snapToGrid/>
        <w:spacing w:beforeAutospacing="0" w:afterAutospacing="0" w:line="249" w:lineRule="auto"/>
        <w:ind w:left="0" w:leftChars="0" w:right="0"/>
        <w:rPr>
          <w:rFonts w:hint="eastAsia" w:ascii="宋体" w:hAnsi="宋体" w:eastAsia="宋体" w:cs="宋体"/>
          <w:color w:val="auto"/>
          <w:sz w:val="24"/>
          <w:szCs w:val="24"/>
        </w:rPr>
      </w:pPr>
    </w:p>
    <w:p w14:paraId="447F0F05">
      <w:pPr>
        <w:pStyle w:val="9"/>
        <w:pageBreakBefore w:val="0"/>
        <w:wordWrap/>
        <w:overflowPunct/>
        <w:topLinePunct w:val="0"/>
        <w:bidi w:val="0"/>
        <w:adjustRightInd/>
        <w:snapToGrid/>
        <w:spacing w:beforeAutospacing="0" w:afterAutospacing="0" w:line="250" w:lineRule="auto"/>
        <w:ind w:left="0" w:leftChars="0" w:right="0"/>
        <w:rPr>
          <w:rFonts w:hint="eastAsia" w:ascii="宋体" w:hAnsi="宋体" w:eastAsia="宋体" w:cs="宋体"/>
          <w:color w:val="auto"/>
          <w:sz w:val="24"/>
          <w:szCs w:val="24"/>
        </w:rPr>
      </w:pPr>
    </w:p>
    <w:p w14:paraId="6CFD2833">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单位名称</w:t>
      </w:r>
      <w:r>
        <w:rPr>
          <w:rFonts w:ascii="宋体" w:hAnsi="宋体" w:eastAsia="宋体" w:cs="宋体"/>
          <w:color w:val="auto"/>
          <w:sz w:val="24"/>
          <w:szCs w:val="24"/>
        </w:rPr>
        <w:t>（单位公章）：                      </w:t>
      </w:r>
    </w:p>
    <w:p w14:paraId="083D2BEB">
      <w:pPr>
        <w:numPr>
          <w:ilvl w:val="0"/>
          <w:numId w:val="0"/>
        </w:numPr>
        <w:spacing w:line="480" w:lineRule="exact"/>
        <w:ind w:firstLine="720" w:firstLineChars="300"/>
        <w:jc w:val="both"/>
        <w:outlineLvl w:val="9"/>
        <w:rPr>
          <w:rFonts w:hint="eastAsia" w:ascii="宋体" w:hAnsi="宋体" w:eastAsia="宋体" w:cs="宋体"/>
          <w:color w:val="auto"/>
          <w:sz w:val="24"/>
          <w:szCs w:val="24"/>
          <w:lang w:eastAsia="zh-CN"/>
        </w:rPr>
      </w:pPr>
      <w:r>
        <w:rPr>
          <w:rFonts w:ascii="宋体" w:hAnsi="宋体" w:eastAsia="宋体" w:cs="宋体"/>
          <w:color w:val="auto"/>
          <w:sz w:val="24"/>
          <w:szCs w:val="24"/>
        </w:rPr>
        <w:t>法定代表人或其授权委托人（签字或盖章）：               </w:t>
      </w:r>
    </w:p>
    <w:p w14:paraId="4B7C5C67">
      <w:pPr>
        <w:numPr>
          <w:ilvl w:val="0"/>
          <w:numId w:val="0"/>
        </w:numPr>
        <w:spacing w:line="480" w:lineRule="exact"/>
        <w:ind w:firstLine="720" w:firstLineChars="300"/>
        <w:jc w:val="both"/>
        <w:outlineLvl w:val="9"/>
        <w:rPr>
          <w:rFonts w:hint="eastAsia" w:ascii="宋体" w:hAnsi="宋体" w:eastAsia="宋体" w:cs="宋体"/>
          <w:bCs/>
          <w:color w:val="auto"/>
          <w:sz w:val="24"/>
        </w:rPr>
      </w:pPr>
      <w:r>
        <w:rPr>
          <w:rFonts w:ascii="宋体" w:hAnsi="宋体" w:eastAsia="宋体" w:cs="宋体"/>
          <w:color w:val="auto"/>
          <w:sz w:val="24"/>
          <w:szCs w:val="24"/>
        </w:rPr>
        <w:t>日        期：</w:t>
      </w:r>
    </w:p>
    <w:p w14:paraId="069FDBAF">
      <w:pPr>
        <w:numPr>
          <w:ilvl w:val="0"/>
          <w:numId w:val="0"/>
        </w:numPr>
        <w:ind w:firstLine="2570" w:firstLineChars="800"/>
        <w:jc w:val="both"/>
        <w:rPr>
          <w:rFonts w:hint="eastAsia" w:ascii="宋体" w:hAnsi="宋体" w:eastAsia="宋体" w:cs="宋体"/>
          <w:b/>
          <w:color w:val="auto"/>
          <w:sz w:val="32"/>
          <w:szCs w:val="32"/>
        </w:rPr>
      </w:pPr>
    </w:p>
    <w:p w14:paraId="6BE96713">
      <w:pPr>
        <w:numPr>
          <w:ilvl w:val="0"/>
          <w:numId w:val="0"/>
        </w:numPr>
        <w:ind w:firstLine="2570" w:firstLineChars="800"/>
        <w:jc w:val="both"/>
        <w:rPr>
          <w:rFonts w:hint="eastAsia" w:ascii="宋体" w:hAnsi="宋体" w:eastAsia="宋体" w:cs="宋体"/>
          <w:b/>
          <w:color w:val="auto"/>
          <w:sz w:val="32"/>
          <w:szCs w:val="32"/>
        </w:rPr>
      </w:pPr>
    </w:p>
    <w:p w14:paraId="66255DE2">
      <w:pPr>
        <w:numPr>
          <w:ilvl w:val="0"/>
          <w:numId w:val="0"/>
        </w:numPr>
        <w:ind w:firstLine="2570" w:firstLineChars="800"/>
        <w:jc w:val="both"/>
        <w:rPr>
          <w:rFonts w:hint="eastAsia" w:ascii="宋体" w:hAnsi="宋体" w:eastAsia="宋体" w:cs="宋体"/>
          <w:b/>
          <w:color w:val="auto"/>
          <w:sz w:val="32"/>
          <w:szCs w:val="32"/>
        </w:rPr>
      </w:pPr>
    </w:p>
    <w:p w14:paraId="4315F11A">
      <w:pPr>
        <w:numPr>
          <w:ilvl w:val="0"/>
          <w:numId w:val="0"/>
        </w:numPr>
        <w:ind w:firstLine="2570" w:firstLineChars="800"/>
        <w:jc w:val="both"/>
        <w:rPr>
          <w:rFonts w:hint="eastAsia" w:ascii="宋体" w:hAnsi="宋体" w:eastAsia="宋体" w:cs="宋体"/>
          <w:b/>
          <w:color w:val="auto"/>
          <w:sz w:val="32"/>
          <w:szCs w:val="32"/>
        </w:rPr>
      </w:pPr>
    </w:p>
    <w:p w14:paraId="735D9954">
      <w:pPr>
        <w:numPr>
          <w:ilvl w:val="0"/>
          <w:numId w:val="0"/>
        </w:numPr>
        <w:ind w:firstLine="2570" w:firstLineChars="800"/>
        <w:jc w:val="both"/>
        <w:rPr>
          <w:rFonts w:hint="eastAsia" w:ascii="宋体" w:hAnsi="宋体" w:eastAsia="宋体" w:cs="宋体"/>
          <w:b/>
          <w:color w:val="auto"/>
          <w:sz w:val="32"/>
          <w:szCs w:val="32"/>
        </w:rPr>
      </w:pPr>
    </w:p>
    <w:p w14:paraId="1F921E8B">
      <w:pPr>
        <w:numPr>
          <w:ilvl w:val="0"/>
          <w:numId w:val="0"/>
        </w:numPr>
        <w:ind w:firstLine="2570" w:firstLineChars="800"/>
        <w:jc w:val="both"/>
        <w:rPr>
          <w:rFonts w:hint="eastAsia" w:ascii="宋体" w:hAnsi="宋体" w:eastAsia="宋体" w:cs="宋体"/>
          <w:b/>
          <w:color w:val="auto"/>
          <w:sz w:val="32"/>
          <w:szCs w:val="32"/>
        </w:rPr>
      </w:pPr>
    </w:p>
    <w:p w14:paraId="002B4AAA">
      <w:pPr>
        <w:numPr>
          <w:ilvl w:val="0"/>
          <w:numId w:val="0"/>
        </w:numPr>
        <w:ind w:firstLine="2570" w:firstLineChars="800"/>
        <w:jc w:val="both"/>
        <w:rPr>
          <w:rFonts w:hint="eastAsia" w:ascii="宋体" w:hAnsi="宋体" w:eastAsia="宋体" w:cs="宋体"/>
          <w:b/>
          <w:color w:val="auto"/>
          <w:sz w:val="32"/>
          <w:szCs w:val="32"/>
        </w:rPr>
      </w:pPr>
    </w:p>
    <w:p w14:paraId="23129E6F">
      <w:pPr>
        <w:numPr>
          <w:ilvl w:val="0"/>
          <w:numId w:val="0"/>
        </w:numPr>
        <w:ind w:firstLine="2570" w:firstLineChars="800"/>
        <w:jc w:val="both"/>
        <w:rPr>
          <w:rFonts w:hint="eastAsia" w:ascii="宋体" w:hAnsi="宋体" w:eastAsia="宋体" w:cs="宋体"/>
          <w:b/>
          <w:color w:val="auto"/>
          <w:sz w:val="32"/>
          <w:szCs w:val="32"/>
        </w:rPr>
      </w:pPr>
    </w:p>
    <w:p w14:paraId="32868CAA">
      <w:pPr>
        <w:numPr>
          <w:ilvl w:val="0"/>
          <w:numId w:val="0"/>
        </w:numPr>
        <w:ind w:firstLine="2570" w:firstLineChars="800"/>
        <w:jc w:val="both"/>
        <w:rPr>
          <w:rFonts w:hint="eastAsia" w:ascii="宋体" w:hAnsi="宋体" w:eastAsia="宋体" w:cs="宋体"/>
          <w:color w:val="auto"/>
          <w:sz w:val="28"/>
          <w:szCs w:val="28"/>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7</w:t>
      </w:r>
      <w:r>
        <w:rPr>
          <w:rFonts w:hint="eastAsia" w:ascii="宋体" w:hAnsi="宋体" w:eastAsia="宋体" w:cs="宋体"/>
          <w:b/>
          <w:color w:val="auto"/>
          <w:sz w:val="32"/>
          <w:szCs w:val="32"/>
        </w:rPr>
        <w:t>部分  磋商响应方案</w:t>
      </w:r>
    </w:p>
    <w:p w14:paraId="34811018">
      <w:pPr>
        <w:pStyle w:val="14"/>
        <w:rPr>
          <w:rFonts w:hint="eastAsia" w:ascii="宋体" w:hAnsi="宋体" w:eastAsia="宋体" w:cs="宋体"/>
          <w:bCs/>
          <w:color w:val="auto"/>
          <w:sz w:val="24"/>
          <w:szCs w:val="24"/>
          <w:lang w:eastAsia="zh-CN"/>
        </w:rPr>
      </w:pPr>
    </w:p>
    <w:p w14:paraId="231D2BF9">
      <w:pPr>
        <w:tabs>
          <w:tab w:val="left" w:pos="1260"/>
        </w:tabs>
        <w:spacing w:line="720" w:lineRule="auto"/>
        <w:ind w:firstLine="1446" w:firstLineChars="600"/>
        <w:jc w:val="both"/>
        <w:rPr>
          <w:rFonts w:hint="eastAsia" w:ascii="宋体" w:hAnsi="宋体" w:eastAsia="宋体" w:cs="宋体"/>
          <w:bCs/>
          <w:color w:val="auto"/>
          <w:sz w:val="24"/>
          <w:szCs w:val="24"/>
          <w:lang w:eastAsia="zh-CN"/>
        </w:rPr>
      </w:pPr>
      <w:r>
        <w:rPr>
          <w:rFonts w:hint="eastAsia" w:ascii="宋体" w:hAnsi="宋体" w:eastAsia="宋体" w:cs="宋体"/>
          <w:b/>
          <w:bCs w:val="0"/>
          <w:color w:val="auto"/>
          <w:sz w:val="24"/>
          <w:szCs w:val="24"/>
          <w:lang w:val="en-US" w:eastAsia="zh-CN"/>
        </w:rPr>
        <w:t>供应商</w:t>
      </w:r>
      <w:r>
        <w:rPr>
          <w:rFonts w:hint="eastAsia" w:ascii="宋体" w:hAnsi="宋体" w:eastAsia="宋体" w:cs="宋体"/>
          <w:b/>
          <w:bCs w:val="0"/>
          <w:color w:val="auto"/>
          <w:sz w:val="24"/>
          <w:szCs w:val="24"/>
          <w:lang w:eastAsia="zh-CN"/>
        </w:rPr>
        <w:t>根据采购内容及评标办法，可自主编写方案说明。</w:t>
      </w:r>
    </w:p>
    <w:p w14:paraId="5D40A296">
      <w:pPr>
        <w:pStyle w:val="14"/>
        <w:rPr>
          <w:rFonts w:hint="eastAsia" w:ascii="宋体" w:hAnsi="宋体" w:eastAsia="宋体" w:cs="宋体"/>
          <w:bCs/>
          <w:color w:val="auto"/>
          <w:sz w:val="24"/>
          <w:szCs w:val="24"/>
          <w:lang w:eastAsia="zh-CN"/>
        </w:rPr>
      </w:pPr>
    </w:p>
    <w:p w14:paraId="44E1AE6E">
      <w:pPr>
        <w:pStyle w:val="14"/>
        <w:rPr>
          <w:rFonts w:hint="eastAsia" w:ascii="宋体" w:hAnsi="宋体" w:eastAsia="宋体" w:cs="宋体"/>
          <w:bCs/>
          <w:color w:val="auto"/>
          <w:sz w:val="24"/>
          <w:szCs w:val="24"/>
          <w:lang w:eastAsia="zh-CN"/>
        </w:rPr>
      </w:pPr>
    </w:p>
    <w:p w14:paraId="08981A52">
      <w:pPr>
        <w:wordWrap w:val="0"/>
        <w:spacing w:line="360" w:lineRule="auto"/>
        <w:ind w:right="456"/>
        <w:rPr>
          <w:rFonts w:hint="eastAsia" w:ascii="宋体" w:hAnsi="宋体" w:eastAsia="宋体" w:cs="宋体"/>
          <w:color w:val="auto"/>
        </w:rPr>
      </w:pPr>
    </w:p>
    <w:p w14:paraId="7EBB0059">
      <w:pPr>
        <w:pStyle w:val="14"/>
        <w:rPr>
          <w:rFonts w:hint="eastAsia" w:ascii="宋体" w:hAnsi="宋体" w:eastAsia="宋体" w:cs="宋体"/>
          <w:color w:val="auto"/>
        </w:rPr>
      </w:pPr>
    </w:p>
    <w:p w14:paraId="40290B32">
      <w:pPr>
        <w:pStyle w:val="14"/>
        <w:rPr>
          <w:rFonts w:hint="eastAsia" w:ascii="宋体" w:hAnsi="宋体" w:eastAsia="宋体" w:cs="宋体"/>
          <w:color w:val="auto"/>
        </w:rPr>
      </w:pPr>
    </w:p>
    <w:p w14:paraId="63F429FD">
      <w:pPr>
        <w:pStyle w:val="14"/>
        <w:rPr>
          <w:rFonts w:hint="eastAsia" w:ascii="宋体" w:hAnsi="宋体" w:eastAsia="宋体" w:cs="宋体"/>
          <w:color w:val="auto"/>
        </w:rPr>
      </w:pPr>
    </w:p>
    <w:p w14:paraId="759E4CC1">
      <w:pPr>
        <w:pStyle w:val="14"/>
        <w:rPr>
          <w:rFonts w:hint="eastAsia" w:ascii="宋体" w:hAnsi="宋体" w:eastAsia="宋体" w:cs="宋体"/>
          <w:color w:val="auto"/>
        </w:rPr>
      </w:pPr>
    </w:p>
    <w:p w14:paraId="17076717">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8</w:t>
      </w:r>
      <w:r>
        <w:rPr>
          <w:rFonts w:hint="eastAsia" w:ascii="宋体" w:hAnsi="宋体" w:eastAsia="宋体" w:cs="宋体"/>
          <w:b/>
          <w:color w:val="auto"/>
          <w:sz w:val="32"/>
          <w:szCs w:val="32"/>
        </w:rPr>
        <w:t>部分   供应商承诺书</w:t>
      </w:r>
    </w:p>
    <w:p w14:paraId="26041965">
      <w:pPr>
        <w:pStyle w:val="12"/>
        <w:jc w:val="center"/>
        <w:rPr>
          <w:rFonts w:hint="eastAsia" w:ascii="宋体" w:hAnsi="宋体" w:eastAsia="宋体" w:cs="宋体"/>
          <w:b/>
          <w:color w:val="auto"/>
          <w:sz w:val="32"/>
        </w:rPr>
      </w:pPr>
      <w:r>
        <w:rPr>
          <w:rFonts w:hint="eastAsia" w:ascii="宋体" w:hAnsi="宋体" w:eastAsia="宋体" w:cs="宋体"/>
          <w:b/>
          <w:color w:val="auto"/>
          <w:sz w:val="28"/>
          <w:szCs w:val="20"/>
        </w:rPr>
        <w:t>陕西省政府采购供应商拒绝政府采购领域商业贿赂承诺书</w:t>
      </w:r>
      <w:r>
        <w:rPr>
          <w:rFonts w:hint="eastAsia" w:ascii="宋体" w:hAnsi="宋体" w:eastAsia="宋体" w:cs="宋体"/>
          <w:b/>
          <w:color w:val="auto"/>
          <w:sz w:val="28"/>
          <w:szCs w:val="28"/>
        </w:rPr>
        <w:t>Ⅰ</w:t>
      </w:r>
    </w:p>
    <w:p w14:paraId="3BA5F112">
      <w:pPr>
        <w:rPr>
          <w:rFonts w:hint="eastAsia" w:ascii="宋体" w:hAnsi="宋体" w:eastAsia="宋体" w:cs="宋体"/>
          <w:color w:val="auto"/>
        </w:rPr>
      </w:pPr>
    </w:p>
    <w:p w14:paraId="4A9BF076">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0AA27C39">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34540153">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39709D5C">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14:paraId="0B3393F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4FDBAB7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14:paraId="2A46842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14:paraId="26AA363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14:paraId="006E7463">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14:paraId="2351477D">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14:paraId="202FC089">
      <w:pPr>
        <w:spacing w:line="360" w:lineRule="auto"/>
        <w:ind w:firstLine="480" w:firstLineChars="200"/>
        <w:rPr>
          <w:rFonts w:hint="eastAsia" w:ascii="宋体" w:hAnsi="宋体" w:eastAsia="宋体" w:cs="宋体"/>
          <w:color w:val="auto"/>
          <w:sz w:val="24"/>
          <w:szCs w:val="28"/>
        </w:rPr>
      </w:pPr>
    </w:p>
    <w:p w14:paraId="33812FB1">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14:paraId="73324D60">
      <w:pPr>
        <w:spacing w:line="360" w:lineRule="auto"/>
        <w:ind w:firstLine="360" w:firstLineChars="150"/>
        <w:rPr>
          <w:rFonts w:hint="eastAsia" w:ascii="宋体" w:hAnsi="宋体" w:eastAsia="宋体" w:cs="宋体"/>
          <w:color w:val="auto"/>
          <w:sz w:val="24"/>
          <w:szCs w:val="28"/>
        </w:rPr>
      </w:pPr>
    </w:p>
    <w:p w14:paraId="2F25AA6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全权代表：</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（签字）</w:t>
      </w:r>
    </w:p>
    <w:p w14:paraId="0285922B">
      <w:pPr>
        <w:spacing w:line="360" w:lineRule="auto"/>
        <w:ind w:firstLine="360" w:firstLineChars="150"/>
        <w:rPr>
          <w:rFonts w:hint="eastAsia" w:ascii="宋体" w:hAnsi="宋体" w:eastAsia="宋体" w:cs="宋体"/>
          <w:color w:val="auto"/>
          <w:sz w:val="24"/>
          <w:szCs w:val="28"/>
        </w:rPr>
      </w:pPr>
    </w:p>
    <w:p w14:paraId="12E24EC9">
      <w:pPr>
        <w:spacing w:line="360" w:lineRule="auto"/>
        <w:ind w:firstLine="480" w:firstLineChars="200"/>
        <w:rPr>
          <w:rFonts w:hint="eastAsia" w:ascii="宋体" w:hAnsi="宋体" w:eastAsia="宋体" w:cs="宋体"/>
          <w:color w:val="auto"/>
          <w:sz w:val="24"/>
          <w:szCs w:val="28"/>
          <w:u w:val="single"/>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邮编：</w:t>
      </w:r>
      <w:r>
        <w:rPr>
          <w:rFonts w:hint="eastAsia" w:ascii="宋体" w:hAnsi="宋体" w:eastAsia="宋体" w:cs="宋体"/>
          <w:color w:val="auto"/>
          <w:sz w:val="24"/>
          <w:szCs w:val="28"/>
          <w:u w:val="single"/>
        </w:rPr>
        <w:t xml:space="preserve">                                        </w:t>
      </w:r>
    </w:p>
    <w:p w14:paraId="2F46EC35">
      <w:pPr>
        <w:spacing w:line="360" w:lineRule="auto"/>
        <w:ind w:firstLine="480" w:firstLineChars="200"/>
        <w:rPr>
          <w:rFonts w:hint="eastAsia" w:ascii="宋体" w:hAnsi="宋体" w:eastAsia="宋体" w:cs="宋体"/>
          <w:color w:val="auto"/>
          <w:sz w:val="24"/>
          <w:szCs w:val="28"/>
        </w:rPr>
      </w:pPr>
    </w:p>
    <w:p w14:paraId="57D21D1D">
      <w:pPr>
        <w:spacing w:line="360" w:lineRule="auto"/>
        <w:ind w:firstLine="480" w:firstLineChars="200"/>
        <w:rPr>
          <w:rFonts w:hint="eastAsia" w:ascii="宋体" w:hAnsi="宋体" w:eastAsia="宋体" w:cs="宋体"/>
          <w:color w:val="auto"/>
          <w:sz w:val="24"/>
          <w:szCs w:val="28"/>
          <w:u w:val="single"/>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14:paraId="0E1B3B92">
      <w:pPr>
        <w:spacing w:line="360" w:lineRule="auto"/>
        <w:ind w:firstLine="360" w:firstLineChars="150"/>
        <w:rPr>
          <w:rFonts w:hint="eastAsia" w:ascii="宋体" w:hAnsi="宋体" w:eastAsia="宋体" w:cs="宋体"/>
          <w:color w:val="auto"/>
          <w:sz w:val="24"/>
          <w:szCs w:val="28"/>
        </w:rPr>
      </w:pPr>
    </w:p>
    <w:p w14:paraId="55857962">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0F05E435">
      <w:pPr>
        <w:spacing w:line="360" w:lineRule="atLeast"/>
        <w:ind w:firstLine="4189" w:firstLineChars="1304"/>
        <w:rPr>
          <w:rFonts w:hint="eastAsia" w:ascii="宋体" w:hAnsi="宋体" w:eastAsia="宋体" w:cs="宋体"/>
          <w:b/>
          <w:color w:val="auto"/>
          <w:sz w:val="32"/>
          <w:szCs w:val="32"/>
        </w:rPr>
      </w:pPr>
    </w:p>
    <w:p w14:paraId="105135A5">
      <w:pPr>
        <w:spacing w:after="157" w:afterLines="50" w:line="520" w:lineRule="exact"/>
        <w:jc w:val="center"/>
        <w:rPr>
          <w:rFonts w:hint="eastAsia" w:ascii="宋体" w:hAnsi="宋体" w:eastAsia="宋体" w:cs="宋体"/>
          <w:b/>
          <w:bCs/>
          <w:color w:val="auto"/>
          <w:sz w:val="32"/>
          <w:szCs w:val="32"/>
          <w:u w:val="none"/>
        </w:rPr>
      </w:pPr>
      <w:r>
        <w:rPr>
          <w:rFonts w:hint="eastAsia" w:ascii="宋体" w:hAnsi="宋体" w:eastAsia="宋体" w:cs="宋体"/>
          <w:b/>
          <w:bCs/>
          <w:color w:val="auto"/>
          <w:sz w:val="32"/>
          <w:szCs w:val="32"/>
          <w:u w:val="none"/>
        </w:rPr>
        <w:t>承诺书Ⅰ</w:t>
      </w:r>
    </w:p>
    <w:tbl>
      <w:tblPr>
        <w:tblStyle w:val="23"/>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4"/>
        <w:gridCol w:w="3572"/>
        <w:gridCol w:w="2444"/>
      </w:tblGrid>
      <w:tr w14:paraId="4282A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400" w:type="dxa"/>
            <w:gridSpan w:val="3"/>
            <w:noWrap w:val="0"/>
            <w:vAlign w:val="center"/>
          </w:tcPr>
          <w:p w14:paraId="0258BD87">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cs="宋体"/>
                <w:color w:val="auto"/>
                <w:sz w:val="24"/>
                <w:lang w:eastAsia="zh-CN"/>
              </w:rPr>
              <w:t>延安市宝塔区盛潮项目管理有限公司</w:t>
            </w:r>
          </w:p>
        </w:tc>
      </w:tr>
      <w:tr w14:paraId="48704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jc w:val="center"/>
        </w:trPr>
        <w:tc>
          <w:tcPr>
            <w:tcW w:w="9400" w:type="dxa"/>
            <w:gridSpan w:val="3"/>
            <w:noWrap w:val="0"/>
            <w:vAlign w:val="center"/>
          </w:tcPr>
          <w:p w14:paraId="3D03FF7A">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14:paraId="611A5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3384" w:type="dxa"/>
            <w:noWrap w:val="0"/>
            <w:vAlign w:val="center"/>
          </w:tcPr>
          <w:p w14:paraId="11165C1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572" w:type="dxa"/>
            <w:noWrap w:val="0"/>
            <w:vAlign w:val="center"/>
          </w:tcPr>
          <w:p w14:paraId="5D8F9C2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444" w:type="dxa"/>
            <w:noWrap w:val="0"/>
            <w:vAlign w:val="center"/>
          </w:tcPr>
          <w:p w14:paraId="20A0E463">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0CB1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jc w:val="center"/>
        </w:trPr>
        <w:tc>
          <w:tcPr>
            <w:tcW w:w="3384" w:type="dxa"/>
            <w:noWrap w:val="0"/>
            <w:vAlign w:val="center"/>
          </w:tcPr>
          <w:p w14:paraId="4E338C9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572" w:type="dxa"/>
            <w:noWrap w:val="0"/>
            <w:vAlign w:val="center"/>
          </w:tcPr>
          <w:p w14:paraId="42FB00A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444" w:type="dxa"/>
            <w:noWrap w:val="0"/>
            <w:vAlign w:val="center"/>
          </w:tcPr>
          <w:p w14:paraId="22049501">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4017374A">
      <w:pPr>
        <w:spacing w:line="360" w:lineRule="atLeast"/>
        <w:ind w:firstLine="4189" w:firstLineChars="1304"/>
        <w:rPr>
          <w:rFonts w:hint="eastAsia" w:ascii="宋体" w:hAnsi="宋体" w:eastAsia="宋体" w:cs="宋体"/>
          <w:b/>
          <w:color w:val="auto"/>
          <w:sz w:val="32"/>
          <w:szCs w:val="32"/>
        </w:rPr>
      </w:pPr>
    </w:p>
    <w:p w14:paraId="311DFF5D">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承诺书Ⅱ</w:t>
      </w:r>
    </w:p>
    <w:tbl>
      <w:tblPr>
        <w:tblStyle w:val="23"/>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6D78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9320" w:type="dxa"/>
            <w:gridSpan w:val="3"/>
            <w:noWrap w:val="0"/>
            <w:vAlign w:val="center"/>
          </w:tcPr>
          <w:p w14:paraId="7569F21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z w:val="24"/>
                <w:lang w:eastAsia="zh-CN"/>
              </w:rPr>
              <w:t>延安市宝塔区盛潮项目管理有限公司</w:t>
            </w:r>
          </w:p>
        </w:tc>
      </w:tr>
      <w:tr w14:paraId="5468A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320" w:type="dxa"/>
            <w:gridSpan w:val="3"/>
            <w:noWrap w:val="0"/>
            <w:vAlign w:val="center"/>
          </w:tcPr>
          <w:p w14:paraId="6DA11A9F">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作为参加贵单位组织的磋商采购项目的供应商，本公司郑重申告并承诺：近三年受到有关行政主管部门的行政处理、不良行为记录为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47579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3355" w:type="dxa"/>
            <w:noWrap w:val="0"/>
            <w:vAlign w:val="center"/>
          </w:tcPr>
          <w:p w14:paraId="05A1C67E">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541" w:type="dxa"/>
            <w:noWrap w:val="0"/>
            <w:vAlign w:val="center"/>
          </w:tcPr>
          <w:p w14:paraId="59C69EAE">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424" w:type="dxa"/>
            <w:noWrap w:val="0"/>
            <w:vAlign w:val="center"/>
          </w:tcPr>
          <w:p w14:paraId="4F84CCD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311AF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0" w:hRule="atLeast"/>
          <w:jc w:val="center"/>
        </w:trPr>
        <w:tc>
          <w:tcPr>
            <w:tcW w:w="3355" w:type="dxa"/>
            <w:noWrap w:val="0"/>
            <w:vAlign w:val="center"/>
          </w:tcPr>
          <w:p w14:paraId="2BBBB66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541" w:type="dxa"/>
            <w:noWrap w:val="0"/>
            <w:vAlign w:val="center"/>
          </w:tcPr>
          <w:p w14:paraId="71E22AA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424" w:type="dxa"/>
            <w:noWrap w:val="0"/>
            <w:vAlign w:val="center"/>
          </w:tcPr>
          <w:p w14:paraId="0703641F">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780BA848">
      <w:pPr>
        <w:spacing w:line="360" w:lineRule="atLeast"/>
        <w:jc w:val="center"/>
        <w:rPr>
          <w:rFonts w:hint="eastAsia" w:ascii="宋体" w:hAnsi="宋体" w:eastAsia="宋体" w:cs="宋体"/>
          <w:b/>
          <w:color w:val="auto"/>
          <w:sz w:val="32"/>
          <w:szCs w:val="32"/>
        </w:rPr>
      </w:pPr>
    </w:p>
    <w:p w14:paraId="6CEA2EBD">
      <w:pPr>
        <w:spacing w:line="360" w:lineRule="atLeast"/>
        <w:jc w:val="both"/>
        <w:rPr>
          <w:rFonts w:hint="eastAsia" w:ascii="宋体" w:hAnsi="宋体" w:eastAsia="宋体" w:cs="宋体"/>
          <w:b/>
          <w:color w:val="auto"/>
          <w:sz w:val="32"/>
          <w:szCs w:val="32"/>
        </w:rPr>
      </w:pPr>
    </w:p>
    <w:p w14:paraId="0672EAA3">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F88A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4A3D61D">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z w:val="24"/>
                <w:lang w:eastAsia="zh-CN"/>
              </w:rPr>
              <w:t>延安市宝塔区盛潮项目管理有限公司</w:t>
            </w:r>
          </w:p>
        </w:tc>
      </w:tr>
      <w:tr w14:paraId="6E8D9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F9C3A6E">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，本公司郑重申告：近三年因</w:t>
            </w:r>
            <w:r>
              <w:rPr>
                <w:rFonts w:hint="eastAsia" w:ascii="宋体" w:hAnsi="宋体" w:eastAsia="宋体" w:cs="宋体"/>
                <w:color w:val="auto"/>
                <w:sz w:val="24"/>
                <w:lang w:val="en-US" w:eastAsia="zh-CN"/>
              </w:rPr>
              <w:t>服务</w:t>
            </w:r>
            <w:r>
              <w:rPr>
                <w:rFonts w:hint="eastAsia" w:ascii="宋体" w:hAnsi="宋体" w:eastAsia="宋体" w:cs="宋体"/>
                <w:color w:val="auto"/>
                <w:sz w:val="24"/>
              </w:rPr>
              <w:t>的</w:t>
            </w:r>
            <w:r>
              <w:rPr>
                <w:rFonts w:hint="eastAsia" w:ascii="宋体" w:hAnsi="宋体" w:cs="宋体"/>
                <w:color w:val="auto"/>
                <w:sz w:val="24"/>
                <w:lang w:val="en-US" w:eastAsia="zh-CN"/>
              </w:rPr>
              <w:t>违</w:t>
            </w:r>
            <w:r>
              <w:rPr>
                <w:rFonts w:hint="eastAsia" w:ascii="宋体" w:hAnsi="宋体" w:eastAsia="宋体" w:cs="宋体"/>
                <w:color w:val="auto"/>
                <w:sz w:val="24"/>
              </w:rPr>
              <w:t>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6907F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182BD4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14:paraId="3BF2D61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205EDB2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73C62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392F4E4">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noWrap w:val="0"/>
            <w:vAlign w:val="center"/>
          </w:tcPr>
          <w:p w14:paraId="2C81CAA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noWrap w:val="0"/>
            <w:vAlign w:val="center"/>
          </w:tcPr>
          <w:p w14:paraId="0534061E">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2CDE91BB">
      <w:pPr>
        <w:spacing w:line="360" w:lineRule="atLeast"/>
        <w:jc w:val="center"/>
        <w:rPr>
          <w:rFonts w:hint="eastAsia" w:ascii="宋体" w:hAnsi="宋体" w:eastAsia="宋体" w:cs="宋体"/>
          <w:b/>
          <w:color w:val="auto"/>
          <w:sz w:val="32"/>
          <w:szCs w:val="32"/>
        </w:rPr>
      </w:pPr>
    </w:p>
    <w:p w14:paraId="3F83DD97">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tbl>
      <w:tblPr>
        <w:tblStyle w:val="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35D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3E57DDE">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z w:val="24"/>
                <w:lang w:eastAsia="zh-CN"/>
              </w:rPr>
              <w:t>延安市宝塔区盛潮项目管理有限公司</w:t>
            </w:r>
          </w:p>
        </w:tc>
      </w:tr>
      <w:tr w14:paraId="0EE4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3F89A03">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14:paraId="055AD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F7CE1BF">
            <w:pPr>
              <w:spacing w:line="360" w:lineRule="atLeast"/>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供应商</w:t>
            </w:r>
          </w:p>
        </w:tc>
        <w:tc>
          <w:tcPr>
            <w:tcW w:w="3420" w:type="dxa"/>
            <w:noWrap w:val="0"/>
            <w:vAlign w:val="center"/>
          </w:tcPr>
          <w:p w14:paraId="12B8280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14:paraId="3708BA7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52F56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B0EE68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noWrap w:val="0"/>
            <w:vAlign w:val="center"/>
          </w:tcPr>
          <w:p w14:paraId="256B566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noWrap w:val="0"/>
            <w:vAlign w:val="center"/>
          </w:tcPr>
          <w:p w14:paraId="395148EB">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6A03EACD">
      <w:pPr>
        <w:spacing w:line="360" w:lineRule="atLeast"/>
        <w:jc w:val="center"/>
        <w:rPr>
          <w:rFonts w:hint="eastAsia" w:ascii="宋体" w:hAnsi="宋体" w:eastAsia="宋体" w:cs="宋体"/>
          <w:b/>
          <w:color w:val="auto"/>
          <w:sz w:val="32"/>
          <w:szCs w:val="32"/>
        </w:rPr>
      </w:pPr>
    </w:p>
    <w:p w14:paraId="1160F0A0">
      <w:pPr>
        <w:jc w:val="center"/>
        <w:rPr>
          <w:rFonts w:hint="default" w:ascii="宋体" w:hAnsi="宋体" w:eastAsia="宋体" w:cs="宋体"/>
          <w:b/>
          <w:bCs/>
          <w:color w:val="auto"/>
          <w:sz w:val="32"/>
          <w:lang w:val="en-US"/>
        </w:rPr>
      </w:pPr>
      <w:r>
        <w:rPr>
          <w:rFonts w:hint="eastAsia" w:ascii="宋体" w:hAnsi="宋体" w:eastAsia="宋体" w:cs="宋体"/>
          <w:b/>
          <w:color w:val="auto"/>
          <w:kern w:val="0"/>
          <w:sz w:val="36"/>
          <w:szCs w:val="36"/>
        </w:rPr>
        <w:br w:type="page"/>
      </w:r>
      <w:r>
        <w:rPr>
          <w:rFonts w:hint="eastAsia" w:ascii="宋体" w:hAnsi="宋体" w:eastAsia="宋体" w:cs="宋体"/>
          <w:b/>
          <w:bCs/>
          <w:color w:val="auto"/>
          <w:sz w:val="32"/>
          <w:lang w:val="en-US" w:eastAsia="zh-CN"/>
        </w:rPr>
        <w:t>第9部分</w:t>
      </w:r>
      <w:r>
        <w:rPr>
          <w:rFonts w:hint="eastAsia" w:ascii="宋体" w:hAnsi="宋体" w:eastAsia="宋体" w:cs="宋体"/>
          <w:b/>
          <w:bCs/>
          <w:color w:val="auto"/>
          <w:sz w:val="32"/>
        </w:rPr>
        <w:t xml:space="preserve">  </w:t>
      </w:r>
      <w:r>
        <w:rPr>
          <w:rFonts w:hint="eastAsia" w:ascii="宋体" w:hAnsi="宋体" w:eastAsia="宋体" w:cs="宋体"/>
          <w:b/>
          <w:color w:val="auto"/>
          <w:kern w:val="2"/>
          <w:sz w:val="32"/>
          <w:szCs w:val="24"/>
          <w:lang w:val="en-US" w:eastAsia="zh-CN" w:bidi="ar-SA"/>
        </w:rPr>
        <w:t>其他资料</w:t>
      </w:r>
    </w:p>
    <w:p w14:paraId="61930879">
      <w:pPr>
        <w:keepNext w:val="0"/>
        <w:keepLines w:val="0"/>
        <w:widowControl/>
        <w:suppressLineNumbers w:val="0"/>
        <w:spacing w:line="480" w:lineRule="auto"/>
        <w:ind w:firstLine="480" w:firstLineChars="200"/>
        <w:jc w:val="left"/>
        <w:rPr>
          <w:color w:val="auto"/>
        </w:rPr>
      </w:pPr>
      <w:r>
        <w:rPr>
          <w:rFonts w:hint="eastAsia" w:ascii="宋体" w:hAnsi="宋体" w:eastAsia="宋体" w:cs="宋体"/>
          <w:color w:val="auto"/>
          <w:kern w:val="0"/>
          <w:sz w:val="24"/>
          <w:szCs w:val="24"/>
          <w:lang w:val="en-US" w:eastAsia="zh-CN" w:bidi="ar"/>
        </w:rPr>
        <w:t>符合政府采购相关政策的供应商可按有关规定提供以下证明材料，</w:t>
      </w:r>
      <w:r>
        <w:rPr>
          <w:rFonts w:hint="eastAsia" w:ascii="宋体" w:hAnsi="宋体" w:eastAsia="宋体" w:cs="宋体"/>
          <w:b/>
          <w:bCs/>
          <w:color w:val="auto"/>
          <w:kern w:val="0"/>
          <w:sz w:val="24"/>
          <w:szCs w:val="24"/>
          <w:lang w:val="en-US" w:eastAsia="zh-CN" w:bidi="ar"/>
        </w:rPr>
        <w:t xml:space="preserve">不符合政府采购相关政策的供应商不填写本部分内容。 </w:t>
      </w:r>
    </w:p>
    <w:p w14:paraId="7AA719EF">
      <w:pPr>
        <w:keepNext w:val="0"/>
        <w:keepLines w:val="0"/>
        <w:widowControl/>
        <w:suppressLineNumbers w:val="0"/>
        <w:spacing w:line="480" w:lineRule="auto"/>
        <w:jc w:val="left"/>
        <w:rPr>
          <w:color w:val="auto"/>
        </w:rPr>
      </w:pPr>
      <w:r>
        <w:rPr>
          <w:rFonts w:hint="eastAsia" w:ascii="宋体" w:hAnsi="宋体" w:eastAsia="宋体" w:cs="宋体"/>
          <w:color w:val="auto"/>
          <w:kern w:val="0"/>
          <w:sz w:val="24"/>
          <w:szCs w:val="24"/>
          <w:lang w:val="en-US" w:eastAsia="zh-CN" w:bidi="ar"/>
        </w:rPr>
        <w:t xml:space="preserve">1.残疾人福利性单位声明函； </w:t>
      </w:r>
    </w:p>
    <w:p w14:paraId="0163BDC0">
      <w:pPr>
        <w:keepNext w:val="0"/>
        <w:keepLines w:val="0"/>
        <w:widowControl/>
        <w:suppressLineNumbers w:val="0"/>
        <w:spacing w:line="480" w:lineRule="auto"/>
        <w:jc w:val="left"/>
        <w:rPr>
          <w:color w:val="auto"/>
        </w:rPr>
      </w:pPr>
      <w:r>
        <w:rPr>
          <w:rFonts w:hint="eastAsia" w:ascii="宋体" w:hAnsi="宋体" w:eastAsia="宋体" w:cs="宋体"/>
          <w:color w:val="auto"/>
          <w:kern w:val="0"/>
          <w:sz w:val="24"/>
          <w:szCs w:val="24"/>
          <w:lang w:val="en-US" w:eastAsia="zh-CN" w:bidi="ar"/>
        </w:rPr>
        <w:t>2.监狱企业证明文件；</w:t>
      </w:r>
    </w:p>
    <w:p w14:paraId="43342C41">
      <w:pPr>
        <w:keepNext w:val="0"/>
        <w:keepLines w:val="0"/>
        <w:widowControl/>
        <w:suppressLineNumbers w:val="0"/>
        <w:spacing w:line="480" w:lineRule="auto"/>
        <w:jc w:val="left"/>
        <w:rPr>
          <w:color w:val="auto"/>
        </w:rPr>
      </w:pPr>
      <w:r>
        <w:rPr>
          <w:rFonts w:hint="eastAsia" w:ascii="宋体" w:hAnsi="宋体" w:eastAsia="宋体" w:cs="宋体"/>
          <w:color w:val="auto"/>
          <w:kern w:val="0"/>
          <w:sz w:val="24"/>
          <w:szCs w:val="24"/>
          <w:lang w:val="en-US" w:eastAsia="zh-CN" w:bidi="ar"/>
        </w:rPr>
        <w:t>3.供应商认为有必要补充说明的事项。</w:t>
      </w:r>
    </w:p>
    <w:p w14:paraId="5D5521BF">
      <w:pPr>
        <w:pStyle w:val="3"/>
        <w:spacing w:before="62"/>
        <w:ind w:left="0" w:right="379"/>
        <w:jc w:val="center"/>
        <w:rPr>
          <w:rFonts w:hint="eastAsia" w:ascii="宋体" w:hAnsi="宋体" w:eastAsia="宋体" w:cs="宋体"/>
          <w:b/>
          <w:color w:val="auto"/>
          <w:kern w:val="0"/>
          <w:sz w:val="36"/>
          <w:szCs w:val="36"/>
          <w:lang w:val="en-US" w:eastAsia="zh-CN"/>
        </w:rPr>
        <w:sectPr>
          <w:pgSz w:w="11906" w:h="16838"/>
          <w:pgMar w:top="1418" w:right="1134" w:bottom="1418" w:left="1321" w:header="851" w:footer="992" w:gutter="0"/>
          <w:pgNumType w:fmt="numberInDash"/>
          <w:cols w:space="720" w:num="1"/>
          <w:docGrid w:type="lines" w:linePitch="312" w:charSpace="0"/>
        </w:sectPr>
      </w:pPr>
    </w:p>
    <w:p w14:paraId="6B2F55A6">
      <w:pPr>
        <w:pStyle w:val="3"/>
        <w:spacing w:before="62"/>
        <w:ind w:left="0" w:right="379"/>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w:t>
      </w:r>
      <w:r>
        <w:rPr>
          <w:rFonts w:hint="eastAsia" w:ascii="宋体" w:hAnsi="宋体" w:eastAsia="宋体" w:cs="宋体"/>
          <w:b/>
          <w:color w:val="auto"/>
          <w:kern w:val="0"/>
          <w:sz w:val="28"/>
          <w:szCs w:val="28"/>
          <w:highlight w:val="none"/>
          <w:lang w:val="zh-CN"/>
        </w:rPr>
        <w:t>残疾人福利性单位声明函（非</w:t>
      </w:r>
      <w:r>
        <w:rPr>
          <w:rFonts w:hint="eastAsia" w:ascii="宋体" w:hAnsi="宋体" w:eastAsia="宋体" w:cs="宋体"/>
          <w:b/>
          <w:bCs/>
          <w:color w:val="auto"/>
          <w:sz w:val="28"/>
          <w:szCs w:val="28"/>
          <w:highlight w:val="none"/>
        </w:rPr>
        <w:t>残疾人福利企业</w:t>
      </w:r>
      <w:r>
        <w:rPr>
          <w:rFonts w:hint="eastAsia" w:ascii="宋体" w:hAnsi="宋体" w:eastAsia="宋体" w:cs="宋体"/>
          <w:b/>
          <w:color w:val="auto"/>
          <w:kern w:val="0"/>
          <w:sz w:val="28"/>
          <w:szCs w:val="28"/>
          <w:highlight w:val="none"/>
          <w:lang w:val="zh-CN"/>
        </w:rPr>
        <w:t>不</w:t>
      </w:r>
      <w:r>
        <w:rPr>
          <w:rFonts w:hint="eastAsia" w:ascii="宋体" w:hAnsi="宋体" w:eastAsia="宋体" w:cs="宋体"/>
          <w:b/>
          <w:bCs/>
          <w:color w:val="auto"/>
          <w:kern w:val="0"/>
          <w:sz w:val="28"/>
          <w:szCs w:val="28"/>
          <w:highlight w:val="none"/>
        </w:rPr>
        <w:t>填写</w:t>
      </w:r>
      <w:r>
        <w:rPr>
          <w:rFonts w:hint="eastAsia" w:ascii="宋体" w:hAnsi="宋体" w:eastAsia="宋体" w:cs="宋体"/>
          <w:b/>
          <w:color w:val="auto"/>
          <w:kern w:val="0"/>
          <w:sz w:val="28"/>
          <w:szCs w:val="28"/>
          <w:highlight w:val="none"/>
          <w:lang w:val="zh-CN"/>
        </w:rPr>
        <w:t>）</w:t>
      </w:r>
    </w:p>
    <w:p w14:paraId="62F373B2">
      <w:pPr>
        <w:spacing w:line="360" w:lineRule="auto"/>
        <w:rPr>
          <w:rFonts w:hint="eastAsia" w:ascii="宋体" w:hAnsi="宋体" w:eastAsia="宋体" w:cs="宋体"/>
          <w:b/>
          <w:color w:val="auto"/>
          <w:spacing w:val="6"/>
          <w:sz w:val="32"/>
          <w:szCs w:val="32"/>
          <w:highlight w:val="none"/>
          <w:shd w:val="pct10" w:color="auto" w:fill="FFFFFF"/>
        </w:rPr>
      </w:pPr>
    </w:p>
    <w:p w14:paraId="33DFEDB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6F04280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44912AAD">
      <w:pPr>
        <w:spacing w:line="360" w:lineRule="auto"/>
        <w:ind w:firstLine="480" w:firstLineChars="200"/>
        <w:rPr>
          <w:rFonts w:hint="eastAsia" w:ascii="宋体" w:hAnsi="宋体" w:eastAsia="宋体" w:cs="宋体"/>
          <w:color w:val="auto"/>
          <w:sz w:val="24"/>
          <w:highlight w:val="none"/>
        </w:rPr>
      </w:pPr>
    </w:p>
    <w:p w14:paraId="5A81901F">
      <w:pPr>
        <w:spacing w:line="360" w:lineRule="auto"/>
        <w:ind w:firstLine="480" w:firstLineChars="200"/>
        <w:rPr>
          <w:rFonts w:hint="eastAsia" w:ascii="宋体" w:hAnsi="宋体" w:eastAsia="宋体" w:cs="宋体"/>
          <w:color w:val="auto"/>
          <w:sz w:val="24"/>
          <w:highlight w:val="none"/>
        </w:rPr>
      </w:pPr>
    </w:p>
    <w:p w14:paraId="15DD7BED">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单位名称（盖章）：</w:t>
      </w:r>
      <w:r>
        <w:rPr>
          <w:rFonts w:hint="eastAsia" w:ascii="宋体" w:hAnsi="宋体" w:eastAsia="宋体" w:cs="宋体"/>
          <w:color w:val="auto"/>
          <w:sz w:val="24"/>
          <w:highlight w:val="none"/>
          <w:u w:val="single"/>
        </w:rPr>
        <w:t xml:space="preserve">                   </w:t>
      </w:r>
    </w:p>
    <w:p w14:paraId="6CCAE1B6">
      <w:pPr>
        <w:tabs>
          <w:tab w:val="left" w:pos="4860"/>
        </w:tabs>
        <w:spacing w:line="360" w:lineRule="auto"/>
        <w:ind w:right="156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45876F4F">
      <w:pPr>
        <w:tabs>
          <w:tab w:val="left" w:pos="4860"/>
        </w:tabs>
        <w:spacing w:line="360" w:lineRule="auto"/>
        <w:ind w:right="1560"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C1C8401">
      <w:pPr>
        <w:spacing w:line="360" w:lineRule="auto"/>
        <w:ind w:firstLine="506" w:firstLineChars="200"/>
        <w:rPr>
          <w:rFonts w:hint="eastAsia" w:ascii="宋体" w:hAnsi="宋体" w:eastAsia="宋体" w:cs="宋体"/>
          <w:b/>
          <w:color w:val="auto"/>
          <w:spacing w:val="6"/>
          <w:sz w:val="24"/>
          <w:highlight w:val="none"/>
          <w:shd w:val="pct10" w:color="auto" w:fill="FFFFFF"/>
        </w:rPr>
      </w:pPr>
    </w:p>
    <w:p w14:paraId="7B2A74CA">
      <w:pPr>
        <w:spacing w:line="360" w:lineRule="auto"/>
        <w:ind w:firstLine="506" w:firstLineChars="200"/>
        <w:rPr>
          <w:rFonts w:hint="eastAsia" w:ascii="宋体" w:hAnsi="宋体" w:eastAsia="宋体" w:cs="宋体"/>
          <w:b/>
          <w:color w:val="auto"/>
          <w:spacing w:val="6"/>
          <w:sz w:val="24"/>
          <w:highlight w:val="none"/>
          <w:shd w:val="pct10" w:color="auto" w:fill="FFFFFF"/>
        </w:rPr>
      </w:pPr>
    </w:p>
    <w:p w14:paraId="54AFB0EF">
      <w:pPr>
        <w:kinsoku w:val="0"/>
        <w:spacing w:line="360" w:lineRule="auto"/>
        <w:ind w:firstLine="480" w:firstLineChars="200"/>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备注：供应商提供的《残疾人福利性单位声明函》必须真实有效，如果被举报经查实出具虚假声明函的，将被取消投标资格，并按有关规定予以处理。</w:t>
      </w:r>
    </w:p>
    <w:p w14:paraId="1BC6BB9E">
      <w:pPr>
        <w:tabs>
          <w:tab w:val="left" w:pos="1755"/>
        </w:tabs>
        <w:spacing w:line="360" w:lineRule="auto"/>
        <w:jc w:val="center"/>
        <w:outlineLvl w:val="1"/>
        <w:rPr>
          <w:rFonts w:hint="eastAsia" w:ascii="宋体" w:hAnsi="宋体" w:eastAsia="宋体" w:cs="宋体"/>
          <w:b/>
          <w:bCs/>
          <w:color w:val="auto"/>
          <w:sz w:val="24"/>
          <w:highlight w:val="none"/>
        </w:rPr>
      </w:pPr>
    </w:p>
    <w:p w14:paraId="6406BABE">
      <w:pPr>
        <w:tabs>
          <w:tab w:val="left" w:pos="1755"/>
        </w:tabs>
        <w:spacing w:line="500" w:lineRule="atLeast"/>
        <w:jc w:val="center"/>
        <w:outlineLvl w:val="1"/>
        <w:rPr>
          <w:rFonts w:hint="eastAsia" w:ascii="宋体" w:hAnsi="宋体" w:eastAsia="宋体" w:cs="宋体"/>
          <w:b/>
          <w:bCs/>
          <w:color w:val="auto"/>
          <w:sz w:val="32"/>
          <w:szCs w:val="32"/>
          <w:highlight w:val="none"/>
        </w:rPr>
      </w:pPr>
    </w:p>
    <w:p w14:paraId="19ABD4F9">
      <w:pPr>
        <w:tabs>
          <w:tab w:val="left" w:pos="1755"/>
        </w:tabs>
        <w:spacing w:line="500" w:lineRule="atLeast"/>
        <w:jc w:val="center"/>
        <w:outlineLvl w:val="1"/>
        <w:rPr>
          <w:rFonts w:hint="eastAsia" w:ascii="宋体" w:hAnsi="宋体" w:eastAsia="宋体" w:cs="宋体"/>
          <w:b/>
          <w:bCs/>
          <w:color w:val="auto"/>
          <w:sz w:val="32"/>
          <w:szCs w:val="32"/>
          <w:highlight w:val="none"/>
        </w:rPr>
      </w:pPr>
    </w:p>
    <w:p w14:paraId="6802E81D">
      <w:pPr>
        <w:tabs>
          <w:tab w:val="left" w:pos="1755"/>
        </w:tabs>
        <w:spacing w:line="500" w:lineRule="atLeast"/>
        <w:jc w:val="center"/>
        <w:outlineLvl w:val="2"/>
        <w:rPr>
          <w:rFonts w:hint="eastAsia" w:ascii="宋体" w:hAnsi="宋体" w:eastAsia="宋体" w:cs="宋体"/>
          <w:b/>
          <w:bCs/>
          <w:color w:val="auto"/>
          <w:sz w:val="28"/>
          <w:szCs w:val="28"/>
          <w:highlight w:val="none"/>
        </w:rPr>
      </w:pPr>
    </w:p>
    <w:p w14:paraId="5C517925">
      <w:pPr>
        <w:spacing w:before="157" w:beforeLines="50" w:after="315" w:afterLines="100"/>
        <w:rPr>
          <w:rFonts w:hint="eastAsia" w:ascii="宋体" w:hAnsi="宋体" w:eastAsia="宋体" w:cs="宋体"/>
          <w:b/>
          <w:color w:val="auto"/>
          <w:szCs w:val="21"/>
          <w:highlight w:val="none"/>
          <w:lang w:val="en-GB"/>
        </w:rPr>
      </w:pPr>
    </w:p>
    <w:p w14:paraId="5548CA12">
      <w:pPr>
        <w:spacing w:before="157" w:beforeLines="50" w:after="315" w:afterLines="100"/>
        <w:rPr>
          <w:rFonts w:hint="eastAsia" w:ascii="宋体" w:hAnsi="宋体" w:eastAsia="宋体" w:cs="宋体"/>
          <w:b/>
          <w:color w:val="auto"/>
          <w:szCs w:val="21"/>
          <w:highlight w:val="none"/>
          <w:lang w:val="en-GB"/>
        </w:rPr>
      </w:pPr>
    </w:p>
    <w:p w14:paraId="4852C6D7">
      <w:pPr>
        <w:spacing w:before="157" w:beforeLines="50" w:after="315" w:afterLines="100"/>
        <w:rPr>
          <w:rFonts w:hint="eastAsia" w:ascii="宋体" w:hAnsi="宋体" w:eastAsia="宋体" w:cs="宋体"/>
          <w:b/>
          <w:color w:val="auto"/>
          <w:szCs w:val="21"/>
          <w:highlight w:val="none"/>
          <w:lang w:val="en-GB"/>
        </w:rPr>
      </w:pPr>
    </w:p>
    <w:p w14:paraId="30E7C1E6">
      <w:pPr>
        <w:tabs>
          <w:tab w:val="left" w:pos="1755"/>
        </w:tabs>
        <w:spacing w:line="360" w:lineRule="auto"/>
        <w:jc w:val="center"/>
        <w:outlineLvl w:val="2"/>
        <w:rPr>
          <w:rFonts w:hint="eastAsia" w:ascii="宋体" w:hAnsi="宋体" w:eastAsia="宋体" w:cs="宋体"/>
          <w:b/>
          <w:color w:val="auto"/>
          <w:kern w:val="0"/>
          <w:sz w:val="28"/>
          <w:szCs w:val="28"/>
        </w:rPr>
      </w:pPr>
    </w:p>
    <w:p w14:paraId="7218EB97">
      <w:p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en-US" w:eastAsia="zh-CN"/>
        </w:rPr>
        <w:t>2</w:t>
      </w:r>
      <w:r>
        <w:rPr>
          <w:rFonts w:hint="eastAsia" w:ascii="宋体" w:hAnsi="宋体" w:eastAsia="宋体" w:cs="宋体"/>
          <w:b/>
          <w:color w:val="auto"/>
          <w:kern w:val="0"/>
          <w:sz w:val="28"/>
          <w:szCs w:val="28"/>
        </w:rPr>
        <w:t>、</w:t>
      </w:r>
      <w:r>
        <w:rPr>
          <w:rFonts w:hint="eastAsia" w:ascii="宋体" w:hAnsi="宋体" w:eastAsia="宋体" w:cs="宋体"/>
          <w:b/>
          <w:color w:val="auto"/>
          <w:kern w:val="0"/>
          <w:sz w:val="28"/>
          <w:szCs w:val="28"/>
          <w:lang w:val="zh-CN"/>
        </w:rPr>
        <w:t>监狱企业声明函（非监狱企业不</w:t>
      </w:r>
      <w:r>
        <w:rPr>
          <w:rFonts w:hint="eastAsia" w:ascii="宋体" w:hAnsi="宋体" w:eastAsia="宋体" w:cs="宋体"/>
          <w:b/>
          <w:bCs/>
          <w:color w:val="auto"/>
          <w:kern w:val="0"/>
          <w:sz w:val="28"/>
          <w:szCs w:val="28"/>
        </w:rPr>
        <w:t>填写</w:t>
      </w:r>
      <w:r>
        <w:rPr>
          <w:rFonts w:hint="eastAsia" w:ascii="宋体" w:hAnsi="宋体" w:eastAsia="宋体" w:cs="宋体"/>
          <w:b/>
          <w:color w:val="auto"/>
          <w:kern w:val="0"/>
          <w:sz w:val="28"/>
          <w:szCs w:val="28"/>
          <w:lang w:val="zh-CN"/>
        </w:rPr>
        <w:t>）</w:t>
      </w:r>
    </w:p>
    <w:p w14:paraId="3DE0C6E5">
      <w:pPr>
        <w:spacing w:line="360" w:lineRule="atLeast"/>
        <w:rPr>
          <w:rFonts w:hint="eastAsia" w:ascii="宋体" w:hAnsi="宋体" w:eastAsia="宋体" w:cs="宋体"/>
          <w:color w:val="auto"/>
          <w:sz w:val="32"/>
          <w:szCs w:val="32"/>
        </w:rPr>
      </w:pPr>
    </w:p>
    <w:p w14:paraId="00A5EA84">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11E60C1">
      <w:pPr>
        <w:spacing w:line="360" w:lineRule="atLeast"/>
        <w:rPr>
          <w:rFonts w:hint="eastAsia" w:ascii="宋体" w:hAnsi="宋体" w:eastAsia="宋体" w:cs="宋体"/>
          <w:color w:val="auto"/>
          <w:sz w:val="32"/>
          <w:szCs w:val="32"/>
        </w:rPr>
      </w:pPr>
    </w:p>
    <w:p w14:paraId="0F60FFF1">
      <w:pPr>
        <w:pStyle w:val="22"/>
        <w:rPr>
          <w:rFonts w:hint="eastAsia" w:ascii="宋体" w:hAnsi="宋体" w:eastAsia="宋体" w:cs="宋体"/>
          <w:color w:val="auto"/>
        </w:rPr>
      </w:pPr>
    </w:p>
    <w:p w14:paraId="6A266C53">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1106810E">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3CCFF591">
      <w:pPr>
        <w:tabs>
          <w:tab w:val="left" w:pos="4860"/>
        </w:tabs>
        <w:spacing w:line="360" w:lineRule="auto"/>
        <w:ind w:right="67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426AD5A6">
      <w:pPr>
        <w:jc w:val="center"/>
        <w:rPr>
          <w:rFonts w:hint="eastAsia" w:ascii="宋体" w:hAnsi="宋体" w:eastAsia="宋体" w:cs="宋体"/>
          <w:b/>
          <w:bCs/>
          <w:color w:val="auto"/>
          <w:sz w:val="32"/>
          <w:lang w:val="en-US" w:eastAsia="zh-CN"/>
        </w:rPr>
      </w:pPr>
    </w:p>
    <w:p w14:paraId="2760F269">
      <w:pPr>
        <w:jc w:val="center"/>
        <w:rPr>
          <w:rFonts w:hint="eastAsia" w:ascii="宋体" w:hAnsi="宋体" w:eastAsia="宋体" w:cs="宋体"/>
          <w:b/>
          <w:bCs/>
          <w:color w:val="auto"/>
          <w:sz w:val="32"/>
          <w:lang w:val="en-US" w:eastAsia="zh-CN"/>
        </w:rPr>
      </w:pPr>
    </w:p>
    <w:p w14:paraId="13998E00">
      <w:pPr>
        <w:jc w:val="center"/>
        <w:rPr>
          <w:rFonts w:hint="eastAsia" w:ascii="宋体" w:hAnsi="宋体" w:eastAsia="宋体" w:cs="宋体"/>
          <w:b/>
          <w:bCs/>
          <w:color w:val="auto"/>
          <w:sz w:val="32"/>
          <w:lang w:val="en-US" w:eastAsia="zh-CN"/>
        </w:rPr>
      </w:pPr>
    </w:p>
    <w:p w14:paraId="2FCE4F65">
      <w:pPr>
        <w:jc w:val="center"/>
        <w:rPr>
          <w:rFonts w:hint="eastAsia" w:ascii="宋体" w:hAnsi="宋体" w:eastAsia="宋体" w:cs="宋体"/>
          <w:b/>
          <w:bCs/>
          <w:color w:val="auto"/>
          <w:sz w:val="32"/>
          <w:lang w:val="en-US" w:eastAsia="zh-CN"/>
        </w:rPr>
      </w:pPr>
    </w:p>
    <w:p w14:paraId="5CDBC183">
      <w:pPr>
        <w:jc w:val="center"/>
        <w:rPr>
          <w:rFonts w:hint="eastAsia" w:ascii="宋体" w:hAnsi="宋体" w:eastAsia="宋体" w:cs="宋体"/>
          <w:b/>
          <w:bCs/>
          <w:color w:val="auto"/>
          <w:sz w:val="32"/>
          <w:lang w:val="en-US" w:eastAsia="zh-CN"/>
        </w:rPr>
      </w:pPr>
    </w:p>
    <w:p w14:paraId="3DD13225">
      <w:pPr>
        <w:jc w:val="center"/>
        <w:rPr>
          <w:rFonts w:hint="eastAsia" w:ascii="宋体" w:hAnsi="宋体" w:eastAsia="宋体" w:cs="宋体"/>
          <w:b/>
          <w:bCs/>
          <w:color w:val="auto"/>
          <w:sz w:val="32"/>
          <w:lang w:val="en-US" w:eastAsia="zh-CN"/>
        </w:rPr>
      </w:pPr>
    </w:p>
    <w:p w14:paraId="5664A0C6">
      <w:pPr>
        <w:jc w:val="center"/>
        <w:rPr>
          <w:rFonts w:hint="eastAsia" w:ascii="宋体" w:hAnsi="宋体" w:eastAsia="宋体" w:cs="宋体"/>
          <w:b/>
          <w:bCs/>
          <w:color w:val="auto"/>
          <w:sz w:val="32"/>
          <w:lang w:val="en-US" w:eastAsia="zh-CN"/>
        </w:rPr>
      </w:pPr>
    </w:p>
    <w:p w14:paraId="5946187A">
      <w:pPr>
        <w:jc w:val="center"/>
        <w:rPr>
          <w:rFonts w:hint="eastAsia" w:ascii="宋体" w:hAnsi="宋体" w:eastAsia="宋体" w:cs="宋体"/>
          <w:b/>
          <w:bCs/>
          <w:color w:val="auto"/>
          <w:sz w:val="32"/>
          <w:lang w:val="en-US" w:eastAsia="zh-CN"/>
        </w:rPr>
      </w:pPr>
    </w:p>
    <w:p w14:paraId="519399A5">
      <w:pPr>
        <w:jc w:val="center"/>
        <w:rPr>
          <w:rFonts w:hint="eastAsia" w:ascii="宋体" w:hAnsi="宋体" w:eastAsia="宋体" w:cs="宋体"/>
          <w:b/>
          <w:bCs/>
          <w:color w:val="auto"/>
          <w:sz w:val="32"/>
          <w:lang w:val="en-US" w:eastAsia="zh-CN"/>
        </w:rPr>
      </w:pPr>
    </w:p>
    <w:p w14:paraId="2C34AEA6">
      <w:pPr>
        <w:jc w:val="center"/>
        <w:rPr>
          <w:rFonts w:hint="eastAsia" w:ascii="宋体" w:hAnsi="宋体" w:eastAsia="宋体" w:cs="宋体"/>
          <w:b/>
          <w:bCs/>
          <w:color w:val="auto"/>
          <w:sz w:val="32"/>
          <w:lang w:val="en-US" w:eastAsia="zh-CN"/>
        </w:rPr>
      </w:pPr>
    </w:p>
    <w:p w14:paraId="549E10C5">
      <w:pPr>
        <w:pStyle w:val="15"/>
        <w:rPr>
          <w:rFonts w:hint="eastAsia" w:ascii="宋体" w:hAnsi="宋体" w:eastAsia="宋体" w:cs="宋体"/>
          <w:b/>
          <w:bCs/>
          <w:color w:val="auto"/>
          <w:sz w:val="32"/>
          <w:lang w:val="en-US" w:eastAsia="zh-CN"/>
        </w:rPr>
      </w:pPr>
    </w:p>
    <w:p w14:paraId="26563B5C">
      <w:pPr>
        <w:pStyle w:val="15"/>
        <w:rPr>
          <w:rFonts w:hint="eastAsia" w:ascii="宋体" w:hAnsi="宋体" w:eastAsia="宋体" w:cs="宋体"/>
          <w:b/>
          <w:bCs/>
          <w:color w:val="auto"/>
          <w:sz w:val="32"/>
          <w:lang w:val="en-US" w:eastAsia="zh-CN"/>
        </w:rPr>
      </w:pPr>
    </w:p>
    <w:p w14:paraId="469192C2">
      <w:pPr>
        <w:pStyle w:val="15"/>
        <w:rPr>
          <w:rFonts w:hint="eastAsia" w:ascii="宋体" w:hAnsi="宋体" w:eastAsia="宋体" w:cs="宋体"/>
          <w:b/>
          <w:bCs/>
          <w:color w:val="auto"/>
          <w:sz w:val="32"/>
          <w:lang w:val="en-US" w:eastAsia="zh-CN"/>
        </w:rPr>
      </w:pPr>
    </w:p>
    <w:p w14:paraId="017BA147">
      <w:pPr>
        <w:pStyle w:val="15"/>
        <w:rPr>
          <w:rFonts w:hint="eastAsia"/>
          <w:color w:val="auto"/>
          <w:lang w:val="en-US" w:eastAsia="zh-CN"/>
        </w:rPr>
      </w:pPr>
    </w:p>
    <w:p w14:paraId="7DF51D88">
      <w:pPr>
        <w:jc w:val="center"/>
        <w:rPr>
          <w:rFonts w:hint="eastAsia" w:ascii="宋体" w:hAnsi="宋体" w:eastAsia="宋体" w:cs="宋体"/>
          <w:b/>
          <w:bCs/>
          <w:color w:val="auto"/>
          <w:sz w:val="32"/>
          <w:lang w:val="en-US" w:eastAsia="zh-CN"/>
        </w:rPr>
      </w:pPr>
    </w:p>
    <w:p w14:paraId="1561ECC6">
      <w:p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en-US" w:eastAsia="zh-CN"/>
        </w:rPr>
        <w:t>3、供应商认为有必要补充说明的事项</w:t>
      </w:r>
    </w:p>
    <w:p w14:paraId="579AF626">
      <w:pPr>
        <w:numPr>
          <w:ilvl w:val="0"/>
          <w:numId w:val="0"/>
        </w:numPr>
        <w:wordWrap w:val="0"/>
        <w:spacing w:line="360" w:lineRule="auto"/>
        <w:ind w:right="456" w:rightChars="0"/>
        <w:rPr>
          <w:rFonts w:hint="eastAsia" w:ascii="宋体" w:hAnsi="宋体" w:eastAsia="宋体" w:cs="宋体"/>
          <w:color w:val="auto"/>
        </w:rPr>
      </w:pPr>
    </w:p>
    <w:p w14:paraId="38AD25B0">
      <w:pPr>
        <w:pStyle w:val="14"/>
        <w:rPr>
          <w:rFonts w:hint="eastAsia" w:ascii="宋体" w:hAnsi="宋体" w:eastAsia="宋体" w:cs="宋体"/>
          <w:color w:val="auto"/>
        </w:rPr>
      </w:pPr>
    </w:p>
    <w:p w14:paraId="14CF30E8">
      <w:pPr>
        <w:pStyle w:val="14"/>
        <w:rPr>
          <w:rFonts w:hint="eastAsia" w:ascii="宋体" w:hAnsi="宋体" w:eastAsia="宋体" w:cs="宋体"/>
          <w:color w:val="auto"/>
        </w:rPr>
      </w:pPr>
    </w:p>
    <w:p w14:paraId="6066251B">
      <w:pPr>
        <w:pStyle w:val="14"/>
        <w:rPr>
          <w:rFonts w:hint="eastAsia" w:ascii="宋体" w:hAnsi="宋体" w:eastAsia="宋体" w:cs="宋体"/>
          <w:color w:val="auto"/>
        </w:rPr>
      </w:pPr>
    </w:p>
    <w:p w14:paraId="76A96335">
      <w:pPr>
        <w:pStyle w:val="14"/>
        <w:rPr>
          <w:rFonts w:hint="eastAsia" w:ascii="宋体" w:hAnsi="宋体" w:eastAsia="宋体" w:cs="宋体"/>
          <w:color w:val="auto"/>
        </w:rPr>
      </w:pPr>
    </w:p>
    <w:p w14:paraId="3B04A342">
      <w:pPr>
        <w:pStyle w:val="14"/>
        <w:rPr>
          <w:rFonts w:hint="eastAsia" w:ascii="宋体" w:hAnsi="宋体" w:eastAsia="宋体" w:cs="宋体"/>
          <w:color w:val="auto"/>
        </w:rPr>
      </w:pPr>
    </w:p>
    <w:p w14:paraId="08558DE4">
      <w:pPr>
        <w:pStyle w:val="14"/>
        <w:rPr>
          <w:rFonts w:hint="eastAsia" w:ascii="宋体" w:hAnsi="宋体" w:eastAsia="宋体" w:cs="宋体"/>
          <w:color w:val="auto"/>
        </w:rPr>
      </w:pPr>
    </w:p>
    <w:p w14:paraId="3F052226">
      <w:pPr>
        <w:pStyle w:val="14"/>
        <w:rPr>
          <w:rFonts w:hint="eastAsia" w:ascii="宋体" w:hAnsi="宋体" w:eastAsia="宋体" w:cs="宋体"/>
          <w:color w:val="auto"/>
        </w:rPr>
      </w:pPr>
    </w:p>
    <w:p w14:paraId="49C171DB">
      <w:pPr>
        <w:pStyle w:val="14"/>
        <w:rPr>
          <w:rFonts w:hint="eastAsia" w:ascii="宋体" w:hAnsi="宋体" w:eastAsia="宋体" w:cs="宋体"/>
          <w:color w:val="auto"/>
        </w:rPr>
      </w:pPr>
    </w:p>
    <w:p w14:paraId="72DC41EF">
      <w:pPr>
        <w:pStyle w:val="14"/>
        <w:rPr>
          <w:rFonts w:hint="eastAsia" w:ascii="宋体" w:hAnsi="宋体" w:eastAsia="宋体" w:cs="宋体"/>
          <w:color w:val="auto"/>
        </w:rPr>
      </w:pPr>
    </w:p>
    <w:p w14:paraId="00A0280E">
      <w:pPr>
        <w:pStyle w:val="14"/>
        <w:rPr>
          <w:rFonts w:hint="eastAsia" w:ascii="宋体" w:hAnsi="宋体" w:eastAsia="宋体" w:cs="宋体"/>
          <w:color w:val="auto"/>
        </w:rPr>
      </w:pPr>
    </w:p>
    <w:p w14:paraId="382C8022">
      <w:pPr>
        <w:pStyle w:val="14"/>
        <w:rPr>
          <w:rFonts w:hint="eastAsia" w:ascii="宋体" w:hAnsi="宋体" w:eastAsia="宋体" w:cs="宋体"/>
          <w:color w:val="auto"/>
        </w:rPr>
      </w:pPr>
    </w:p>
    <w:p w14:paraId="774420A0">
      <w:pPr>
        <w:pStyle w:val="14"/>
        <w:rPr>
          <w:rFonts w:hint="eastAsia" w:ascii="宋体" w:hAnsi="宋体" w:eastAsia="宋体" w:cs="宋体"/>
          <w:color w:val="auto"/>
        </w:rPr>
      </w:pPr>
    </w:p>
    <w:p w14:paraId="41C4D72C">
      <w:pPr>
        <w:pStyle w:val="14"/>
        <w:rPr>
          <w:rFonts w:hint="eastAsia" w:ascii="宋体" w:hAnsi="宋体" w:eastAsia="宋体" w:cs="宋体"/>
          <w:color w:val="auto"/>
        </w:rPr>
      </w:pPr>
    </w:p>
    <w:p w14:paraId="2445BE76">
      <w:pPr>
        <w:pStyle w:val="14"/>
        <w:rPr>
          <w:rFonts w:hint="eastAsia" w:ascii="宋体" w:hAnsi="宋体" w:eastAsia="宋体" w:cs="宋体"/>
          <w:color w:val="auto"/>
        </w:rPr>
      </w:pPr>
    </w:p>
    <w:p w14:paraId="70678BEF">
      <w:pPr>
        <w:pStyle w:val="14"/>
        <w:rPr>
          <w:rFonts w:hint="eastAsia" w:ascii="宋体" w:hAnsi="宋体" w:eastAsia="宋体" w:cs="宋体"/>
          <w:color w:val="auto"/>
        </w:rPr>
      </w:pPr>
    </w:p>
    <w:p w14:paraId="55C9C2E9">
      <w:pPr>
        <w:pStyle w:val="14"/>
        <w:rPr>
          <w:rFonts w:hint="eastAsia" w:ascii="宋体" w:hAnsi="宋体" w:eastAsia="宋体" w:cs="宋体"/>
          <w:color w:val="auto"/>
        </w:rPr>
      </w:pPr>
    </w:p>
    <w:p w14:paraId="35B1D3FB">
      <w:pPr>
        <w:pStyle w:val="14"/>
        <w:ind w:left="0" w:leftChars="0" w:firstLine="0" w:firstLineChars="0"/>
        <w:rPr>
          <w:rFonts w:hint="eastAsia" w:ascii="宋体" w:hAnsi="宋体" w:eastAsia="宋体" w:cs="宋体"/>
          <w:color w:val="auto"/>
        </w:rPr>
      </w:pPr>
    </w:p>
    <w:bookmarkEnd w:id="31"/>
    <w:sectPr>
      <w:headerReference r:id="rId12" w:type="default"/>
      <w:footerReference r:id="rId13" w:type="default"/>
      <w:pgSz w:w="11906" w:h="16838"/>
      <w:pgMar w:top="1418" w:right="1134" w:bottom="1418" w:left="1321"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C92A9">
    <w:pPr>
      <w:pStyle w:val="15"/>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845DE">
    <w:pPr>
      <w:pStyle w:val="15"/>
    </w:pPr>
    <w:r>
      <w:rPr>
        <w:rFonts w:hint="eastAsia"/>
      </w:rPr>
      <w:t xml:space="preserve">                                                                    </w:t>
    </w:r>
  </w:p>
  <w:p w14:paraId="086122BA">
    <w:pPr>
      <w:pStyle w:val="15"/>
      <w:jc w:val="center"/>
      <w:rPr>
        <w:rFonts w:hint="eastAsia"/>
      </w:rPr>
    </w:pPr>
    <w:r>
      <w:fldChar w:fldCharType="begin"/>
    </w:r>
    <w:r>
      <w:rPr>
        <w:rStyle w:val="27"/>
      </w:rPr>
      <w:instrText xml:space="preserve"> PAGE </w:instrText>
    </w:r>
    <w:r>
      <w:fldChar w:fldCharType="separate"/>
    </w:r>
    <w:r>
      <w:rPr>
        <w:rStyle w:val="27"/>
      </w:rPr>
      <w:t>- 1 -</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8805C">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D91EF4">
                          <w:pPr>
                            <w:pStyle w:val="15"/>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0D91EF4">
                    <w:pPr>
                      <w:pStyle w:val="15"/>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49C08">
    <w:pPr>
      <w:pStyle w:val="15"/>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B72178">
                          <w:pPr>
                            <w:pStyle w:val="15"/>
                          </w:pPr>
                          <w:r>
                            <w:fldChar w:fldCharType="begin"/>
                          </w:r>
                          <w:r>
                            <w:instrText xml:space="preserve"> PAGE  \* MERGEFORMAT </w:instrText>
                          </w:r>
                          <w:r>
                            <w:fldChar w:fldCharType="separate"/>
                          </w:r>
                          <w:r>
                            <w:t>- 5 -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3B72178">
                    <w:pPr>
                      <w:pStyle w:val="15"/>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C4556">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85179A">
                          <w:pPr>
                            <w:pStyle w:val="15"/>
                          </w:pPr>
                          <w:r>
                            <w:fldChar w:fldCharType="begin"/>
                          </w:r>
                          <w:r>
                            <w:instrText xml:space="preserve"> PAGE  \* MERGEFORMAT </w:instrText>
                          </w:r>
                          <w:r>
                            <w:fldChar w:fldCharType="separate"/>
                          </w:r>
                          <w:r>
                            <w:t>- 40 -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C85179A">
                    <w:pPr>
                      <w:pStyle w:val="15"/>
                    </w:pPr>
                    <w:r>
                      <w:fldChar w:fldCharType="begin"/>
                    </w:r>
                    <w:r>
                      <w:instrText xml:space="preserve"> PAGE  \* MERGEFORMAT </w:instrText>
                    </w:r>
                    <w:r>
                      <w:fldChar w:fldCharType="separate"/>
                    </w:r>
                    <w:r>
                      <w:t>- 40 -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7B1B9">
    <w:pPr>
      <w:pStyle w:val="15"/>
      <w:rPr>
        <w:rFonts w:hint="eastAsia"/>
        <w:u w:val="single"/>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42DAAB">
                          <w:pPr>
                            <w:pStyle w:val="15"/>
                          </w:pPr>
                          <w:r>
                            <w:fldChar w:fldCharType="begin"/>
                          </w:r>
                          <w:r>
                            <w:instrText xml:space="preserve"> PAGE  \* MERGEFORMAT </w:instrText>
                          </w:r>
                          <w:r>
                            <w:fldChar w:fldCharType="separate"/>
                          </w:r>
                          <w:r>
                            <w:t>- 41 -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D42DAAB">
                    <w:pPr>
                      <w:pStyle w:val="15"/>
                    </w:pPr>
                    <w:r>
                      <w:fldChar w:fldCharType="begin"/>
                    </w:r>
                    <w:r>
                      <w:instrText xml:space="preserve"> PAGE  \* MERGEFORMAT </w:instrText>
                    </w:r>
                    <w:r>
                      <w:fldChar w:fldCharType="separate"/>
                    </w:r>
                    <w:r>
                      <w:t>- 41 -</w:t>
                    </w:r>
                    <w:r>
                      <w:fldChar w:fldCharType="end"/>
                    </w:r>
                  </w:p>
                </w:txbxContent>
              </v:textbox>
            </v:shape>
          </w:pict>
        </mc:Fallback>
      </mc:AlternateContent>
    </w:r>
    <w:r>
      <w:rPr>
        <w:rFonts w:hint="eastAsia"/>
        <w:u w:val="none"/>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2253B">
    <w:pPr>
      <w:pStyle w:val="1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22FBA6">
                          <w:pPr>
                            <w:pStyle w:val="15"/>
                          </w:pPr>
                          <w:r>
                            <w:fldChar w:fldCharType="begin"/>
                          </w:r>
                          <w:r>
                            <w:instrText xml:space="preserve"> PAGE  \* MERGEFORMAT </w:instrText>
                          </w:r>
                          <w:r>
                            <w:fldChar w:fldCharType="separate"/>
                          </w:r>
                          <w:r>
                            <w:t>- 53 -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822FBA6">
                    <w:pPr>
                      <w:pStyle w:val="15"/>
                    </w:pPr>
                    <w:r>
                      <w:fldChar w:fldCharType="begin"/>
                    </w:r>
                    <w:r>
                      <w:instrText xml:space="preserve"> PAGE  \* MERGEFORMAT </w:instrText>
                    </w:r>
                    <w:r>
                      <w:fldChar w:fldCharType="separate"/>
                    </w:r>
                    <w:r>
                      <w:t>- 53 -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C2FB1">
    <w:pPr>
      <w:pStyle w:val="17"/>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22FFA">
    <w:pPr>
      <w:pStyle w:val="17"/>
      <w:pBdr>
        <w:bottom w:val="none" w:color="auto" w:sz="0" w:space="2"/>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5AA6C"/>
    <w:multiLevelType w:val="singleLevel"/>
    <w:tmpl w:val="8775AA6C"/>
    <w:lvl w:ilvl="0" w:tentative="0">
      <w:start w:val="1"/>
      <w:numFmt w:val="decimal"/>
      <w:suff w:val="nothing"/>
      <w:lvlText w:val="%1．"/>
      <w:lvlJc w:val="left"/>
      <w:pPr>
        <w:ind w:left="0" w:firstLine="400"/>
      </w:pPr>
      <w:rPr>
        <w:rFonts w:hint="default"/>
      </w:rPr>
    </w:lvl>
  </w:abstractNum>
  <w:abstractNum w:abstractNumId="1">
    <w:nsid w:val="8B73E5A9"/>
    <w:multiLevelType w:val="singleLevel"/>
    <w:tmpl w:val="8B73E5A9"/>
    <w:lvl w:ilvl="0" w:tentative="0">
      <w:start w:val="1"/>
      <w:numFmt w:val="decimal"/>
      <w:lvlText w:val="(%1)"/>
      <w:lvlJc w:val="left"/>
      <w:pPr>
        <w:ind w:left="425" w:hanging="425"/>
      </w:pPr>
      <w:rPr>
        <w:rFonts w:hint="default"/>
      </w:rPr>
    </w:lvl>
  </w:abstractNum>
  <w:abstractNum w:abstractNumId="2">
    <w:nsid w:val="8CCA3A4E"/>
    <w:multiLevelType w:val="singleLevel"/>
    <w:tmpl w:val="8CCA3A4E"/>
    <w:lvl w:ilvl="0" w:tentative="0">
      <w:start w:val="1"/>
      <w:numFmt w:val="decimalEnclosedCircleChinese"/>
      <w:suff w:val="nothing"/>
      <w:lvlText w:val="%1　"/>
      <w:lvlJc w:val="left"/>
      <w:pPr>
        <w:ind w:left="0" w:firstLine="400"/>
      </w:pPr>
      <w:rPr>
        <w:rFonts w:hint="eastAsia"/>
      </w:rPr>
    </w:lvl>
  </w:abstractNum>
  <w:abstractNum w:abstractNumId="3">
    <w:nsid w:val="9090A26A"/>
    <w:multiLevelType w:val="singleLevel"/>
    <w:tmpl w:val="9090A26A"/>
    <w:lvl w:ilvl="0" w:tentative="0">
      <w:start w:val="1"/>
      <w:numFmt w:val="decimal"/>
      <w:suff w:val="nothing"/>
      <w:lvlText w:val="%1．"/>
      <w:lvlJc w:val="left"/>
      <w:pPr>
        <w:ind w:left="0" w:firstLine="400"/>
      </w:pPr>
      <w:rPr>
        <w:rFonts w:hint="default"/>
      </w:rPr>
    </w:lvl>
  </w:abstractNum>
  <w:abstractNum w:abstractNumId="4">
    <w:nsid w:val="94E6AC35"/>
    <w:multiLevelType w:val="singleLevel"/>
    <w:tmpl w:val="94E6AC35"/>
    <w:lvl w:ilvl="0" w:tentative="0">
      <w:start w:val="1"/>
      <w:numFmt w:val="decimal"/>
      <w:lvlText w:val="(%1)"/>
      <w:lvlJc w:val="left"/>
      <w:pPr>
        <w:ind w:left="425" w:hanging="425"/>
      </w:pPr>
      <w:rPr>
        <w:rFonts w:hint="default"/>
      </w:rPr>
    </w:lvl>
  </w:abstractNum>
  <w:abstractNum w:abstractNumId="5">
    <w:nsid w:val="9CAE0B04"/>
    <w:multiLevelType w:val="singleLevel"/>
    <w:tmpl w:val="9CAE0B04"/>
    <w:lvl w:ilvl="0" w:tentative="0">
      <w:start w:val="1"/>
      <w:numFmt w:val="decimal"/>
      <w:lvlText w:val="(%1)"/>
      <w:lvlJc w:val="left"/>
      <w:pPr>
        <w:ind w:left="425" w:hanging="425"/>
      </w:pPr>
      <w:rPr>
        <w:rFonts w:hint="default"/>
      </w:rPr>
    </w:lvl>
  </w:abstractNum>
  <w:abstractNum w:abstractNumId="6">
    <w:nsid w:val="9D50EC65"/>
    <w:multiLevelType w:val="singleLevel"/>
    <w:tmpl w:val="9D50EC65"/>
    <w:lvl w:ilvl="0" w:tentative="0">
      <w:start w:val="1"/>
      <w:numFmt w:val="decimal"/>
      <w:suff w:val="nothing"/>
      <w:lvlText w:val="%1．"/>
      <w:lvlJc w:val="left"/>
      <w:pPr>
        <w:ind w:left="0" w:firstLine="400"/>
      </w:pPr>
      <w:rPr>
        <w:rFonts w:hint="default"/>
      </w:rPr>
    </w:lvl>
  </w:abstractNum>
  <w:abstractNum w:abstractNumId="7">
    <w:nsid w:val="A1AC292C"/>
    <w:multiLevelType w:val="singleLevel"/>
    <w:tmpl w:val="A1AC292C"/>
    <w:lvl w:ilvl="0" w:tentative="0">
      <w:start w:val="1"/>
      <w:numFmt w:val="decimal"/>
      <w:suff w:val="nothing"/>
      <w:lvlText w:val="%1．"/>
      <w:lvlJc w:val="left"/>
      <w:pPr>
        <w:ind w:left="0" w:firstLine="400"/>
      </w:pPr>
      <w:rPr>
        <w:rFonts w:hint="default"/>
      </w:rPr>
    </w:lvl>
  </w:abstractNum>
  <w:abstractNum w:abstractNumId="8">
    <w:nsid w:val="A50E0E10"/>
    <w:multiLevelType w:val="singleLevel"/>
    <w:tmpl w:val="A50E0E10"/>
    <w:lvl w:ilvl="0" w:tentative="0">
      <w:start w:val="1"/>
      <w:numFmt w:val="upperLetter"/>
      <w:lvlText w:val="%1."/>
      <w:lvlJc w:val="left"/>
      <w:pPr>
        <w:ind w:left="425" w:hanging="425"/>
      </w:pPr>
      <w:rPr>
        <w:rFonts w:hint="default"/>
      </w:rPr>
    </w:lvl>
  </w:abstractNum>
  <w:abstractNum w:abstractNumId="9">
    <w:nsid w:val="A68D9A31"/>
    <w:multiLevelType w:val="singleLevel"/>
    <w:tmpl w:val="A68D9A31"/>
    <w:lvl w:ilvl="0" w:tentative="0">
      <w:start w:val="1"/>
      <w:numFmt w:val="decimal"/>
      <w:lvlText w:val="(%1)"/>
      <w:lvlJc w:val="left"/>
      <w:pPr>
        <w:ind w:left="425" w:hanging="425"/>
      </w:pPr>
      <w:rPr>
        <w:rFonts w:hint="default"/>
      </w:rPr>
    </w:lvl>
  </w:abstractNum>
  <w:abstractNum w:abstractNumId="10">
    <w:nsid w:val="AD3BADB9"/>
    <w:multiLevelType w:val="singleLevel"/>
    <w:tmpl w:val="AD3BADB9"/>
    <w:lvl w:ilvl="0" w:tentative="0">
      <w:start w:val="1"/>
      <w:numFmt w:val="decimal"/>
      <w:suff w:val="nothing"/>
      <w:lvlText w:val="（%1）"/>
      <w:lvlJc w:val="left"/>
    </w:lvl>
  </w:abstractNum>
  <w:abstractNum w:abstractNumId="11">
    <w:nsid w:val="B0E3DD68"/>
    <w:multiLevelType w:val="singleLevel"/>
    <w:tmpl w:val="B0E3DD68"/>
    <w:lvl w:ilvl="0" w:tentative="0">
      <w:start w:val="1"/>
      <w:numFmt w:val="decimal"/>
      <w:lvlText w:val="(%1)"/>
      <w:lvlJc w:val="left"/>
      <w:pPr>
        <w:ind w:left="425" w:hanging="425"/>
      </w:pPr>
      <w:rPr>
        <w:rFonts w:hint="default"/>
      </w:rPr>
    </w:lvl>
  </w:abstractNum>
  <w:abstractNum w:abstractNumId="12">
    <w:nsid w:val="B0E77737"/>
    <w:multiLevelType w:val="singleLevel"/>
    <w:tmpl w:val="B0E77737"/>
    <w:lvl w:ilvl="0" w:tentative="0">
      <w:start w:val="3"/>
      <w:numFmt w:val="decimal"/>
      <w:lvlText w:val="%1."/>
      <w:lvlJc w:val="left"/>
      <w:pPr>
        <w:tabs>
          <w:tab w:val="left" w:pos="312"/>
        </w:tabs>
      </w:pPr>
    </w:lvl>
  </w:abstractNum>
  <w:abstractNum w:abstractNumId="13">
    <w:nsid w:val="B2C441E7"/>
    <w:multiLevelType w:val="singleLevel"/>
    <w:tmpl w:val="B2C441E7"/>
    <w:lvl w:ilvl="0" w:tentative="0">
      <w:start w:val="1"/>
      <w:numFmt w:val="upperLetter"/>
      <w:lvlText w:val="%1."/>
      <w:lvlJc w:val="left"/>
      <w:pPr>
        <w:ind w:left="425" w:hanging="425"/>
      </w:pPr>
      <w:rPr>
        <w:rFonts w:hint="default"/>
      </w:rPr>
    </w:lvl>
  </w:abstractNum>
  <w:abstractNum w:abstractNumId="14">
    <w:nsid w:val="B8C7A47F"/>
    <w:multiLevelType w:val="singleLevel"/>
    <w:tmpl w:val="B8C7A47F"/>
    <w:lvl w:ilvl="0" w:tentative="0">
      <w:start w:val="1"/>
      <w:numFmt w:val="decimal"/>
      <w:suff w:val="nothing"/>
      <w:lvlText w:val="%1．"/>
      <w:lvlJc w:val="left"/>
      <w:pPr>
        <w:ind w:left="0" w:firstLine="400"/>
      </w:pPr>
      <w:rPr>
        <w:rFonts w:hint="default"/>
      </w:rPr>
    </w:lvl>
  </w:abstractNum>
  <w:abstractNum w:abstractNumId="15">
    <w:nsid w:val="BB1509C8"/>
    <w:multiLevelType w:val="singleLevel"/>
    <w:tmpl w:val="BB1509C8"/>
    <w:lvl w:ilvl="0" w:tentative="0">
      <w:start w:val="1"/>
      <w:numFmt w:val="decimal"/>
      <w:lvlText w:val="(%1)"/>
      <w:lvlJc w:val="left"/>
      <w:pPr>
        <w:ind w:left="425" w:hanging="425"/>
      </w:pPr>
      <w:rPr>
        <w:rFonts w:hint="default"/>
      </w:rPr>
    </w:lvl>
  </w:abstractNum>
  <w:abstractNum w:abstractNumId="16">
    <w:nsid w:val="BBE24C39"/>
    <w:multiLevelType w:val="singleLevel"/>
    <w:tmpl w:val="BBE24C39"/>
    <w:lvl w:ilvl="0" w:tentative="0">
      <w:start w:val="1"/>
      <w:numFmt w:val="decimalEnclosedCircleChinese"/>
      <w:suff w:val="nothing"/>
      <w:lvlText w:val="%1　"/>
      <w:lvlJc w:val="left"/>
      <w:pPr>
        <w:ind w:left="0" w:firstLine="400"/>
      </w:pPr>
      <w:rPr>
        <w:rFonts w:hint="eastAsia"/>
      </w:rPr>
    </w:lvl>
  </w:abstractNum>
  <w:abstractNum w:abstractNumId="17">
    <w:nsid w:val="BEE2840F"/>
    <w:multiLevelType w:val="singleLevel"/>
    <w:tmpl w:val="BEE2840F"/>
    <w:lvl w:ilvl="0" w:tentative="0">
      <w:start w:val="1"/>
      <w:numFmt w:val="upperLetter"/>
      <w:lvlText w:val="%1."/>
      <w:lvlJc w:val="left"/>
      <w:pPr>
        <w:ind w:left="425" w:hanging="425"/>
      </w:pPr>
      <w:rPr>
        <w:rFonts w:hint="default"/>
      </w:rPr>
    </w:lvl>
  </w:abstractNum>
  <w:abstractNum w:abstractNumId="18">
    <w:nsid w:val="C247FCBE"/>
    <w:multiLevelType w:val="singleLevel"/>
    <w:tmpl w:val="C247FCBE"/>
    <w:lvl w:ilvl="0" w:tentative="0">
      <w:start w:val="1"/>
      <w:numFmt w:val="upperLetter"/>
      <w:lvlText w:val="%1."/>
      <w:lvlJc w:val="left"/>
      <w:pPr>
        <w:ind w:left="425" w:hanging="425"/>
      </w:pPr>
      <w:rPr>
        <w:rFonts w:hint="default"/>
      </w:rPr>
    </w:lvl>
  </w:abstractNum>
  <w:abstractNum w:abstractNumId="19">
    <w:nsid w:val="C47F28EC"/>
    <w:multiLevelType w:val="singleLevel"/>
    <w:tmpl w:val="C47F28EC"/>
    <w:lvl w:ilvl="0" w:tentative="0">
      <w:start w:val="1"/>
      <w:numFmt w:val="upperLetter"/>
      <w:lvlText w:val="%1."/>
      <w:lvlJc w:val="left"/>
      <w:pPr>
        <w:ind w:left="425" w:hanging="425"/>
      </w:pPr>
      <w:rPr>
        <w:rFonts w:hint="default"/>
      </w:rPr>
    </w:lvl>
  </w:abstractNum>
  <w:abstractNum w:abstractNumId="20">
    <w:nsid w:val="C90F9D3A"/>
    <w:multiLevelType w:val="singleLevel"/>
    <w:tmpl w:val="C90F9D3A"/>
    <w:lvl w:ilvl="0" w:tentative="0">
      <w:start w:val="1"/>
      <w:numFmt w:val="upperLetter"/>
      <w:lvlText w:val="%1."/>
      <w:lvlJc w:val="left"/>
      <w:pPr>
        <w:ind w:left="425" w:hanging="425"/>
      </w:pPr>
      <w:rPr>
        <w:rFonts w:hint="default"/>
      </w:rPr>
    </w:lvl>
  </w:abstractNum>
  <w:abstractNum w:abstractNumId="21">
    <w:nsid w:val="CDD30696"/>
    <w:multiLevelType w:val="singleLevel"/>
    <w:tmpl w:val="CDD30696"/>
    <w:lvl w:ilvl="0" w:tentative="0">
      <w:start w:val="1"/>
      <w:numFmt w:val="decimalEnclosedCircleChinese"/>
      <w:suff w:val="nothing"/>
      <w:lvlText w:val="%1　"/>
      <w:lvlJc w:val="left"/>
      <w:pPr>
        <w:ind w:left="0" w:firstLine="400"/>
      </w:pPr>
      <w:rPr>
        <w:rFonts w:hint="eastAsia"/>
      </w:rPr>
    </w:lvl>
  </w:abstractNum>
  <w:abstractNum w:abstractNumId="22">
    <w:nsid w:val="D1BD0F57"/>
    <w:multiLevelType w:val="singleLevel"/>
    <w:tmpl w:val="D1BD0F57"/>
    <w:lvl w:ilvl="0" w:tentative="0">
      <w:start w:val="1"/>
      <w:numFmt w:val="decimal"/>
      <w:lvlText w:val="(%1)"/>
      <w:lvlJc w:val="left"/>
      <w:pPr>
        <w:ind w:left="425" w:hanging="425"/>
      </w:pPr>
      <w:rPr>
        <w:rFonts w:hint="default"/>
      </w:rPr>
    </w:lvl>
  </w:abstractNum>
  <w:abstractNum w:abstractNumId="23">
    <w:nsid w:val="D2810D01"/>
    <w:multiLevelType w:val="singleLevel"/>
    <w:tmpl w:val="D2810D01"/>
    <w:lvl w:ilvl="0" w:tentative="0">
      <w:start w:val="1"/>
      <w:numFmt w:val="decimal"/>
      <w:suff w:val="nothing"/>
      <w:lvlText w:val="%1．"/>
      <w:lvlJc w:val="left"/>
      <w:pPr>
        <w:ind w:left="0" w:firstLine="400"/>
      </w:pPr>
      <w:rPr>
        <w:rFonts w:hint="default"/>
      </w:rPr>
    </w:lvl>
  </w:abstractNum>
  <w:abstractNum w:abstractNumId="24">
    <w:nsid w:val="D3AB778E"/>
    <w:multiLevelType w:val="singleLevel"/>
    <w:tmpl w:val="D3AB778E"/>
    <w:lvl w:ilvl="0" w:tentative="0">
      <w:start w:val="1"/>
      <w:numFmt w:val="decimalEnclosedCircleChinese"/>
      <w:suff w:val="nothing"/>
      <w:lvlText w:val="%1　"/>
      <w:lvlJc w:val="left"/>
      <w:pPr>
        <w:ind w:left="0" w:firstLine="400"/>
      </w:pPr>
      <w:rPr>
        <w:rFonts w:hint="eastAsia"/>
      </w:rPr>
    </w:lvl>
  </w:abstractNum>
  <w:abstractNum w:abstractNumId="25">
    <w:nsid w:val="D3C0A019"/>
    <w:multiLevelType w:val="singleLevel"/>
    <w:tmpl w:val="D3C0A019"/>
    <w:lvl w:ilvl="0" w:tentative="0">
      <w:start w:val="1"/>
      <w:numFmt w:val="decimal"/>
      <w:suff w:val="nothing"/>
      <w:lvlText w:val="%1．"/>
      <w:lvlJc w:val="left"/>
      <w:pPr>
        <w:ind w:left="0" w:firstLine="400"/>
      </w:pPr>
      <w:rPr>
        <w:rFonts w:hint="default"/>
      </w:rPr>
    </w:lvl>
  </w:abstractNum>
  <w:abstractNum w:abstractNumId="26">
    <w:nsid w:val="D4F072DC"/>
    <w:multiLevelType w:val="singleLevel"/>
    <w:tmpl w:val="D4F072DC"/>
    <w:lvl w:ilvl="0" w:tentative="0">
      <w:start w:val="1"/>
      <w:numFmt w:val="decimal"/>
      <w:lvlText w:val="(%1)"/>
      <w:lvlJc w:val="left"/>
      <w:pPr>
        <w:ind w:left="425" w:hanging="425"/>
      </w:pPr>
      <w:rPr>
        <w:rFonts w:hint="default"/>
      </w:rPr>
    </w:lvl>
  </w:abstractNum>
  <w:abstractNum w:abstractNumId="27">
    <w:nsid w:val="DA47C622"/>
    <w:multiLevelType w:val="singleLevel"/>
    <w:tmpl w:val="DA47C622"/>
    <w:lvl w:ilvl="0" w:tentative="0">
      <w:start w:val="1"/>
      <w:numFmt w:val="decimalEnclosedCircleChinese"/>
      <w:suff w:val="nothing"/>
      <w:lvlText w:val="%1　"/>
      <w:lvlJc w:val="left"/>
      <w:pPr>
        <w:ind w:left="0" w:firstLine="400"/>
      </w:pPr>
      <w:rPr>
        <w:rFonts w:hint="eastAsia"/>
      </w:rPr>
    </w:lvl>
  </w:abstractNum>
  <w:abstractNum w:abstractNumId="28">
    <w:nsid w:val="DA569E97"/>
    <w:multiLevelType w:val="singleLevel"/>
    <w:tmpl w:val="DA569E97"/>
    <w:lvl w:ilvl="0" w:tentative="0">
      <w:start w:val="1"/>
      <w:numFmt w:val="decimal"/>
      <w:lvlText w:val="(%1)"/>
      <w:lvlJc w:val="left"/>
      <w:pPr>
        <w:ind w:left="425" w:hanging="425"/>
      </w:pPr>
      <w:rPr>
        <w:rFonts w:hint="default"/>
      </w:rPr>
    </w:lvl>
  </w:abstractNum>
  <w:abstractNum w:abstractNumId="29">
    <w:nsid w:val="DCEFDA68"/>
    <w:multiLevelType w:val="singleLevel"/>
    <w:tmpl w:val="DCEFDA68"/>
    <w:lvl w:ilvl="0" w:tentative="0">
      <w:start w:val="1"/>
      <w:numFmt w:val="decimalEnclosedCircleChinese"/>
      <w:suff w:val="nothing"/>
      <w:lvlText w:val="%1　"/>
      <w:lvlJc w:val="left"/>
      <w:pPr>
        <w:ind w:left="0" w:firstLine="400"/>
      </w:pPr>
      <w:rPr>
        <w:rFonts w:hint="eastAsia"/>
      </w:rPr>
    </w:lvl>
  </w:abstractNum>
  <w:abstractNum w:abstractNumId="30">
    <w:nsid w:val="DE87539F"/>
    <w:multiLevelType w:val="singleLevel"/>
    <w:tmpl w:val="DE87539F"/>
    <w:lvl w:ilvl="0" w:tentative="0">
      <w:start w:val="1"/>
      <w:numFmt w:val="decimal"/>
      <w:lvlText w:val="(%1)"/>
      <w:lvlJc w:val="left"/>
      <w:pPr>
        <w:ind w:left="425" w:hanging="425"/>
      </w:pPr>
      <w:rPr>
        <w:rFonts w:hint="default"/>
      </w:rPr>
    </w:lvl>
  </w:abstractNum>
  <w:abstractNum w:abstractNumId="31">
    <w:nsid w:val="DE999036"/>
    <w:multiLevelType w:val="singleLevel"/>
    <w:tmpl w:val="DE999036"/>
    <w:lvl w:ilvl="0" w:tentative="0">
      <w:start w:val="1"/>
      <w:numFmt w:val="decimalEnclosedCircleChinese"/>
      <w:suff w:val="nothing"/>
      <w:lvlText w:val="%1　"/>
      <w:lvlJc w:val="left"/>
      <w:pPr>
        <w:ind w:left="0" w:firstLine="400"/>
      </w:pPr>
      <w:rPr>
        <w:rFonts w:hint="eastAsia"/>
      </w:rPr>
    </w:lvl>
  </w:abstractNum>
  <w:abstractNum w:abstractNumId="32">
    <w:nsid w:val="EC6C627B"/>
    <w:multiLevelType w:val="singleLevel"/>
    <w:tmpl w:val="EC6C627B"/>
    <w:lvl w:ilvl="0" w:tentative="0">
      <w:start w:val="1"/>
      <w:numFmt w:val="upperLetter"/>
      <w:lvlText w:val="%1."/>
      <w:lvlJc w:val="left"/>
      <w:pPr>
        <w:ind w:left="425" w:hanging="425"/>
      </w:pPr>
      <w:rPr>
        <w:rFonts w:hint="default"/>
      </w:rPr>
    </w:lvl>
  </w:abstractNum>
  <w:abstractNum w:abstractNumId="33">
    <w:nsid w:val="F0A272F9"/>
    <w:multiLevelType w:val="singleLevel"/>
    <w:tmpl w:val="F0A272F9"/>
    <w:lvl w:ilvl="0" w:tentative="0">
      <w:start w:val="1"/>
      <w:numFmt w:val="decimalEnclosedCircleChinese"/>
      <w:suff w:val="nothing"/>
      <w:lvlText w:val="%1　"/>
      <w:lvlJc w:val="left"/>
      <w:pPr>
        <w:ind w:left="0" w:firstLine="400"/>
      </w:pPr>
      <w:rPr>
        <w:rFonts w:hint="eastAsia"/>
      </w:rPr>
    </w:lvl>
  </w:abstractNum>
  <w:abstractNum w:abstractNumId="34">
    <w:nsid w:val="F356C99A"/>
    <w:multiLevelType w:val="singleLevel"/>
    <w:tmpl w:val="F356C99A"/>
    <w:lvl w:ilvl="0" w:tentative="0">
      <w:start w:val="1"/>
      <w:numFmt w:val="decimal"/>
      <w:lvlText w:val="(%1)"/>
      <w:lvlJc w:val="left"/>
      <w:pPr>
        <w:ind w:left="425" w:hanging="425"/>
      </w:pPr>
      <w:rPr>
        <w:rFonts w:hint="default"/>
      </w:rPr>
    </w:lvl>
  </w:abstractNum>
  <w:abstractNum w:abstractNumId="35">
    <w:nsid w:val="F362B442"/>
    <w:multiLevelType w:val="singleLevel"/>
    <w:tmpl w:val="F362B442"/>
    <w:lvl w:ilvl="0" w:tentative="0">
      <w:start w:val="1"/>
      <w:numFmt w:val="decimal"/>
      <w:suff w:val="nothing"/>
      <w:lvlText w:val="%1．"/>
      <w:lvlJc w:val="left"/>
      <w:pPr>
        <w:ind w:left="0" w:firstLine="400"/>
      </w:pPr>
      <w:rPr>
        <w:rFonts w:hint="default"/>
      </w:rPr>
    </w:lvl>
  </w:abstractNum>
  <w:abstractNum w:abstractNumId="36">
    <w:nsid w:val="F5B8D4DC"/>
    <w:multiLevelType w:val="singleLevel"/>
    <w:tmpl w:val="F5B8D4DC"/>
    <w:lvl w:ilvl="0" w:tentative="0">
      <w:start w:val="1"/>
      <w:numFmt w:val="chineseCounting"/>
      <w:suff w:val="nothing"/>
      <w:lvlText w:val="%1、"/>
      <w:lvlJc w:val="left"/>
      <w:rPr>
        <w:rFonts w:hint="eastAsia"/>
      </w:rPr>
    </w:lvl>
  </w:abstractNum>
  <w:abstractNum w:abstractNumId="37">
    <w:nsid w:val="F7DD2584"/>
    <w:multiLevelType w:val="singleLevel"/>
    <w:tmpl w:val="F7DD2584"/>
    <w:lvl w:ilvl="0" w:tentative="0">
      <w:start w:val="1"/>
      <w:numFmt w:val="decimalEnclosedCircleChinese"/>
      <w:suff w:val="nothing"/>
      <w:lvlText w:val="%1　"/>
      <w:lvlJc w:val="left"/>
      <w:pPr>
        <w:ind w:left="0" w:firstLine="400"/>
      </w:pPr>
      <w:rPr>
        <w:rFonts w:hint="eastAsia"/>
      </w:rPr>
    </w:lvl>
  </w:abstractNum>
  <w:abstractNum w:abstractNumId="38">
    <w:nsid w:val="FFBA3EC7"/>
    <w:multiLevelType w:val="singleLevel"/>
    <w:tmpl w:val="FFBA3EC7"/>
    <w:lvl w:ilvl="0" w:tentative="0">
      <w:start w:val="1"/>
      <w:numFmt w:val="decimal"/>
      <w:lvlText w:val="(%1)"/>
      <w:lvlJc w:val="left"/>
      <w:pPr>
        <w:ind w:left="425" w:hanging="425"/>
      </w:pPr>
      <w:rPr>
        <w:rFonts w:hint="default"/>
      </w:rPr>
    </w:lvl>
  </w:abstractNum>
  <w:abstractNum w:abstractNumId="39">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380"/>
        </w:tabs>
        <w:ind w:left="1380" w:hanging="420"/>
      </w:pPr>
      <w:rPr>
        <w:rFonts w:hint="default" w:ascii="Wingdings" w:hAnsi="Wingdings"/>
      </w:rPr>
    </w:lvl>
    <w:lvl w:ilvl="2" w:tentative="0">
      <w:start w:val="1"/>
      <w:numFmt w:val="bullet"/>
      <w:lvlText w:val=""/>
      <w:lvlJc w:val="left"/>
      <w:pPr>
        <w:tabs>
          <w:tab w:val="left" w:pos="1800"/>
        </w:tabs>
        <w:ind w:left="1800" w:hanging="420"/>
      </w:pPr>
      <w:rPr>
        <w:rFonts w:hint="default" w:ascii="Wingdings" w:hAnsi="Wingdings"/>
      </w:rPr>
    </w:lvl>
    <w:lvl w:ilvl="3" w:tentative="0">
      <w:start w:val="1"/>
      <w:numFmt w:val="bullet"/>
      <w:lvlText w:val=""/>
      <w:lvlJc w:val="left"/>
      <w:pPr>
        <w:tabs>
          <w:tab w:val="left" w:pos="2220"/>
        </w:tabs>
        <w:ind w:left="2220" w:hanging="420"/>
      </w:pPr>
      <w:rPr>
        <w:rFonts w:hint="default" w:ascii="Wingdings" w:hAnsi="Wingdings"/>
      </w:rPr>
    </w:lvl>
    <w:lvl w:ilvl="4" w:tentative="0">
      <w:start w:val="1"/>
      <w:numFmt w:val="bullet"/>
      <w:lvlText w:val=""/>
      <w:lvlJc w:val="left"/>
      <w:pPr>
        <w:tabs>
          <w:tab w:val="left" w:pos="2640"/>
        </w:tabs>
        <w:ind w:left="2640" w:hanging="420"/>
      </w:pPr>
      <w:rPr>
        <w:rFonts w:hint="default" w:ascii="Wingdings" w:hAnsi="Wingdings"/>
      </w:rPr>
    </w:lvl>
    <w:lvl w:ilvl="5" w:tentative="0">
      <w:start w:val="1"/>
      <w:numFmt w:val="bullet"/>
      <w:lvlText w:val=""/>
      <w:lvlJc w:val="left"/>
      <w:pPr>
        <w:tabs>
          <w:tab w:val="left" w:pos="3060"/>
        </w:tabs>
        <w:ind w:left="3060" w:hanging="420"/>
      </w:pPr>
      <w:rPr>
        <w:rFonts w:hint="default" w:ascii="Wingdings" w:hAnsi="Wingdings"/>
      </w:rPr>
    </w:lvl>
    <w:lvl w:ilvl="6" w:tentative="0">
      <w:start w:val="1"/>
      <w:numFmt w:val="bullet"/>
      <w:lvlText w:val=""/>
      <w:lvlJc w:val="left"/>
      <w:pPr>
        <w:tabs>
          <w:tab w:val="left" w:pos="3480"/>
        </w:tabs>
        <w:ind w:left="3480" w:hanging="420"/>
      </w:pPr>
      <w:rPr>
        <w:rFonts w:hint="default" w:ascii="Wingdings" w:hAnsi="Wingdings"/>
      </w:rPr>
    </w:lvl>
    <w:lvl w:ilvl="7" w:tentative="0">
      <w:start w:val="1"/>
      <w:numFmt w:val="bullet"/>
      <w:lvlText w:val=""/>
      <w:lvlJc w:val="left"/>
      <w:pPr>
        <w:tabs>
          <w:tab w:val="left" w:pos="3900"/>
        </w:tabs>
        <w:ind w:left="3900" w:hanging="420"/>
      </w:pPr>
      <w:rPr>
        <w:rFonts w:hint="default" w:ascii="Wingdings" w:hAnsi="Wingdings"/>
      </w:rPr>
    </w:lvl>
    <w:lvl w:ilvl="8" w:tentative="0">
      <w:start w:val="1"/>
      <w:numFmt w:val="bullet"/>
      <w:lvlText w:val=""/>
      <w:lvlJc w:val="left"/>
      <w:pPr>
        <w:tabs>
          <w:tab w:val="left" w:pos="4320"/>
        </w:tabs>
        <w:ind w:left="4320" w:hanging="420"/>
      </w:pPr>
      <w:rPr>
        <w:rFonts w:hint="default" w:ascii="Wingdings" w:hAnsi="Wingdings"/>
      </w:rPr>
    </w:lvl>
  </w:abstractNum>
  <w:abstractNum w:abstractNumId="40">
    <w:nsid w:val="05BDAB25"/>
    <w:multiLevelType w:val="singleLevel"/>
    <w:tmpl w:val="05BDAB25"/>
    <w:lvl w:ilvl="0" w:tentative="0">
      <w:start w:val="1"/>
      <w:numFmt w:val="decimal"/>
      <w:suff w:val="nothing"/>
      <w:lvlText w:val="%1．"/>
      <w:lvlJc w:val="left"/>
      <w:pPr>
        <w:ind w:left="0" w:firstLine="400"/>
      </w:pPr>
      <w:rPr>
        <w:rFonts w:hint="default"/>
      </w:rPr>
    </w:lvl>
  </w:abstractNum>
  <w:abstractNum w:abstractNumId="41">
    <w:nsid w:val="06C1D6D6"/>
    <w:multiLevelType w:val="singleLevel"/>
    <w:tmpl w:val="06C1D6D6"/>
    <w:lvl w:ilvl="0" w:tentative="0">
      <w:start w:val="1"/>
      <w:numFmt w:val="decimalEnclosedCircleChinese"/>
      <w:suff w:val="nothing"/>
      <w:lvlText w:val="%1　"/>
      <w:lvlJc w:val="left"/>
      <w:pPr>
        <w:ind w:left="0" w:firstLine="400"/>
      </w:pPr>
      <w:rPr>
        <w:rFonts w:hint="eastAsia"/>
      </w:rPr>
    </w:lvl>
  </w:abstractNum>
  <w:abstractNum w:abstractNumId="42">
    <w:nsid w:val="0BC9CB55"/>
    <w:multiLevelType w:val="singleLevel"/>
    <w:tmpl w:val="0BC9CB55"/>
    <w:lvl w:ilvl="0" w:tentative="0">
      <w:start w:val="1"/>
      <w:numFmt w:val="decimalEnclosedCircleChinese"/>
      <w:suff w:val="nothing"/>
      <w:lvlText w:val="%1　"/>
      <w:lvlJc w:val="left"/>
      <w:pPr>
        <w:ind w:left="0" w:firstLine="400"/>
      </w:pPr>
      <w:rPr>
        <w:rFonts w:hint="eastAsia"/>
      </w:rPr>
    </w:lvl>
  </w:abstractNum>
  <w:abstractNum w:abstractNumId="43">
    <w:nsid w:val="0C317A7A"/>
    <w:multiLevelType w:val="singleLevel"/>
    <w:tmpl w:val="0C317A7A"/>
    <w:lvl w:ilvl="0" w:tentative="0">
      <w:start w:val="1"/>
      <w:numFmt w:val="decimal"/>
      <w:suff w:val="nothing"/>
      <w:lvlText w:val="%1．"/>
      <w:lvlJc w:val="left"/>
      <w:pPr>
        <w:ind w:left="0" w:firstLine="400"/>
      </w:pPr>
      <w:rPr>
        <w:rFonts w:hint="default"/>
      </w:rPr>
    </w:lvl>
  </w:abstractNum>
  <w:abstractNum w:abstractNumId="44">
    <w:nsid w:val="0D8F75C9"/>
    <w:multiLevelType w:val="singleLevel"/>
    <w:tmpl w:val="0D8F75C9"/>
    <w:lvl w:ilvl="0" w:tentative="0">
      <w:start w:val="1"/>
      <w:numFmt w:val="decimal"/>
      <w:lvlText w:val="(%1)"/>
      <w:lvlJc w:val="left"/>
      <w:pPr>
        <w:ind w:left="425" w:hanging="425"/>
      </w:pPr>
      <w:rPr>
        <w:rFonts w:hint="default"/>
      </w:rPr>
    </w:lvl>
  </w:abstractNum>
  <w:abstractNum w:abstractNumId="45">
    <w:nsid w:val="0E9565F5"/>
    <w:multiLevelType w:val="singleLevel"/>
    <w:tmpl w:val="0E9565F5"/>
    <w:lvl w:ilvl="0" w:tentative="0">
      <w:start w:val="1"/>
      <w:numFmt w:val="decimalEnclosedCircleChinese"/>
      <w:suff w:val="nothing"/>
      <w:lvlText w:val="%1　"/>
      <w:lvlJc w:val="left"/>
      <w:pPr>
        <w:ind w:left="0" w:firstLine="400"/>
      </w:pPr>
      <w:rPr>
        <w:rFonts w:hint="eastAsia"/>
      </w:rPr>
    </w:lvl>
  </w:abstractNum>
  <w:abstractNum w:abstractNumId="46">
    <w:nsid w:val="187A7B03"/>
    <w:multiLevelType w:val="singleLevel"/>
    <w:tmpl w:val="187A7B03"/>
    <w:lvl w:ilvl="0" w:tentative="0">
      <w:start w:val="1"/>
      <w:numFmt w:val="decimal"/>
      <w:suff w:val="nothing"/>
      <w:lvlText w:val="%1．"/>
      <w:lvlJc w:val="left"/>
      <w:pPr>
        <w:ind w:left="0" w:firstLine="400"/>
      </w:pPr>
      <w:rPr>
        <w:rFonts w:hint="default"/>
      </w:rPr>
    </w:lvl>
  </w:abstractNum>
  <w:abstractNum w:abstractNumId="47">
    <w:nsid w:val="19AA916C"/>
    <w:multiLevelType w:val="singleLevel"/>
    <w:tmpl w:val="19AA916C"/>
    <w:lvl w:ilvl="0" w:tentative="0">
      <w:start w:val="1"/>
      <w:numFmt w:val="decimal"/>
      <w:lvlText w:val="(%1)"/>
      <w:lvlJc w:val="left"/>
      <w:pPr>
        <w:ind w:left="425" w:hanging="425"/>
      </w:pPr>
      <w:rPr>
        <w:rFonts w:hint="default"/>
      </w:rPr>
    </w:lvl>
  </w:abstractNum>
  <w:abstractNum w:abstractNumId="48">
    <w:nsid w:val="19EAF5EB"/>
    <w:multiLevelType w:val="singleLevel"/>
    <w:tmpl w:val="19EAF5EB"/>
    <w:lvl w:ilvl="0" w:tentative="0">
      <w:start w:val="1"/>
      <w:numFmt w:val="upperLetter"/>
      <w:lvlText w:val="%1."/>
      <w:lvlJc w:val="left"/>
      <w:pPr>
        <w:ind w:left="425" w:hanging="425"/>
      </w:pPr>
      <w:rPr>
        <w:rFonts w:hint="default"/>
      </w:rPr>
    </w:lvl>
  </w:abstractNum>
  <w:abstractNum w:abstractNumId="49">
    <w:nsid w:val="20AF44EF"/>
    <w:multiLevelType w:val="singleLevel"/>
    <w:tmpl w:val="20AF44EF"/>
    <w:lvl w:ilvl="0" w:tentative="0">
      <w:start w:val="1"/>
      <w:numFmt w:val="decimal"/>
      <w:suff w:val="nothing"/>
      <w:lvlText w:val="%1．"/>
      <w:lvlJc w:val="left"/>
      <w:pPr>
        <w:ind w:left="0" w:firstLine="400"/>
      </w:pPr>
      <w:rPr>
        <w:rFonts w:hint="default"/>
      </w:rPr>
    </w:lvl>
  </w:abstractNum>
  <w:abstractNum w:abstractNumId="50">
    <w:nsid w:val="2C0D41D7"/>
    <w:multiLevelType w:val="singleLevel"/>
    <w:tmpl w:val="2C0D41D7"/>
    <w:lvl w:ilvl="0" w:tentative="0">
      <w:start w:val="1"/>
      <w:numFmt w:val="decimal"/>
      <w:suff w:val="nothing"/>
      <w:lvlText w:val="%1．"/>
      <w:lvlJc w:val="left"/>
      <w:pPr>
        <w:ind w:left="0" w:firstLine="400"/>
      </w:pPr>
      <w:rPr>
        <w:rFonts w:hint="default"/>
      </w:rPr>
    </w:lvl>
  </w:abstractNum>
  <w:abstractNum w:abstractNumId="51">
    <w:nsid w:val="2E6E2FC3"/>
    <w:multiLevelType w:val="singleLevel"/>
    <w:tmpl w:val="2E6E2FC3"/>
    <w:lvl w:ilvl="0" w:tentative="0">
      <w:start w:val="1"/>
      <w:numFmt w:val="decimalEnclosedCircleChinese"/>
      <w:suff w:val="nothing"/>
      <w:lvlText w:val="%1　"/>
      <w:lvlJc w:val="left"/>
      <w:pPr>
        <w:ind w:left="0" w:firstLine="400"/>
      </w:pPr>
      <w:rPr>
        <w:rFonts w:hint="eastAsia"/>
      </w:rPr>
    </w:lvl>
  </w:abstractNum>
  <w:abstractNum w:abstractNumId="52">
    <w:nsid w:val="2FB02439"/>
    <w:multiLevelType w:val="singleLevel"/>
    <w:tmpl w:val="2FB02439"/>
    <w:lvl w:ilvl="0" w:tentative="0">
      <w:start w:val="1"/>
      <w:numFmt w:val="decimalEnclosedCircleChinese"/>
      <w:suff w:val="nothing"/>
      <w:lvlText w:val="%1　"/>
      <w:lvlJc w:val="left"/>
      <w:pPr>
        <w:ind w:left="0" w:firstLine="400"/>
      </w:pPr>
      <w:rPr>
        <w:rFonts w:hint="eastAsia"/>
      </w:rPr>
    </w:lvl>
  </w:abstractNum>
  <w:abstractNum w:abstractNumId="53">
    <w:nsid w:val="32163382"/>
    <w:multiLevelType w:val="singleLevel"/>
    <w:tmpl w:val="32163382"/>
    <w:lvl w:ilvl="0" w:tentative="0">
      <w:start w:val="1"/>
      <w:numFmt w:val="decimal"/>
      <w:lvlText w:val="(%1)"/>
      <w:lvlJc w:val="left"/>
      <w:pPr>
        <w:ind w:left="425" w:hanging="425"/>
      </w:pPr>
      <w:rPr>
        <w:rFonts w:hint="default"/>
      </w:rPr>
    </w:lvl>
  </w:abstractNum>
  <w:abstractNum w:abstractNumId="54">
    <w:nsid w:val="335A3D0B"/>
    <w:multiLevelType w:val="singleLevel"/>
    <w:tmpl w:val="335A3D0B"/>
    <w:lvl w:ilvl="0" w:tentative="0">
      <w:start w:val="1"/>
      <w:numFmt w:val="decimal"/>
      <w:suff w:val="nothing"/>
      <w:lvlText w:val="%1．"/>
      <w:lvlJc w:val="left"/>
      <w:pPr>
        <w:ind w:left="0" w:firstLine="400"/>
      </w:pPr>
      <w:rPr>
        <w:rFonts w:hint="default"/>
      </w:rPr>
    </w:lvl>
  </w:abstractNum>
  <w:abstractNum w:abstractNumId="55">
    <w:nsid w:val="3646E258"/>
    <w:multiLevelType w:val="singleLevel"/>
    <w:tmpl w:val="3646E258"/>
    <w:lvl w:ilvl="0" w:tentative="0">
      <w:start w:val="1"/>
      <w:numFmt w:val="decimal"/>
      <w:suff w:val="nothing"/>
      <w:lvlText w:val="%1．"/>
      <w:lvlJc w:val="left"/>
      <w:pPr>
        <w:ind w:left="0" w:firstLine="400"/>
      </w:pPr>
      <w:rPr>
        <w:rFonts w:hint="default"/>
      </w:rPr>
    </w:lvl>
  </w:abstractNum>
  <w:abstractNum w:abstractNumId="56">
    <w:nsid w:val="37575A11"/>
    <w:multiLevelType w:val="singleLevel"/>
    <w:tmpl w:val="37575A11"/>
    <w:lvl w:ilvl="0" w:tentative="0">
      <w:start w:val="1"/>
      <w:numFmt w:val="decimal"/>
      <w:suff w:val="nothing"/>
      <w:lvlText w:val="%1．"/>
      <w:lvlJc w:val="left"/>
      <w:pPr>
        <w:ind w:left="0" w:firstLine="400"/>
      </w:pPr>
      <w:rPr>
        <w:rFonts w:hint="default"/>
      </w:rPr>
    </w:lvl>
  </w:abstractNum>
  <w:abstractNum w:abstractNumId="57">
    <w:nsid w:val="38F3B244"/>
    <w:multiLevelType w:val="singleLevel"/>
    <w:tmpl w:val="38F3B244"/>
    <w:lvl w:ilvl="0" w:tentative="0">
      <w:start w:val="1"/>
      <w:numFmt w:val="decimal"/>
      <w:suff w:val="nothing"/>
      <w:lvlText w:val="%1．"/>
      <w:lvlJc w:val="left"/>
      <w:pPr>
        <w:ind w:left="0" w:firstLine="400"/>
      </w:pPr>
      <w:rPr>
        <w:rFonts w:hint="default"/>
      </w:rPr>
    </w:lvl>
  </w:abstractNum>
  <w:abstractNum w:abstractNumId="58">
    <w:nsid w:val="3DDA5DCE"/>
    <w:multiLevelType w:val="singleLevel"/>
    <w:tmpl w:val="3DDA5DCE"/>
    <w:lvl w:ilvl="0" w:tentative="0">
      <w:start w:val="1"/>
      <w:numFmt w:val="decimal"/>
      <w:suff w:val="nothing"/>
      <w:lvlText w:val="%1．"/>
      <w:lvlJc w:val="left"/>
      <w:pPr>
        <w:ind w:left="0" w:firstLine="400"/>
      </w:pPr>
      <w:rPr>
        <w:rFonts w:hint="default"/>
      </w:rPr>
    </w:lvl>
  </w:abstractNum>
  <w:abstractNum w:abstractNumId="59">
    <w:nsid w:val="4473B001"/>
    <w:multiLevelType w:val="singleLevel"/>
    <w:tmpl w:val="4473B001"/>
    <w:lvl w:ilvl="0" w:tentative="0">
      <w:start w:val="1"/>
      <w:numFmt w:val="decimal"/>
      <w:suff w:val="nothing"/>
      <w:lvlText w:val="%1．"/>
      <w:lvlJc w:val="left"/>
      <w:pPr>
        <w:ind w:left="0" w:firstLine="400"/>
      </w:pPr>
      <w:rPr>
        <w:rFonts w:hint="default"/>
      </w:rPr>
    </w:lvl>
  </w:abstractNum>
  <w:abstractNum w:abstractNumId="60">
    <w:nsid w:val="485FE5E5"/>
    <w:multiLevelType w:val="singleLevel"/>
    <w:tmpl w:val="485FE5E5"/>
    <w:lvl w:ilvl="0" w:tentative="0">
      <w:start w:val="1"/>
      <w:numFmt w:val="upperLetter"/>
      <w:lvlText w:val="%1."/>
      <w:lvlJc w:val="left"/>
      <w:pPr>
        <w:ind w:left="425" w:hanging="425"/>
      </w:pPr>
      <w:rPr>
        <w:rFonts w:hint="default"/>
      </w:rPr>
    </w:lvl>
  </w:abstractNum>
  <w:abstractNum w:abstractNumId="61">
    <w:nsid w:val="494261EB"/>
    <w:multiLevelType w:val="singleLevel"/>
    <w:tmpl w:val="494261EB"/>
    <w:lvl w:ilvl="0" w:tentative="0">
      <w:start w:val="1"/>
      <w:numFmt w:val="decimal"/>
      <w:suff w:val="nothing"/>
      <w:lvlText w:val="%1．"/>
      <w:lvlJc w:val="left"/>
      <w:pPr>
        <w:ind w:left="0" w:firstLine="400"/>
      </w:pPr>
      <w:rPr>
        <w:rFonts w:hint="default"/>
      </w:rPr>
    </w:lvl>
  </w:abstractNum>
  <w:abstractNum w:abstractNumId="62">
    <w:nsid w:val="4B323F75"/>
    <w:multiLevelType w:val="singleLevel"/>
    <w:tmpl w:val="4B323F75"/>
    <w:lvl w:ilvl="0" w:tentative="0">
      <w:start w:val="3"/>
      <w:numFmt w:val="chineseCounting"/>
      <w:suff w:val="space"/>
      <w:lvlText w:val="第%1部分"/>
      <w:lvlJc w:val="left"/>
      <w:rPr>
        <w:rFonts w:hint="eastAsia"/>
      </w:rPr>
    </w:lvl>
  </w:abstractNum>
  <w:abstractNum w:abstractNumId="63">
    <w:nsid w:val="4D3A8E2F"/>
    <w:multiLevelType w:val="singleLevel"/>
    <w:tmpl w:val="4D3A8E2F"/>
    <w:lvl w:ilvl="0" w:tentative="0">
      <w:start w:val="1"/>
      <w:numFmt w:val="decimalEnclosedCircleChinese"/>
      <w:suff w:val="nothing"/>
      <w:lvlText w:val="%1　"/>
      <w:lvlJc w:val="left"/>
      <w:pPr>
        <w:ind w:left="0" w:firstLine="400"/>
      </w:pPr>
      <w:rPr>
        <w:rFonts w:hint="eastAsia"/>
      </w:rPr>
    </w:lvl>
  </w:abstractNum>
  <w:abstractNum w:abstractNumId="64">
    <w:nsid w:val="4D3E9B31"/>
    <w:multiLevelType w:val="singleLevel"/>
    <w:tmpl w:val="4D3E9B31"/>
    <w:lvl w:ilvl="0" w:tentative="0">
      <w:start w:val="1"/>
      <w:numFmt w:val="decimalEnclosedCircleChinese"/>
      <w:suff w:val="nothing"/>
      <w:lvlText w:val="%1　"/>
      <w:lvlJc w:val="left"/>
      <w:pPr>
        <w:ind w:left="0" w:firstLine="400"/>
      </w:pPr>
      <w:rPr>
        <w:rFonts w:hint="eastAsia"/>
      </w:rPr>
    </w:lvl>
  </w:abstractNum>
  <w:abstractNum w:abstractNumId="65">
    <w:nsid w:val="4F3F45FA"/>
    <w:multiLevelType w:val="singleLevel"/>
    <w:tmpl w:val="4F3F45FA"/>
    <w:lvl w:ilvl="0" w:tentative="0">
      <w:start w:val="1"/>
      <w:numFmt w:val="decimal"/>
      <w:lvlText w:val="(%1)"/>
      <w:lvlJc w:val="left"/>
      <w:pPr>
        <w:ind w:left="425" w:hanging="425"/>
      </w:pPr>
      <w:rPr>
        <w:rFonts w:hint="default"/>
      </w:rPr>
    </w:lvl>
  </w:abstractNum>
  <w:abstractNum w:abstractNumId="66">
    <w:nsid w:val="52C2E8E0"/>
    <w:multiLevelType w:val="singleLevel"/>
    <w:tmpl w:val="52C2E8E0"/>
    <w:lvl w:ilvl="0" w:tentative="0">
      <w:start w:val="1"/>
      <w:numFmt w:val="decimalEnclosedCircleChinese"/>
      <w:suff w:val="nothing"/>
      <w:lvlText w:val="%1　"/>
      <w:lvlJc w:val="left"/>
      <w:pPr>
        <w:ind w:left="0" w:firstLine="400"/>
      </w:pPr>
      <w:rPr>
        <w:rFonts w:hint="eastAsia"/>
      </w:rPr>
    </w:lvl>
  </w:abstractNum>
  <w:abstractNum w:abstractNumId="67">
    <w:nsid w:val="544E0834"/>
    <w:multiLevelType w:val="singleLevel"/>
    <w:tmpl w:val="544E0834"/>
    <w:lvl w:ilvl="0" w:tentative="0">
      <w:start w:val="1"/>
      <w:numFmt w:val="decimal"/>
      <w:suff w:val="nothing"/>
      <w:lvlText w:val="%1．"/>
      <w:lvlJc w:val="left"/>
      <w:pPr>
        <w:ind w:left="0" w:firstLine="400"/>
      </w:pPr>
      <w:rPr>
        <w:rFonts w:hint="default"/>
      </w:rPr>
    </w:lvl>
  </w:abstractNum>
  <w:abstractNum w:abstractNumId="68">
    <w:nsid w:val="5694B7E5"/>
    <w:multiLevelType w:val="singleLevel"/>
    <w:tmpl w:val="5694B7E5"/>
    <w:lvl w:ilvl="0" w:tentative="0">
      <w:start w:val="1"/>
      <w:numFmt w:val="decimal"/>
      <w:suff w:val="nothing"/>
      <w:lvlText w:val="%1、"/>
      <w:lvlJc w:val="left"/>
    </w:lvl>
  </w:abstractNum>
  <w:abstractNum w:abstractNumId="69">
    <w:nsid w:val="57436CAC"/>
    <w:multiLevelType w:val="singleLevel"/>
    <w:tmpl w:val="57436CAC"/>
    <w:lvl w:ilvl="0" w:tentative="0">
      <w:start w:val="1"/>
      <w:numFmt w:val="upperLetter"/>
      <w:lvlText w:val="%1."/>
      <w:lvlJc w:val="left"/>
      <w:pPr>
        <w:ind w:left="425" w:hanging="425"/>
      </w:pPr>
      <w:rPr>
        <w:rFonts w:hint="default"/>
      </w:rPr>
    </w:lvl>
  </w:abstractNum>
  <w:abstractNum w:abstractNumId="70">
    <w:nsid w:val="5CFA582A"/>
    <w:multiLevelType w:val="singleLevel"/>
    <w:tmpl w:val="5CFA582A"/>
    <w:lvl w:ilvl="0" w:tentative="0">
      <w:start w:val="1"/>
      <w:numFmt w:val="decimal"/>
      <w:suff w:val="nothing"/>
      <w:lvlText w:val="%1．"/>
      <w:lvlJc w:val="left"/>
      <w:pPr>
        <w:ind w:left="0" w:firstLine="400"/>
      </w:pPr>
      <w:rPr>
        <w:rFonts w:hint="default"/>
      </w:rPr>
    </w:lvl>
  </w:abstractNum>
  <w:abstractNum w:abstractNumId="71">
    <w:nsid w:val="5FDF0E4B"/>
    <w:multiLevelType w:val="singleLevel"/>
    <w:tmpl w:val="5FDF0E4B"/>
    <w:lvl w:ilvl="0" w:tentative="0">
      <w:start w:val="1"/>
      <w:numFmt w:val="decimalEnclosedCircleChinese"/>
      <w:suff w:val="nothing"/>
      <w:lvlText w:val="%1　"/>
      <w:lvlJc w:val="left"/>
      <w:pPr>
        <w:ind w:left="0" w:firstLine="400"/>
      </w:pPr>
      <w:rPr>
        <w:rFonts w:hint="eastAsia"/>
      </w:rPr>
    </w:lvl>
  </w:abstractNum>
  <w:abstractNum w:abstractNumId="72">
    <w:nsid w:val="687B699D"/>
    <w:multiLevelType w:val="singleLevel"/>
    <w:tmpl w:val="687B699D"/>
    <w:lvl w:ilvl="0" w:tentative="0">
      <w:start w:val="1"/>
      <w:numFmt w:val="decimal"/>
      <w:suff w:val="nothing"/>
      <w:lvlText w:val="%1．"/>
      <w:lvlJc w:val="left"/>
      <w:pPr>
        <w:ind w:left="0" w:firstLine="400"/>
      </w:pPr>
      <w:rPr>
        <w:rFonts w:hint="default"/>
      </w:rPr>
    </w:lvl>
  </w:abstractNum>
  <w:abstractNum w:abstractNumId="73">
    <w:nsid w:val="6A8BF2B9"/>
    <w:multiLevelType w:val="singleLevel"/>
    <w:tmpl w:val="6A8BF2B9"/>
    <w:lvl w:ilvl="0" w:tentative="0">
      <w:start w:val="3"/>
      <w:numFmt w:val="decimal"/>
      <w:suff w:val="space"/>
      <w:lvlText w:val="第%1部分"/>
      <w:lvlJc w:val="left"/>
    </w:lvl>
  </w:abstractNum>
  <w:abstractNum w:abstractNumId="74">
    <w:nsid w:val="6BEA479F"/>
    <w:multiLevelType w:val="singleLevel"/>
    <w:tmpl w:val="6BEA479F"/>
    <w:lvl w:ilvl="0" w:tentative="0">
      <w:start w:val="1"/>
      <w:numFmt w:val="decimal"/>
      <w:lvlText w:val="(%1)"/>
      <w:lvlJc w:val="left"/>
      <w:pPr>
        <w:ind w:left="425" w:hanging="425"/>
      </w:pPr>
      <w:rPr>
        <w:rFonts w:hint="default"/>
      </w:rPr>
    </w:lvl>
  </w:abstractNum>
  <w:abstractNum w:abstractNumId="75">
    <w:nsid w:val="6CA1AF89"/>
    <w:multiLevelType w:val="singleLevel"/>
    <w:tmpl w:val="6CA1AF89"/>
    <w:lvl w:ilvl="0" w:tentative="0">
      <w:start w:val="1"/>
      <w:numFmt w:val="decimal"/>
      <w:suff w:val="nothing"/>
      <w:lvlText w:val="%1．"/>
      <w:lvlJc w:val="left"/>
      <w:pPr>
        <w:ind w:left="0" w:firstLine="400"/>
      </w:pPr>
      <w:rPr>
        <w:rFonts w:hint="default"/>
      </w:rPr>
    </w:lvl>
  </w:abstractNum>
  <w:abstractNum w:abstractNumId="76">
    <w:nsid w:val="6CB9A9A3"/>
    <w:multiLevelType w:val="singleLevel"/>
    <w:tmpl w:val="6CB9A9A3"/>
    <w:lvl w:ilvl="0" w:tentative="0">
      <w:start w:val="1"/>
      <w:numFmt w:val="decimal"/>
      <w:suff w:val="nothing"/>
      <w:lvlText w:val="%1．"/>
      <w:lvlJc w:val="left"/>
      <w:pPr>
        <w:ind w:left="0" w:firstLine="400"/>
      </w:pPr>
      <w:rPr>
        <w:rFonts w:hint="default"/>
      </w:rPr>
    </w:lvl>
  </w:abstractNum>
  <w:abstractNum w:abstractNumId="77">
    <w:nsid w:val="6DF476C7"/>
    <w:multiLevelType w:val="singleLevel"/>
    <w:tmpl w:val="6DF476C7"/>
    <w:lvl w:ilvl="0" w:tentative="0">
      <w:start w:val="1"/>
      <w:numFmt w:val="decimal"/>
      <w:suff w:val="nothing"/>
      <w:lvlText w:val="%1．"/>
      <w:lvlJc w:val="left"/>
      <w:pPr>
        <w:ind w:left="0" w:firstLine="400"/>
      </w:pPr>
      <w:rPr>
        <w:rFonts w:hint="default"/>
      </w:rPr>
    </w:lvl>
  </w:abstractNum>
  <w:abstractNum w:abstractNumId="78">
    <w:nsid w:val="6E787B24"/>
    <w:multiLevelType w:val="singleLevel"/>
    <w:tmpl w:val="6E787B24"/>
    <w:lvl w:ilvl="0" w:tentative="0">
      <w:start w:val="1"/>
      <w:numFmt w:val="decimal"/>
      <w:lvlText w:val="(%1)"/>
      <w:lvlJc w:val="left"/>
      <w:pPr>
        <w:ind w:left="425" w:hanging="425"/>
      </w:pPr>
      <w:rPr>
        <w:rFonts w:hint="default"/>
      </w:rPr>
    </w:lvl>
  </w:abstractNum>
  <w:abstractNum w:abstractNumId="79">
    <w:nsid w:val="72861F7B"/>
    <w:multiLevelType w:val="singleLevel"/>
    <w:tmpl w:val="72861F7B"/>
    <w:lvl w:ilvl="0" w:tentative="0">
      <w:start w:val="1"/>
      <w:numFmt w:val="decimal"/>
      <w:lvlText w:val="(%1)"/>
      <w:lvlJc w:val="left"/>
      <w:pPr>
        <w:ind w:left="425" w:hanging="425"/>
      </w:pPr>
      <w:rPr>
        <w:rFonts w:hint="default"/>
      </w:rPr>
    </w:lvl>
  </w:abstractNum>
  <w:abstractNum w:abstractNumId="80">
    <w:nsid w:val="776B8ADB"/>
    <w:multiLevelType w:val="singleLevel"/>
    <w:tmpl w:val="776B8ADB"/>
    <w:lvl w:ilvl="0" w:tentative="0">
      <w:start w:val="1"/>
      <w:numFmt w:val="decimal"/>
      <w:suff w:val="nothing"/>
      <w:lvlText w:val="%1．"/>
      <w:lvlJc w:val="left"/>
      <w:pPr>
        <w:ind w:left="0" w:firstLine="400"/>
      </w:pPr>
      <w:rPr>
        <w:rFonts w:hint="default"/>
      </w:rPr>
    </w:lvl>
  </w:abstractNum>
  <w:num w:numId="1">
    <w:abstractNumId w:val="12"/>
  </w:num>
  <w:num w:numId="2">
    <w:abstractNumId w:val="39"/>
  </w:num>
  <w:num w:numId="3">
    <w:abstractNumId w:val="75"/>
  </w:num>
  <w:num w:numId="4">
    <w:abstractNumId w:val="62"/>
  </w:num>
  <w:num w:numId="5">
    <w:abstractNumId w:val="36"/>
  </w:num>
  <w:num w:numId="6">
    <w:abstractNumId w:val="10"/>
  </w:num>
  <w:num w:numId="7">
    <w:abstractNumId w:val="54"/>
  </w:num>
  <w:num w:numId="8">
    <w:abstractNumId w:val="57"/>
  </w:num>
  <w:num w:numId="9">
    <w:abstractNumId w:val="7"/>
  </w:num>
  <w:num w:numId="10">
    <w:abstractNumId w:val="0"/>
  </w:num>
  <w:num w:numId="11">
    <w:abstractNumId w:val="72"/>
  </w:num>
  <w:num w:numId="12">
    <w:abstractNumId w:val="35"/>
  </w:num>
  <w:num w:numId="13">
    <w:abstractNumId w:val="11"/>
  </w:num>
  <w:num w:numId="14">
    <w:abstractNumId w:val="26"/>
  </w:num>
  <w:num w:numId="15">
    <w:abstractNumId w:val="9"/>
  </w:num>
  <w:num w:numId="16">
    <w:abstractNumId w:val="50"/>
  </w:num>
  <w:num w:numId="17">
    <w:abstractNumId w:val="44"/>
  </w:num>
  <w:num w:numId="18">
    <w:abstractNumId w:val="79"/>
  </w:num>
  <w:num w:numId="19">
    <w:abstractNumId w:val="6"/>
  </w:num>
  <w:num w:numId="20">
    <w:abstractNumId w:val="47"/>
  </w:num>
  <w:num w:numId="21">
    <w:abstractNumId w:val="53"/>
  </w:num>
  <w:num w:numId="22">
    <w:abstractNumId w:val="38"/>
  </w:num>
  <w:num w:numId="23">
    <w:abstractNumId w:val="70"/>
  </w:num>
  <w:num w:numId="24">
    <w:abstractNumId w:val="74"/>
  </w:num>
  <w:num w:numId="25">
    <w:abstractNumId w:val="59"/>
  </w:num>
  <w:num w:numId="26">
    <w:abstractNumId w:val="55"/>
  </w:num>
  <w:num w:numId="27">
    <w:abstractNumId w:val="23"/>
  </w:num>
  <w:num w:numId="28">
    <w:abstractNumId w:val="76"/>
  </w:num>
  <w:num w:numId="29">
    <w:abstractNumId w:val="30"/>
  </w:num>
  <w:num w:numId="30">
    <w:abstractNumId w:val="42"/>
  </w:num>
  <w:num w:numId="31">
    <w:abstractNumId w:val="66"/>
  </w:num>
  <w:num w:numId="32">
    <w:abstractNumId w:val="33"/>
  </w:num>
  <w:num w:numId="33">
    <w:abstractNumId w:val="71"/>
  </w:num>
  <w:num w:numId="34">
    <w:abstractNumId w:val="21"/>
  </w:num>
  <w:num w:numId="35">
    <w:abstractNumId w:val="19"/>
  </w:num>
  <w:num w:numId="36">
    <w:abstractNumId w:val="48"/>
  </w:num>
  <w:num w:numId="37">
    <w:abstractNumId w:val="60"/>
  </w:num>
  <w:num w:numId="38">
    <w:abstractNumId w:val="17"/>
  </w:num>
  <w:num w:numId="39">
    <w:abstractNumId w:val="18"/>
  </w:num>
  <w:num w:numId="40">
    <w:abstractNumId w:val="8"/>
  </w:num>
  <w:num w:numId="41">
    <w:abstractNumId w:val="37"/>
  </w:num>
  <w:num w:numId="42">
    <w:abstractNumId w:val="13"/>
  </w:num>
  <w:num w:numId="43">
    <w:abstractNumId w:val="20"/>
  </w:num>
  <w:num w:numId="44">
    <w:abstractNumId w:val="32"/>
  </w:num>
  <w:num w:numId="45">
    <w:abstractNumId w:val="69"/>
  </w:num>
  <w:num w:numId="46">
    <w:abstractNumId w:val="64"/>
  </w:num>
  <w:num w:numId="47">
    <w:abstractNumId w:val="16"/>
  </w:num>
  <w:num w:numId="48">
    <w:abstractNumId w:val="4"/>
  </w:num>
  <w:num w:numId="49">
    <w:abstractNumId w:val="41"/>
  </w:num>
  <w:num w:numId="50">
    <w:abstractNumId w:val="29"/>
  </w:num>
  <w:num w:numId="51">
    <w:abstractNumId w:val="51"/>
  </w:num>
  <w:num w:numId="52">
    <w:abstractNumId w:val="31"/>
  </w:num>
  <w:num w:numId="53">
    <w:abstractNumId w:val="45"/>
  </w:num>
  <w:num w:numId="54">
    <w:abstractNumId w:val="28"/>
  </w:num>
  <w:num w:numId="55">
    <w:abstractNumId w:val="27"/>
  </w:num>
  <w:num w:numId="56">
    <w:abstractNumId w:val="24"/>
  </w:num>
  <w:num w:numId="57">
    <w:abstractNumId w:val="2"/>
  </w:num>
  <w:num w:numId="58">
    <w:abstractNumId w:val="63"/>
  </w:num>
  <w:num w:numId="59">
    <w:abstractNumId w:val="52"/>
  </w:num>
  <w:num w:numId="60">
    <w:abstractNumId w:val="56"/>
  </w:num>
  <w:num w:numId="61">
    <w:abstractNumId w:val="67"/>
  </w:num>
  <w:num w:numId="62">
    <w:abstractNumId w:val="3"/>
  </w:num>
  <w:num w:numId="63">
    <w:abstractNumId w:val="61"/>
  </w:num>
  <w:num w:numId="64">
    <w:abstractNumId w:val="77"/>
  </w:num>
  <w:num w:numId="65">
    <w:abstractNumId w:val="78"/>
  </w:num>
  <w:num w:numId="66">
    <w:abstractNumId w:val="1"/>
  </w:num>
  <w:num w:numId="67">
    <w:abstractNumId w:val="34"/>
  </w:num>
  <w:num w:numId="68">
    <w:abstractNumId w:val="5"/>
  </w:num>
  <w:num w:numId="69">
    <w:abstractNumId w:val="58"/>
  </w:num>
  <w:num w:numId="70">
    <w:abstractNumId w:val="40"/>
  </w:num>
  <w:num w:numId="71">
    <w:abstractNumId w:val="46"/>
  </w:num>
  <w:num w:numId="72">
    <w:abstractNumId w:val="14"/>
  </w:num>
  <w:num w:numId="73">
    <w:abstractNumId w:val="25"/>
  </w:num>
  <w:num w:numId="74">
    <w:abstractNumId w:val="49"/>
  </w:num>
  <w:num w:numId="75">
    <w:abstractNumId w:val="65"/>
  </w:num>
  <w:num w:numId="76">
    <w:abstractNumId w:val="22"/>
  </w:num>
  <w:num w:numId="77">
    <w:abstractNumId w:val="15"/>
  </w:num>
  <w:num w:numId="78">
    <w:abstractNumId w:val="80"/>
  </w:num>
  <w:num w:numId="79">
    <w:abstractNumId w:val="43"/>
  </w:num>
  <w:num w:numId="80">
    <w:abstractNumId w:val="73"/>
  </w:num>
  <w:num w:numId="81">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yMTUzODk3NzRjYjBjYzcwZjFkZjAzNmQ1MGY2NzkifQ=="/>
  </w:docVars>
  <w:rsids>
    <w:rsidRoot w:val="374F623C"/>
    <w:rsid w:val="001D7D62"/>
    <w:rsid w:val="01B4329F"/>
    <w:rsid w:val="026757B3"/>
    <w:rsid w:val="02683747"/>
    <w:rsid w:val="0297438B"/>
    <w:rsid w:val="031C12DB"/>
    <w:rsid w:val="0414248E"/>
    <w:rsid w:val="05A217DD"/>
    <w:rsid w:val="05C313AC"/>
    <w:rsid w:val="062A4F87"/>
    <w:rsid w:val="07195727"/>
    <w:rsid w:val="075D36EB"/>
    <w:rsid w:val="098D23B6"/>
    <w:rsid w:val="0BC84E51"/>
    <w:rsid w:val="0C7B75DC"/>
    <w:rsid w:val="0CA66FFC"/>
    <w:rsid w:val="0CE42333"/>
    <w:rsid w:val="0D656251"/>
    <w:rsid w:val="0D865199"/>
    <w:rsid w:val="0E77795A"/>
    <w:rsid w:val="0EAF339C"/>
    <w:rsid w:val="0F1862C4"/>
    <w:rsid w:val="0FDD306A"/>
    <w:rsid w:val="1126480E"/>
    <w:rsid w:val="131D034D"/>
    <w:rsid w:val="13B50586"/>
    <w:rsid w:val="149319D4"/>
    <w:rsid w:val="14AA07E0"/>
    <w:rsid w:val="1522251F"/>
    <w:rsid w:val="153E0568"/>
    <w:rsid w:val="15B34F99"/>
    <w:rsid w:val="160F4348"/>
    <w:rsid w:val="168E1562"/>
    <w:rsid w:val="170C5F41"/>
    <w:rsid w:val="178564C1"/>
    <w:rsid w:val="17A917B8"/>
    <w:rsid w:val="186A64FE"/>
    <w:rsid w:val="19287A4C"/>
    <w:rsid w:val="19C37774"/>
    <w:rsid w:val="1B486183"/>
    <w:rsid w:val="1D2974D2"/>
    <w:rsid w:val="1D4C49E0"/>
    <w:rsid w:val="1D5A219E"/>
    <w:rsid w:val="1DAC0C4B"/>
    <w:rsid w:val="1DB574D5"/>
    <w:rsid w:val="1EC4601B"/>
    <w:rsid w:val="204431AA"/>
    <w:rsid w:val="20E51747"/>
    <w:rsid w:val="222C235B"/>
    <w:rsid w:val="22F12418"/>
    <w:rsid w:val="234D1B12"/>
    <w:rsid w:val="23A128D5"/>
    <w:rsid w:val="25934702"/>
    <w:rsid w:val="25E42745"/>
    <w:rsid w:val="278155A0"/>
    <w:rsid w:val="29F87267"/>
    <w:rsid w:val="2A063491"/>
    <w:rsid w:val="2AAF1D7B"/>
    <w:rsid w:val="2C2440A3"/>
    <w:rsid w:val="2C2F0132"/>
    <w:rsid w:val="2C6F6525"/>
    <w:rsid w:val="2D9D1A8A"/>
    <w:rsid w:val="2E991DFC"/>
    <w:rsid w:val="2EEE6B09"/>
    <w:rsid w:val="2FBD0A96"/>
    <w:rsid w:val="304C2BFA"/>
    <w:rsid w:val="307279A7"/>
    <w:rsid w:val="30E62588"/>
    <w:rsid w:val="31BC58DA"/>
    <w:rsid w:val="31ED2048"/>
    <w:rsid w:val="32FF13C6"/>
    <w:rsid w:val="333338A0"/>
    <w:rsid w:val="33EA7980"/>
    <w:rsid w:val="34FA3BF3"/>
    <w:rsid w:val="362E7B80"/>
    <w:rsid w:val="36A46C2C"/>
    <w:rsid w:val="370A20E7"/>
    <w:rsid w:val="372B2789"/>
    <w:rsid w:val="374F623C"/>
    <w:rsid w:val="386E418B"/>
    <w:rsid w:val="38EE3776"/>
    <w:rsid w:val="38FA3D0A"/>
    <w:rsid w:val="3946545D"/>
    <w:rsid w:val="399D7242"/>
    <w:rsid w:val="3B3616FD"/>
    <w:rsid w:val="3B7B35B3"/>
    <w:rsid w:val="3CC6492D"/>
    <w:rsid w:val="3D58544F"/>
    <w:rsid w:val="3E88226F"/>
    <w:rsid w:val="3EDB557C"/>
    <w:rsid w:val="4061546E"/>
    <w:rsid w:val="407D010E"/>
    <w:rsid w:val="40D101BA"/>
    <w:rsid w:val="41415E2F"/>
    <w:rsid w:val="422C3859"/>
    <w:rsid w:val="450440D1"/>
    <w:rsid w:val="45BB339D"/>
    <w:rsid w:val="45C67CF2"/>
    <w:rsid w:val="46C01222"/>
    <w:rsid w:val="47F170D7"/>
    <w:rsid w:val="47F73CC6"/>
    <w:rsid w:val="49C10D2B"/>
    <w:rsid w:val="4A02153D"/>
    <w:rsid w:val="4A5D06D3"/>
    <w:rsid w:val="4BFB3073"/>
    <w:rsid w:val="4C7D76CE"/>
    <w:rsid w:val="4E5E3241"/>
    <w:rsid w:val="4F980780"/>
    <w:rsid w:val="51056328"/>
    <w:rsid w:val="516350B8"/>
    <w:rsid w:val="516F01E1"/>
    <w:rsid w:val="51C714BE"/>
    <w:rsid w:val="531453D1"/>
    <w:rsid w:val="53523A27"/>
    <w:rsid w:val="535A34A8"/>
    <w:rsid w:val="53AD76DF"/>
    <w:rsid w:val="541A6A8F"/>
    <w:rsid w:val="550A2D3A"/>
    <w:rsid w:val="55573509"/>
    <w:rsid w:val="55B839AD"/>
    <w:rsid w:val="563A433F"/>
    <w:rsid w:val="564156CE"/>
    <w:rsid w:val="56897D65"/>
    <w:rsid w:val="586B4C84"/>
    <w:rsid w:val="591C104B"/>
    <w:rsid w:val="59BA0F34"/>
    <w:rsid w:val="5C7B772F"/>
    <w:rsid w:val="5D2F3896"/>
    <w:rsid w:val="5DA5535B"/>
    <w:rsid w:val="5E204E15"/>
    <w:rsid w:val="5E5A3145"/>
    <w:rsid w:val="5E820DA0"/>
    <w:rsid w:val="5EA83F26"/>
    <w:rsid w:val="5EE71195"/>
    <w:rsid w:val="611E5AAD"/>
    <w:rsid w:val="611F03B9"/>
    <w:rsid w:val="61257511"/>
    <w:rsid w:val="62047268"/>
    <w:rsid w:val="639D7CBB"/>
    <w:rsid w:val="64343C94"/>
    <w:rsid w:val="64FB6666"/>
    <w:rsid w:val="6564351A"/>
    <w:rsid w:val="65896387"/>
    <w:rsid w:val="67D0373B"/>
    <w:rsid w:val="68124025"/>
    <w:rsid w:val="68F3424F"/>
    <w:rsid w:val="691B3431"/>
    <w:rsid w:val="69972BF7"/>
    <w:rsid w:val="6A0220B0"/>
    <w:rsid w:val="6A881B54"/>
    <w:rsid w:val="6ABA0966"/>
    <w:rsid w:val="6B015BFB"/>
    <w:rsid w:val="6B3E7FD6"/>
    <w:rsid w:val="6BEB1F0C"/>
    <w:rsid w:val="6C831DA9"/>
    <w:rsid w:val="6D723F67"/>
    <w:rsid w:val="6DA85BDA"/>
    <w:rsid w:val="6DE575CB"/>
    <w:rsid w:val="6E027C29"/>
    <w:rsid w:val="6E7B6E4B"/>
    <w:rsid w:val="6F125A01"/>
    <w:rsid w:val="6FA128E1"/>
    <w:rsid w:val="71C43D44"/>
    <w:rsid w:val="72734A09"/>
    <w:rsid w:val="73A61206"/>
    <w:rsid w:val="749C2E23"/>
    <w:rsid w:val="766962BA"/>
    <w:rsid w:val="76870A83"/>
    <w:rsid w:val="7818116D"/>
    <w:rsid w:val="798A508E"/>
    <w:rsid w:val="79F86A69"/>
    <w:rsid w:val="7A1C5763"/>
    <w:rsid w:val="7AB962E8"/>
    <w:rsid w:val="7B103807"/>
    <w:rsid w:val="7C2C251F"/>
    <w:rsid w:val="7CBA2E14"/>
    <w:rsid w:val="7CBF006A"/>
    <w:rsid w:val="7D360B0D"/>
    <w:rsid w:val="7D777D97"/>
    <w:rsid w:val="7DB50A26"/>
    <w:rsid w:val="7DEC0BB7"/>
    <w:rsid w:val="7F0013D2"/>
    <w:rsid w:val="7F3050BD"/>
    <w:rsid w:val="7F840255"/>
    <w:rsid w:val="7F8E14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7">
    <w:name w:val="table of authorities"/>
    <w:basedOn w:val="1"/>
    <w:next w:val="1"/>
    <w:qFormat/>
    <w:uiPriority w:val="0"/>
    <w:pPr>
      <w:spacing w:before="100" w:beforeAutospacing="1" w:after="100" w:afterAutospacing="1"/>
      <w:ind w:left="420" w:leftChars="200"/>
    </w:pPr>
    <w:rPr>
      <w:rFonts w:ascii="Times New Roman" w:hAnsi="Times New Roman" w:cs="Times New Roman"/>
    </w:rPr>
  </w:style>
  <w:style w:type="paragraph" w:styleId="8">
    <w:name w:val="Normal Indent"/>
    <w:basedOn w:val="1"/>
    <w:qFormat/>
    <w:uiPriority w:val="0"/>
    <w:pPr>
      <w:ind w:firstLine="420" w:firstLineChars="200"/>
    </w:pPr>
    <w:rPr>
      <w:rFonts w:ascii="Calibri" w:hAnsi="Calibri"/>
      <w:szCs w:val="20"/>
    </w:rPr>
  </w:style>
  <w:style w:type="paragraph" w:styleId="9">
    <w:name w:val="Body Text"/>
    <w:basedOn w:val="1"/>
    <w:next w:val="1"/>
    <w:qFormat/>
    <w:uiPriority w:val="0"/>
    <w:rPr>
      <w:color w:val="993300"/>
      <w:sz w:val="24"/>
    </w:rPr>
  </w:style>
  <w:style w:type="paragraph" w:styleId="10">
    <w:name w:val="Body Text Indent"/>
    <w:basedOn w:val="1"/>
    <w:qFormat/>
    <w:uiPriority w:val="0"/>
    <w:pPr>
      <w:ind w:firstLine="480"/>
    </w:pPr>
    <w:rPr>
      <w:rFonts w:ascii="宋体" w:hAnsi="宋体"/>
    </w:rPr>
  </w:style>
  <w:style w:type="paragraph" w:styleId="11">
    <w:name w:val="Block Text"/>
    <w:basedOn w:val="1"/>
    <w:qFormat/>
    <w:uiPriority w:val="0"/>
    <w:pPr>
      <w:ind w:left="1440" w:leftChars="700" w:right="700" w:rightChars="700"/>
    </w:pPr>
    <w:rPr>
      <w:rFonts w:ascii="Calibri" w:hAnsi="Calibri"/>
    </w:rPr>
  </w:style>
  <w:style w:type="paragraph" w:styleId="12">
    <w:name w:val="Plain Text"/>
    <w:basedOn w:val="1"/>
    <w:qFormat/>
    <w:uiPriority w:val="0"/>
    <w:rPr>
      <w:rFonts w:ascii="宋体" w:hAnsi="Courier New" w:cs="Courier New"/>
      <w:szCs w:val="21"/>
    </w:rPr>
  </w:style>
  <w:style w:type="paragraph" w:styleId="13">
    <w:name w:val="Date"/>
    <w:basedOn w:val="1"/>
    <w:next w:val="1"/>
    <w:qFormat/>
    <w:uiPriority w:val="0"/>
    <w:pPr>
      <w:spacing w:line="360" w:lineRule="auto"/>
    </w:pPr>
    <w:rPr>
      <w:rFonts w:ascii="宋体"/>
      <w:sz w:val="24"/>
      <w:szCs w:val="20"/>
    </w:rPr>
  </w:style>
  <w:style w:type="paragraph" w:styleId="14">
    <w:name w:val="Body Text Indent 2"/>
    <w:basedOn w:val="1"/>
    <w:qFormat/>
    <w:uiPriority w:val="0"/>
    <w:pPr>
      <w:spacing w:after="120" w:afterLines="0" w:line="480" w:lineRule="auto"/>
      <w:ind w:left="420" w:leftChars="200"/>
    </w:pPr>
  </w:style>
  <w:style w:type="paragraph" w:styleId="15">
    <w:name w:val="footer"/>
    <w:basedOn w:val="1"/>
    <w:qFormat/>
    <w:uiPriority w:val="0"/>
    <w:pPr>
      <w:tabs>
        <w:tab w:val="center" w:pos="4153"/>
        <w:tab w:val="right" w:pos="8306"/>
      </w:tabs>
      <w:snapToGrid w:val="0"/>
      <w:jc w:val="left"/>
    </w:pPr>
    <w:rPr>
      <w:sz w:val="18"/>
      <w:szCs w:val="18"/>
    </w:rPr>
  </w:style>
  <w:style w:type="paragraph" w:styleId="16">
    <w:name w:val="envelope return"/>
    <w:basedOn w:val="1"/>
    <w:qFormat/>
    <w:uiPriority w:val="0"/>
    <w:pPr>
      <w:snapToGrid w:val="0"/>
    </w:pPr>
    <w:rPr>
      <w:rFonts w:ascii="Arial" w:hAnsi="Arial"/>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oc 2"/>
    <w:basedOn w:val="1"/>
    <w:next w:val="1"/>
    <w:qFormat/>
    <w:uiPriority w:val="0"/>
    <w:pPr>
      <w:spacing w:line="240" w:lineRule="auto"/>
      <w:ind w:left="420" w:leftChars="200"/>
    </w:pPr>
  </w:style>
  <w:style w:type="paragraph" w:styleId="19">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20">
    <w:name w:val="Title"/>
    <w:basedOn w:val="1"/>
    <w:next w:val="1"/>
    <w:qFormat/>
    <w:uiPriority w:val="0"/>
    <w:pPr>
      <w:spacing w:before="240" w:after="60" w:line="360" w:lineRule="auto"/>
      <w:jc w:val="center"/>
      <w:outlineLvl w:val="0"/>
    </w:pPr>
    <w:rPr>
      <w:rFonts w:ascii="Arial" w:hAnsi="Arial" w:cs="Arial"/>
      <w:b/>
      <w:bCs/>
      <w:sz w:val="32"/>
      <w:szCs w:val="32"/>
    </w:rPr>
  </w:style>
  <w:style w:type="paragraph" w:styleId="21">
    <w:name w:val="Body Text First Indent"/>
    <w:basedOn w:val="9"/>
    <w:next w:val="22"/>
    <w:qFormat/>
    <w:uiPriority w:val="0"/>
    <w:pPr>
      <w:adjustRightInd w:val="0"/>
      <w:spacing w:after="120" w:line="312" w:lineRule="atLeast"/>
      <w:ind w:firstLine="420"/>
      <w:textAlignment w:val="baseline"/>
    </w:pPr>
    <w:rPr>
      <w:color w:val="auto"/>
      <w:kern w:val="0"/>
      <w:sz w:val="21"/>
      <w:szCs w:val="20"/>
    </w:rPr>
  </w:style>
  <w:style w:type="paragraph" w:styleId="22">
    <w:name w:val="Body Text First Indent 2"/>
    <w:basedOn w:val="10"/>
    <w:qFormat/>
    <w:uiPriority w:val="0"/>
    <w:pPr>
      <w:spacing w:after="120"/>
      <w:ind w:left="420" w:leftChars="200" w:firstLine="420" w:firstLineChars="200"/>
    </w:pPr>
    <w:rPr>
      <w:rFonts w:ascii="Times New Roman" w:hAnsi="Times New Roman"/>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qFormat/>
    <w:uiPriority w:val="0"/>
  </w:style>
  <w:style w:type="character" w:styleId="28">
    <w:name w:val="FollowedHyperlink"/>
    <w:basedOn w:val="25"/>
    <w:qFormat/>
    <w:uiPriority w:val="0"/>
    <w:rPr>
      <w:color w:val="800080"/>
      <w:u w:val="none"/>
    </w:rPr>
  </w:style>
  <w:style w:type="character" w:styleId="29">
    <w:name w:val="HTML Definition"/>
    <w:basedOn w:val="25"/>
    <w:qFormat/>
    <w:uiPriority w:val="0"/>
  </w:style>
  <w:style w:type="character" w:styleId="30">
    <w:name w:val="HTML Typewriter"/>
    <w:basedOn w:val="25"/>
    <w:qFormat/>
    <w:uiPriority w:val="0"/>
    <w:rPr>
      <w:rFonts w:ascii="monospace" w:hAnsi="monospace" w:eastAsia="monospace" w:cs="monospace"/>
      <w:sz w:val="20"/>
    </w:rPr>
  </w:style>
  <w:style w:type="character" w:styleId="31">
    <w:name w:val="HTML Acronym"/>
    <w:basedOn w:val="25"/>
    <w:qFormat/>
    <w:uiPriority w:val="0"/>
  </w:style>
  <w:style w:type="character" w:styleId="32">
    <w:name w:val="HTML Variable"/>
    <w:basedOn w:val="25"/>
    <w:qFormat/>
    <w:uiPriority w:val="0"/>
  </w:style>
  <w:style w:type="character" w:styleId="33">
    <w:name w:val="Hyperlink"/>
    <w:basedOn w:val="25"/>
    <w:qFormat/>
    <w:uiPriority w:val="0"/>
    <w:rPr>
      <w:color w:val="0000FF"/>
      <w:u w:val="none"/>
    </w:rPr>
  </w:style>
  <w:style w:type="character" w:styleId="34">
    <w:name w:val="HTML Code"/>
    <w:basedOn w:val="25"/>
    <w:qFormat/>
    <w:uiPriority w:val="0"/>
    <w:rPr>
      <w:rFonts w:hint="default" w:ascii="monospace" w:hAnsi="monospace" w:eastAsia="monospace" w:cs="monospace"/>
      <w:sz w:val="20"/>
    </w:rPr>
  </w:style>
  <w:style w:type="character" w:styleId="35">
    <w:name w:val="HTML Cite"/>
    <w:basedOn w:val="25"/>
    <w:qFormat/>
    <w:uiPriority w:val="0"/>
  </w:style>
  <w:style w:type="character" w:styleId="36">
    <w:name w:val="HTML Keyboard"/>
    <w:basedOn w:val="25"/>
    <w:qFormat/>
    <w:uiPriority w:val="0"/>
    <w:rPr>
      <w:rFonts w:hint="default" w:ascii="monospace" w:hAnsi="monospace" w:eastAsia="monospace" w:cs="monospace"/>
      <w:sz w:val="20"/>
    </w:rPr>
  </w:style>
  <w:style w:type="character" w:styleId="37">
    <w:name w:val="HTML Sample"/>
    <w:basedOn w:val="25"/>
    <w:qFormat/>
    <w:uiPriority w:val="0"/>
    <w:rPr>
      <w:rFonts w:hint="default" w:ascii="monospace" w:hAnsi="monospace" w:eastAsia="monospace" w:cs="monospace"/>
    </w:rPr>
  </w:style>
  <w:style w:type="paragraph" w:customStyle="1" w:styleId="38">
    <w:name w:val="正文缩进1"/>
    <w:basedOn w:val="1"/>
    <w:autoRedefine/>
    <w:qFormat/>
    <w:uiPriority w:val="0"/>
    <w:pPr>
      <w:ind w:firstLine="420" w:firstLineChars="200"/>
    </w:pPr>
  </w:style>
  <w:style w:type="paragraph" w:customStyle="1" w:styleId="39">
    <w:name w:val="null3"/>
    <w:autoRedefine/>
    <w:hidden/>
    <w:qFormat/>
    <w:uiPriority w:val="0"/>
    <w:rPr>
      <w:rFonts w:hint="eastAsia" w:asciiTheme="minorHAnsi" w:hAnsiTheme="minorHAnsi" w:eastAsiaTheme="minorEastAsia" w:cstheme="minorBidi"/>
      <w:lang w:val="en-US" w:eastAsia="zh-Hans"/>
    </w:rPr>
  </w:style>
  <w:style w:type="paragraph" w:customStyle="1" w:styleId="40">
    <w:name w:val="列出段落2"/>
    <w:basedOn w:val="1"/>
    <w:autoRedefine/>
    <w:qFormat/>
    <w:uiPriority w:val="0"/>
    <w:pPr>
      <w:spacing w:line="240" w:lineRule="auto"/>
      <w:ind w:firstLine="420" w:firstLineChars="200"/>
    </w:pPr>
    <w:rPr>
      <w:rFonts w:ascii="Times New Roman" w:hAnsi="Times New Roman"/>
      <w:kern w:val="0"/>
      <w:sz w:val="24"/>
      <w:szCs w:val="20"/>
    </w:rPr>
  </w:style>
  <w:style w:type="paragraph" w:styleId="41">
    <w:name w:val="List Paragraph"/>
    <w:basedOn w:val="1"/>
    <w:autoRedefine/>
    <w:unhideWhenUsed/>
    <w:qFormat/>
    <w:uiPriority w:val="99"/>
    <w:pPr>
      <w:ind w:firstLine="420" w:firstLineChars="200"/>
    </w:pPr>
  </w:style>
  <w:style w:type="paragraph" w:customStyle="1" w:styleId="42">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3">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
    <w:name w:val="列表段落1"/>
    <w:basedOn w:val="1"/>
    <w:qFormat/>
    <w:uiPriority w:val="0"/>
    <w:pPr>
      <w:ind w:firstLine="420" w:firstLineChars="200"/>
    </w:pPr>
  </w:style>
  <w:style w:type="paragraph" w:customStyle="1" w:styleId="45">
    <w:name w:val="标题 41"/>
    <w:basedOn w:val="1"/>
    <w:qFormat/>
    <w:uiPriority w:val="0"/>
    <w:pPr>
      <w:ind w:left="1745"/>
      <w:jc w:val="left"/>
      <w:outlineLvl w:val="4"/>
    </w:pPr>
    <w:rPr>
      <w:rFonts w:ascii="宋体" w:hAnsi="宋体"/>
      <w:kern w:val="0"/>
      <w:sz w:val="26"/>
      <w:szCs w:val="26"/>
      <w:lang w:eastAsia="en-US"/>
    </w:rPr>
  </w:style>
  <w:style w:type="paragraph" w:customStyle="1" w:styleId="46">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paragraph" w:customStyle="1" w:styleId="47">
    <w:name w:val="正文文本 31"/>
    <w:basedOn w:val="1"/>
    <w:qFormat/>
    <w:uiPriority w:val="0"/>
    <w:rPr>
      <w:sz w:val="16"/>
      <w:szCs w:val="16"/>
    </w:rPr>
  </w:style>
  <w:style w:type="paragraph" w:customStyle="1" w:styleId="48">
    <w:name w:val="Table Text"/>
    <w:basedOn w:val="1"/>
    <w:semiHidden/>
    <w:qFormat/>
    <w:uiPriority w:val="0"/>
    <w:rPr>
      <w:rFonts w:ascii="宋体" w:hAnsi="宋体" w:eastAsia="宋体" w:cs="宋体"/>
      <w:sz w:val="20"/>
      <w:szCs w:val="20"/>
      <w:lang w:val="en-US" w:eastAsia="en-US" w:bidi="ar-SA"/>
    </w:rPr>
  </w:style>
  <w:style w:type="table" w:customStyle="1" w:styleId="49">
    <w:name w:val="Table Normal"/>
    <w:semiHidden/>
    <w:unhideWhenUsed/>
    <w:qFormat/>
    <w:uiPriority w:val="0"/>
    <w:tblPr>
      <w:tblCellMar>
        <w:top w:w="0" w:type="dxa"/>
        <w:left w:w="0" w:type="dxa"/>
        <w:bottom w:w="0" w:type="dxa"/>
        <w:right w:w="0" w:type="dxa"/>
      </w:tblCellMar>
    </w:tblPr>
  </w:style>
  <w:style w:type="character" w:customStyle="1" w:styleId="50">
    <w:name w:val="layui-layer-tabnow"/>
    <w:basedOn w:val="25"/>
    <w:qFormat/>
    <w:uiPriority w:val="0"/>
    <w:rPr>
      <w:bdr w:val="single" w:color="CCCCCC" w:sz="4" w:space="0"/>
      <w:shd w:val="clear" w:fill="FFFFFF"/>
    </w:rPr>
  </w:style>
  <w:style w:type="character" w:customStyle="1" w:styleId="51">
    <w:name w:val="first-child"/>
    <w:basedOn w:val="25"/>
    <w:qFormat/>
    <w:uiPriority w:val="0"/>
  </w:style>
  <w:style w:type="character" w:customStyle="1" w:styleId="52">
    <w:name w:val="NormalCharacter"/>
    <w:link w:val="53"/>
    <w:semiHidden/>
    <w:qFormat/>
    <w:uiPriority w:val="0"/>
    <w:rPr>
      <w:rFonts w:eastAsia="Times New Roman"/>
      <w:kern w:val="0"/>
      <w:sz w:val="20"/>
      <w:szCs w:val="20"/>
    </w:rPr>
  </w:style>
  <w:style w:type="paragraph" w:customStyle="1" w:styleId="53">
    <w:name w:val="UserStyle_3"/>
    <w:basedOn w:val="1"/>
    <w:link w:val="52"/>
    <w:qFormat/>
    <w:uiPriority w:val="0"/>
    <w:pPr>
      <w:widowControl/>
      <w:spacing w:before="120" w:after="120" w:line="360" w:lineRule="auto"/>
      <w:ind w:firstLine="420"/>
      <w:textAlignment w:val="baseline"/>
    </w:pPr>
    <w:rPr>
      <w:rFonts w:eastAsia="Times New Roman"/>
      <w:kern w:val="0"/>
      <w:sz w:val="20"/>
      <w:szCs w:val="20"/>
    </w:rPr>
  </w:style>
  <w:style w:type="paragraph" w:customStyle="1" w:styleId="54">
    <w:name w:val="目录"/>
    <w:basedOn w:val="1"/>
    <w:qFormat/>
    <w:uiPriority w:val="0"/>
    <w:pPr>
      <w:widowControl/>
      <w:jc w:val="center"/>
    </w:pPr>
    <w:rPr>
      <w:rFonts w:ascii="宋体"/>
      <w:b/>
      <w:kern w:val="0"/>
      <w:sz w:val="36"/>
      <w:szCs w:val="20"/>
    </w:rPr>
  </w:style>
  <w:style w:type="paragraph" w:customStyle="1" w:styleId="55">
    <w:name w:val="标题 3（投标文件）"/>
    <w:basedOn w:val="4"/>
    <w:qFormat/>
    <w:uiPriority w:val="99"/>
    <w:pPr>
      <w:jc w:val="left"/>
    </w:pPr>
    <w:rPr>
      <w:u w:val="none"/>
    </w:rPr>
  </w:style>
  <w:style w:type="character" w:customStyle="1" w:styleId="56">
    <w:name w:val="font71"/>
    <w:basedOn w:val="25"/>
    <w:qFormat/>
    <w:uiPriority w:val="0"/>
    <w:rPr>
      <w:rFonts w:hint="eastAsia" w:ascii="宋体" w:hAnsi="宋体" w:eastAsia="宋体" w:cs="宋体"/>
      <w:color w:val="000000"/>
      <w:sz w:val="20"/>
      <w:szCs w:val="20"/>
      <w:u w:val="none"/>
    </w:rPr>
  </w:style>
  <w:style w:type="paragraph" w:customStyle="1" w:styleId="57">
    <w:name w:val="_Style 3"/>
    <w:basedOn w:val="1"/>
    <w:qFormat/>
    <w:uiPriority w:val="0"/>
    <w:pPr>
      <w:spacing w:before="120" w:after="120" w:line="360" w:lineRule="auto"/>
      <w:ind w:firstLine="420"/>
    </w:pPr>
    <w:rPr>
      <w:szCs w:val="20"/>
    </w:rPr>
  </w:style>
  <w:style w:type="character" w:customStyle="1" w:styleId="58">
    <w:name w:val="font122"/>
    <w:basedOn w:val="25"/>
    <w:qFormat/>
    <w:uiPriority w:val="0"/>
    <w:rPr>
      <w:rFonts w:ascii="宋体" w:hAnsi="宋体" w:eastAsia="宋体" w:cs="宋体"/>
      <w:color w:val="000000"/>
      <w:sz w:val="20"/>
      <w:szCs w:val="20"/>
      <w:u w:val="none"/>
    </w:rPr>
  </w:style>
  <w:style w:type="paragraph" w:customStyle="1" w:styleId="59">
    <w:name w:val="_Style 15"/>
    <w:basedOn w:val="1"/>
    <w:qFormat/>
    <w:uiPriority w:val="0"/>
    <w:pPr>
      <w:spacing w:before="120" w:after="120" w:line="360" w:lineRule="auto"/>
      <w:ind w:firstLine="420"/>
    </w:pPr>
    <w:rPr>
      <w:szCs w:val="20"/>
    </w:rPr>
  </w:style>
  <w:style w:type="paragraph" w:customStyle="1" w:styleId="60">
    <w:name w:val="正文_8"/>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2.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92</Pages>
  <Words>14064</Words>
  <Characters>14627</Characters>
  <Lines>0</Lines>
  <Paragraphs>0</Paragraphs>
  <TotalTime>9</TotalTime>
  <ScaleCrop>false</ScaleCrop>
  <LinksUpToDate>false</LinksUpToDate>
  <CharactersWithSpaces>14746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2024-08-15T02:02:00Z</dcterms:created>
  <dc:creator>。</dc:creator>
  <cp:lastModifiedBy>延安市宝塔区盛潮项目管理有限公司</cp:lastModifiedBy>
  <cp:lastPrinted>2026-08-23T05:31:00Z</cp:lastPrinted>
  <dcterms:modified xsi:type="dcterms:W3CDTF">2026-10-12T07:21:41Z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0C75F5AB3F134D78AA895D96CFDA6880_13</vt:lpwstr>
  </property>
  <property fmtid="{D5CDD505-2E9C-101B-9397-08002B2CF9AE}" pid="4" name="KSOTemplateDocerSaveRecord">
    <vt:lpwstr>eyJoZGlkIjoiMzEwNTM5NzYwMDRjMzkwZTVkZjY2ODkwMGIxNGU0OTUiLCJ1c2VySWQiOiIzOTcyMTI1NTQifQ==</vt:lpwstr>
  </property>
</Properties>
</file>