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版本号：SCZD2026-ZB-1742-00120260818001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陕西省结核病耐药检测设备采购项目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SCZD2026-ZB-1742-001</w:t>
      </w:r>
      <w:r>
        <w:br/>
      </w:r>
      <w:r>
        <w:br/>
      </w:r>
      <w:r>
        <w:br/>
      </w:r>
    </w:p>
    <w:p>
      <w:pPr>
        <w:pStyle w:val="null3"/>
        <w:jc w:val="center"/>
        <w:outlineLvl w:val="2"/>
      </w:pPr>
      <w:r>
        <w:rPr>
          <w:rFonts w:ascii="仿宋_GB2312" w:hAnsi="仿宋_GB2312" w:cs="仿宋_GB2312" w:eastAsia="仿宋_GB2312"/>
          <w:sz w:val="28"/>
          <w:b/>
        </w:rPr>
        <w:t>陕西省结核病防治院</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陕西省结核病防治院</w:t>
      </w:r>
      <w:r>
        <w:rPr>
          <w:rFonts w:ascii="仿宋_GB2312" w:hAnsi="仿宋_GB2312" w:cs="仿宋_GB2312" w:eastAsia="仿宋_GB2312"/>
        </w:rPr>
        <w:t>委托，拟对</w:t>
      </w:r>
      <w:r>
        <w:rPr>
          <w:rFonts w:ascii="仿宋_GB2312" w:hAnsi="仿宋_GB2312" w:cs="仿宋_GB2312" w:eastAsia="仿宋_GB2312"/>
        </w:rPr>
        <w:t>陕西省结核病耐药检测设备采购项目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SCZD2026-ZB-1742-001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陕西省结核病耐药检测设备采购项目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本次采购第一标段：结核分枝杆菌复合群和利福平耐药基因检测仪器（≥6通量）10台、结核分枝杆菌复合群和抗结核药物耐药基因检测仪器(≥4通量)10台。 第二标段：结核分枝杆菌复合群和利福平耐药基因检测仪器（≥4通量）43台。 第三标段：结核分枝杆菌复合群和利福平耐药基因检测仪器（≥2通量）58台。</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1、法人授权书：投标人参加本项目的合法授权人授权委托书； 投标人应授权合法的人员参加投标全过程，其中法定代表人直接参加投标的，须出具法人身份证，并与营业执照上信息一致。法定代表人授权代表参加投标的，须出具法定代表人授权书及授权代表身份证、授权代表本单位证明（提供授权代表在本单位养老保险缴纳证明）</w:t>
      </w:r>
    </w:p>
    <w:p>
      <w:pPr>
        <w:pStyle w:val="null3"/>
      </w:pPr>
      <w:r>
        <w:rPr>
          <w:rFonts w:ascii="仿宋_GB2312" w:hAnsi="仿宋_GB2312" w:cs="仿宋_GB2312" w:eastAsia="仿宋_GB2312"/>
        </w:rPr>
        <w:t>2、信用查询：投标人在递交投标文件截止时间前被“中国执行信息公开网（http://zxgk.court.gov.cn/shixin/）”列入失信被执行人、被“信用中国”网站（www.creditchina.gov.cn）列入重大税收违法失信主体、政府采购严重违法失信行为记录名单、被“中国政府采购网”网址（www.ccgp.gov.cn）上列入政府采购严重违法失信行为信息记录的，不得参加投标</w:t>
      </w:r>
    </w:p>
    <w:p>
      <w:pPr>
        <w:pStyle w:val="null3"/>
      </w:pPr>
      <w:r>
        <w:rPr>
          <w:rFonts w:ascii="仿宋_GB2312" w:hAnsi="仿宋_GB2312" w:cs="仿宋_GB2312" w:eastAsia="仿宋_GB2312"/>
        </w:rPr>
        <w:t>3、投标人资质：投标人为经销商的：若投标产品属于第二类医疗器械管理的，应具有第二类医疗器械经营备案凭证（须在其经营范围内）；若投标产品属于第三类医疗器械管理的，应具有医疗器械经营许可证（须在其经营范围内）。投标人为制造厂家的：应具有医疗器械生产许可证（投标产品须在其生产范围内），且具有本条前述要求的相关医疗器械经营资质</w:t>
      </w:r>
    </w:p>
    <w:p>
      <w:pPr>
        <w:pStyle w:val="null3"/>
      </w:pPr>
      <w:r>
        <w:rPr>
          <w:rFonts w:ascii="仿宋_GB2312" w:hAnsi="仿宋_GB2312" w:cs="仿宋_GB2312" w:eastAsia="仿宋_GB2312"/>
        </w:rPr>
        <w:t>4、投标产品医疗器械注册证：投标产品属于医疗器械管理范围的须提供医疗器械注册证</w:t>
      </w:r>
    </w:p>
    <w:p>
      <w:pPr>
        <w:pStyle w:val="null3"/>
      </w:pPr>
      <w:r>
        <w:rPr>
          <w:rFonts w:ascii="仿宋_GB2312" w:hAnsi="仿宋_GB2312" w:cs="仿宋_GB2312" w:eastAsia="仿宋_GB2312"/>
        </w:rPr>
        <w:t>5、投标人不得存在下列情形：投标人不得存在下列情形之一：（1）单位负责人为同一人或者存在直接控股、管理关系的不同投标人，不得参加本次采购活动； （2）为本项目提供整体设计、规范编制或者项目管理、监理、检测等服务的投标人，不得再参加本项目的采购活动</w:t>
      </w:r>
    </w:p>
    <w:p>
      <w:pPr>
        <w:pStyle w:val="null3"/>
      </w:pPr>
      <w:r>
        <w:rPr>
          <w:rFonts w:ascii="仿宋_GB2312" w:hAnsi="仿宋_GB2312" w:cs="仿宋_GB2312" w:eastAsia="仿宋_GB2312"/>
        </w:rPr>
        <w:t>6、投标人获取招标文件登记备案：需按照招标公告要求的方式获取招标文件并登记备案，未按招标公告要求的方式获取招标文件并登记备案的投标人均无资格参加投标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1、法人授权书：投标人参加本项目的合法授权人授权委托书； 投标人应授权合法的人员参加投标全过程，其中法定代表人直接参加投标的，须出具法人身份证，并与营业执照上信息一致。法定代表人授权代表参加投标的，须出具法定代表人授权书及授权代表身份证、授权代表本单位证明（提供授权代表在本单位养老保险缴纳证明）</w:t>
      </w:r>
    </w:p>
    <w:p>
      <w:pPr>
        <w:pStyle w:val="null3"/>
      </w:pPr>
      <w:r>
        <w:rPr>
          <w:rFonts w:ascii="仿宋_GB2312" w:hAnsi="仿宋_GB2312" w:cs="仿宋_GB2312" w:eastAsia="仿宋_GB2312"/>
        </w:rPr>
        <w:t>2、信用查询：投标人在递交投标文件截止时间前被“中国执行信息公开网（http://zxgk.court.gov.cn/shixin/）”列入失信被执行人、被“信用中国”网站（www.creditchina.gov.cn）列入重大税收违法失信主体、政府采购严重违法失信行为记录名单、被“中国政府采购网”网址（www.ccgp.gov.cn）上列入政府采购严重违法失信行为信息记录的，不得参加投标</w:t>
      </w:r>
    </w:p>
    <w:p>
      <w:pPr>
        <w:pStyle w:val="null3"/>
      </w:pPr>
      <w:r>
        <w:rPr>
          <w:rFonts w:ascii="仿宋_GB2312" w:hAnsi="仿宋_GB2312" w:cs="仿宋_GB2312" w:eastAsia="仿宋_GB2312"/>
        </w:rPr>
        <w:t>3、投标人资质：投标人为经销商的：若投标产品属于第二类医疗器械管理的，应具有第二类医疗器械经营备案凭证（须在其经营范围内）；若投标产品属于第三类医疗器械管理的，应具有医疗器械经营许可证（须在其经营范围内）。投标人为制造厂家的：应具有医疗器械生产许可证（投标产品须在其生产范围内），且具有本条前述要求的相关医疗器械经营资质</w:t>
      </w:r>
    </w:p>
    <w:p>
      <w:pPr>
        <w:pStyle w:val="null3"/>
      </w:pPr>
      <w:r>
        <w:rPr>
          <w:rFonts w:ascii="仿宋_GB2312" w:hAnsi="仿宋_GB2312" w:cs="仿宋_GB2312" w:eastAsia="仿宋_GB2312"/>
        </w:rPr>
        <w:t>4、投标产品医疗器械注册证：投标产品属于医疗器械管理范围的须提供医疗器械注册证</w:t>
      </w:r>
    </w:p>
    <w:p>
      <w:pPr>
        <w:pStyle w:val="null3"/>
      </w:pPr>
      <w:r>
        <w:rPr>
          <w:rFonts w:ascii="仿宋_GB2312" w:hAnsi="仿宋_GB2312" w:cs="仿宋_GB2312" w:eastAsia="仿宋_GB2312"/>
        </w:rPr>
        <w:t>5、投标人不得存在下列情形：投标人不得存在下列情形之一：（1）单位负责人为同一人或者存在直接控股、管理关系的不同投标人，不得参加本次采购活动； （2）为本项目提供整体设计、规范编制或者项目管理、监理、检测等服务的投标人，不得再参加本项目的采购活动</w:t>
      </w:r>
    </w:p>
    <w:p>
      <w:pPr>
        <w:pStyle w:val="null3"/>
      </w:pPr>
      <w:r>
        <w:rPr>
          <w:rFonts w:ascii="仿宋_GB2312" w:hAnsi="仿宋_GB2312" w:cs="仿宋_GB2312" w:eastAsia="仿宋_GB2312"/>
        </w:rPr>
        <w:t>6、投标人获取招标文件登记备案：需按照招标公告要求的方式获取招标文件并登记备案，未按招标公告要求的方式获取招标文件并登记备案的投标人均无资格参加投标</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1、法人授权书：投标人参加本项目的合法授权人授权委托书； 投标人应授权合法的人员参加投标全过程，其中法定代表人直接参加投标的，须出具法人身份证，并与营业执照上信息一致。法定代表人授权代表参加投标的，须出具法定代表人授权书及授权代表身份证、授权代表本单位证明（提供授权代表在本单位养老保险缴纳证明）</w:t>
      </w:r>
    </w:p>
    <w:p>
      <w:pPr>
        <w:pStyle w:val="null3"/>
      </w:pPr>
      <w:r>
        <w:rPr>
          <w:rFonts w:ascii="仿宋_GB2312" w:hAnsi="仿宋_GB2312" w:cs="仿宋_GB2312" w:eastAsia="仿宋_GB2312"/>
        </w:rPr>
        <w:t>2、信用查询：投标人在递交投标文件截止时间前被“中国执行信息公开网（http://zxgk.court.gov.cn/shixin/）”列入失信被执行人、被“信用中国”网站（www.creditchina.gov.cn）列入重大税收违法失信主体、政府采购严重违法失信行为记录名单、被“中国政府采购网”网址（www.ccgp.gov.cn）上列入政府采购严重违法失信行为信息记录的，不得参加投标</w:t>
      </w:r>
    </w:p>
    <w:p>
      <w:pPr>
        <w:pStyle w:val="null3"/>
      </w:pPr>
      <w:r>
        <w:rPr>
          <w:rFonts w:ascii="仿宋_GB2312" w:hAnsi="仿宋_GB2312" w:cs="仿宋_GB2312" w:eastAsia="仿宋_GB2312"/>
        </w:rPr>
        <w:t>3、投标人资质：投标人为经销商的：若投标产品属于第二类医疗器械管理的，应具有第二类医疗器械经营备案凭证（须在其经营范围内）；若投标产品属于第三类医疗器械管理的，应具有医疗器械经营许可证（须在其经营范围内）。投标人为制造厂家的：应具有医疗器械生产许可证（投标产品须在其生产范围内），且具有本条前述要求的相关医疗器械经营资质</w:t>
      </w:r>
    </w:p>
    <w:p>
      <w:pPr>
        <w:pStyle w:val="null3"/>
      </w:pPr>
      <w:r>
        <w:rPr>
          <w:rFonts w:ascii="仿宋_GB2312" w:hAnsi="仿宋_GB2312" w:cs="仿宋_GB2312" w:eastAsia="仿宋_GB2312"/>
        </w:rPr>
        <w:t>4、投标产品医疗器械注册证：投标产品属于医疗器械管理范围的须提供医疗器械注册证</w:t>
      </w:r>
    </w:p>
    <w:p>
      <w:pPr>
        <w:pStyle w:val="null3"/>
      </w:pPr>
      <w:r>
        <w:rPr>
          <w:rFonts w:ascii="仿宋_GB2312" w:hAnsi="仿宋_GB2312" w:cs="仿宋_GB2312" w:eastAsia="仿宋_GB2312"/>
        </w:rPr>
        <w:t>5、投标人不得存在下列情形：投标人不得存在下列情形之一：（1）单位负责人为同一人或者存在直接控股、管理关系的不同投标人，不得参加本次采购活动； （2）为本项目提供整体设计、规范编制或者项目管理、监理、检测等服务的投标人，不得再参加本项目的采购活动</w:t>
      </w:r>
    </w:p>
    <w:p>
      <w:pPr>
        <w:pStyle w:val="null3"/>
      </w:pPr>
      <w:r>
        <w:rPr>
          <w:rFonts w:ascii="仿宋_GB2312" w:hAnsi="仿宋_GB2312" w:cs="仿宋_GB2312" w:eastAsia="仿宋_GB2312"/>
        </w:rPr>
        <w:t>6、投标人获取招标文件登记备案：需按照招标公告要求的方式获取招标文件并登记备案，未按招标公告要求的方式获取招标文件并登记备案的投标人均无资格参加投标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陕西省结核病防治院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陕西省西安市长安区太乙宫镇上湾村甲字1号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陕西省结核病防治院经办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029-85899294</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陕西省西安市锦业路1号都市之门C座九楼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姜凯、雷鹏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029-88497916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采购包1：6,500,000.00元</w:t>
            </w:r>
          </w:p>
          <w:p>
            <w:pPr>
              <w:pStyle w:val="null3"/>
            </w:pPr>
            <w:r>
              <w:rPr>
                <w:rFonts w:ascii="仿宋_GB2312" w:hAnsi="仿宋_GB2312" w:cs="仿宋_GB2312" w:eastAsia="仿宋_GB2312"/>
              </w:rPr>
              <w:t>采购包2：8,600,000.00元</w:t>
            </w:r>
          </w:p>
          <w:p>
            <w:pPr>
              <w:pStyle w:val="null3"/>
            </w:pPr>
            <w:r>
              <w:rPr>
                <w:rFonts w:ascii="仿宋_GB2312" w:hAnsi="仿宋_GB2312" w:cs="仿宋_GB2312" w:eastAsia="仿宋_GB2312"/>
              </w:rPr>
              <w:t>采购包3：7,540,000.00元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涉及</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涉及</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涉及</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采购包1保证金金额：50,000.00元</w:t>
            </w:r>
          </w:p>
          <w:p>
            <w:pPr>
              <w:pStyle w:val="null3"/>
            </w:pPr>
            <w:r>
              <w:rPr>
                <w:rFonts w:ascii="仿宋_GB2312" w:hAnsi="仿宋_GB2312" w:cs="仿宋_GB2312" w:eastAsia="仿宋_GB2312"/>
              </w:rPr>
              <w:t>采购包2保证金金额：70,000.00元</w:t>
            </w:r>
          </w:p>
          <w:p>
            <w:pPr>
              <w:pStyle w:val="null3"/>
            </w:pPr>
            <w:r>
              <w:rPr>
                <w:rFonts w:ascii="仿宋_GB2312" w:hAnsi="仿宋_GB2312" w:cs="仿宋_GB2312" w:eastAsia="仿宋_GB2312"/>
              </w:rPr>
              <w:t>采购包3保证金金额：60,000.00元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开户名称：陕西省采购招标有限责任公司</w:t>
            </w:r>
          </w:p>
          <w:p>
            <w:pPr>
              <w:pStyle w:val="null3"/>
            </w:pPr>
            <w:r>
              <w:rPr>
                <w:rFonts w:ascii="仿宋_GB2312" w:hAnsi="仿宋_GB2312" w:cs="仿宋_GB2312" w:eastAsia="仿宋_GB2312"/>
              </w:rPr>
              <w:t>开户银行：中国银行西安雁塔区支行营业部</w:t>
            </w:r>
          </w:p>
          <w:p>
            <w:pPr>
              <w:pStyle w:val="null3"/>
            </w:pPr>
            <w:r>
              <w:rPr>
                <w:rFonts w:ascii="仿宋_GB2312" w:hAnsi="仿宋_GB2312" w:cs="仿宋_GB2312" w:eastAsia="仿宋_GB2312"/>
              </w:rPr>
              <w:t>银行账号：103262466733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说明：合同签订后15天内，乙方向甲方缴纳合同总额5%的履约保证金。履约保证金在质保期满且经甲方最终验收合格后20个工作日内无息返还乙方。</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说明：合同签订后15天内，乙方向甲方缴纳合同总额5%的履约保证金。履约保证金在质保期满且经甲方最终验收合格后20个工作日内无息返还乙方。</w:t>
            </w:r>
          </w:p>
          <w:p>
            <w:pPr>
              <w:pStyle w:val="null3"/>
            </w:pPr>
            <w:r>
              <w:rPr>
                <w:rFonts w:ascii="仿宋_GB2312" w:hAnsi="仿宋_GB2312" w:cs="仿宋_GB2312" w:eastAsia="仿宋_GB2312"/>
              </w:rPr>
              <w:t>采购包3：缴纳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说明：合同签订后15天内，乙方向甲方缴纳合同总额5%的履约保证金。履约保证金在质保期满且经甲方最终验收合格后20个工作日内无息返还乙方。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代理服务费收费标准：按照国家计委颁布的《招标代理服务收费管理暂行办法》（计价格[2002]1980号）规定的招标代理服务收费标准按标段下浮20%进行收取。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陕西省结核病防治院</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陕西省结核病防治院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陕西省结核病防治院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详见拟签订的合同文本</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详见拟签订的合同文本</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联系人：马超</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地址：西安市锦业路1号都市之门C座九楼综合办公室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本次采购第一标段：结核分枝杆菌复合群和利福平耐药基因检测仪器（≥6通量）10台、结核分枝杆菌复合群和抗结核药物耐药基因检测仪器(≥4通量)10台。 第二标段：结核分枝杆菌复合群和利福平耐药基因检测仪器（≥4通量）43台。 第三标段：结核分枝杆菌复合群和利福平耐药基因检测仪器（≥2通量）58台。</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6,500,000.00</w:t>
      </w:r>
    </w:p>
    <w:p>
      <w:pPr>
        <w:pStyle w:val="null3"/>
      </w:pPr>
      <w:r>
        <w:rPr>
          <w:rFonts w:ascii="仿宋_GB2312" w:hAnsi="仿宋_GB2312" w:cs="仿宋_GB2312" w:eastAsia="仿宋_GB2312"/>
        </w:rPr>
        <w:t>采购包最高限价（元）: 6,500,000.00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结核分枝杆菌复合群和利福平耐药基因检测仪器（≥6通量）</w:t>
            </w:r>
          </w:p>
        </w:tc>
        <w:tc>
          <w:tcPr>
            <w:tcW w:type="dxa" w:w="755"/>
          </w:tcPr>
          <w:p>
            <w:pPr>
              <w:pStyle w:val="null3"/>
              <w:jc w:val="right"/>
            </w:pPr>
            <w:r>
              <w:rPr>
                <w:rFonts w:ascii="仿宋_GB2312" w:hAnsi="仿宋_GB2312" w:cs="仿宋_GB2312" w:eastAsia="仿宋_GB2312"/>
              </w:rPr>
              <w:t>10.00</w:t>
            </w:r>
          </w:p>
        </w:tc>
        <w:tc>
          <w:tcPr>
            <w:tcW w:type="dxa" w:w="755"/>
          </w:tcPr>
          <w:p>
            <w:pPr>
              <w:pStyle w:val="null3"/>
              <w:jc w:val="right"/>
            </w:pPr>
            <w:r>
              <w:rPr>
                <w:rFonts w:ascii="仿宋_GB2312" w:hAnsi="仿宋_GB2312" w:cs="仿宋_GB2312" w:eastAsia="仿宋_GB2312"/>
              </w:rPr>
              <w:t>3,000,000.00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结核分枝杆菌复合群和抗结核药物耐药基因检测仪器（≥4通量）</w:t>
            </w:r>
          </w:p>
        </w:tc>
        <w:tc>
          <w:tcPr>
            <w:tcW w:type="dxa" w:w="755"/>
          </w:tcPr>
          <w:p>
            <w:pPr>
              <w:pStyle w:val="null3"/>
              <w:jc w:val="right"/>
            </w:pPr>
            <w:r>
              <w:rPr>
                <w:rFonts w:ascii="仿宋_GB2312" w:hAnsi="仿宋_GB2312" w:cs="仿宋_GB2312" w:eastAsia="仿宋_GB2312"/>
              </w:rPr>
              <w:t>10.00</w:t>
            </w:r>
          </w:p>
        </w:tc>
        <w:tc>
          <w:tcPr>
            <w:tcW w:type="dxa" w:w="755"/>
          </w:tcPr>
          <w:p>
            <w:pPr>
              <w:pStyle w:val="null3"/>
              <w:jc w:val="right"/>
            </w:pPr>
            <w:r>
              <w:rPr>
                <w:rFonts w:ascii="仿宋_GB2312" w:hAnsi="仿宋_GB2312" w:cs="仿宋_GB2312" w:eastAsia="仿宋_GB2312"/>
              </w:rPr>
              <w:t>3,500,000.00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8,600,000.00</w:t>
      </w:r>
    </w:p>
    <w:p>
      <w:pPr>
        <w:pStyle w:val="null3"/>
      </w:pPr>
      <w:r>
        <w:rPr>
          <w:rFonts w:ascii="仿宋_GB2312" w:hAnsi="仿宋_GB2312" w:cs="仿宋_GB2312" w:eastAsia="仿宋_GB2312"/>
        </w:rPr>
        <w:t>采购包最高限价（元）: 8,600,000.00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结核分枝杆菌复合群和利福平耐药基因检测仪器（≥4通量）</w:t>
            </w:r>
          </w:p>
        </w:tc>
        <w:tc>
          <w:tcPr>
            <w:tcW w:type="dxa" w:w="755"/>
          </w:tcPr>
          <w:p>
            <w:pPr>
              <w:pStyle w:val="null3"/>
              <w:jc w:val="right"/>
            </w:pPr>
            <w:r>
              <w:rPr>
                <w:rFonts w:ascii="仿宋_GB2312" w:hAnsi="仿宋_GB2312" w:cs="仿宋_GB2312" w:eastAsia="仿宋_GB2312"/>
              </w:rPr>
              <w:t>43.00</w:t>
            </w:r>
          </w:p>
        </w:tc>
        <w:tc>
          <w:tcPr>
            <w:tcW w:type="dxa" w:w="755"/>
          </w:tcPr>
          <w:p>
            <w:pPr>
              <w:pStyle w:val="null3"/>
              <w:jc w:val="right"/>
            </w:pPr>
            <w:r>
              <w:rPr>
                <w:rFonts w:ascii="仿宋_GB2312" w:hAnsi="仿宋_GB2312" w:cs="仿宋_GB2312" w:eastAsia="仿宋_GB2312"/>
              </w:rPr>
              <w:t>8,600,000.00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7,540,000.00</w:t>
      </w:r>
    </w:p>
    <w:p>
      <w:pPr>
        <w:pStyle w:val="null3"/>
      </w:pPr>
      <w:r>
        <w:rPr>
          <w:rFonts w:ascii="仿宋_GB2312" w:hAnsi="仿宋_GB2312" w:cs="仿宋_GB2312" w:eastAsia="仿宋_GB2312"/>
        </w:rPr>
        <w:t>采购包最高限价（元）: 7,540,000.00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结核分枝杆菌复合群和利福平耐药基因检测仪器（≥2通量）</w:t>
            </w:r>
          </w:p>
        </w:tc>
        <w:tc>
          <w:tcPr>
            <w:tcW w:type="dxa" w:w="755"/>
          </w:tcPr>
          <w:p>
            <w:pPr>
              <w:pStyle w:val="null3"/>
              <w:jc w:val="right"/>
            </w:pPr>
            <w:r>
              <w:rPr>
                <w:rFonts w:ascii="仿宋_GB2312" w:hAnsi="仿宋_GB2312" w:cs="仿宋_GB2312" w:eastAsia="仿宋_GB2312"/>
              </w:rPr>
              <w:t>58.00</w:t>
            </w:r>
          </w:p>
        </w:tc>
        <w:tc>
          <w:tcPr>
            <w:tcW w:type="dxa" w:w="755"/>
          </w:tcPr>
          <w:p>
            <w:pPr>
              <w:pStyle w:val="null3"/>
              <w:jc w:val="right"/>
            </w:pPr>
            <w:r>
              <w:rPr>
                <w:rFonts w:ascii="仿宋_GB2312" w:hAnsi="仿宋_GB2312" w:cs="仿宋_GB2312" w:eastAsia="仿宋_GB2312"/>
              </w:rPr>
              <w:t>7,540,000.00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标的名称：结核分枝杆菌复合群和利福平耐药基因检测仪器（≥6通量）</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95"/>
              <w:jc w:val="center"/>
            </w:pPr>
            <w:r>
              <w:rPr>
                <w:rFonts w:ascii="仿宋_GB2312" w:hAnsi="仿宋_GB2312" w:cs="仿宋_GB2312" w:eastAsia="仿宋_GB2312"/>
                <w:sz w:val="20"/>
              </w:rPr>
              <w:t>第一标段</w:t>
            </w:r>
            <w:r>
              <w:rPr>
                <w:rFonts w:ascii="仿宋_GB2312" w:hAnsi="仿宋_GB2312" w:cs="仿宋_GB2312" w:eastAsia="仿宋_GB2312"/>
                <w:sz w:val="20"/>
              </w:rPr>
              <w:t>-结核分枝杆菌复合群和利福平耐药基因检测仪器</w:t>
            </w:r>
          </w:p>
          <w:p>
            <w:pPr>
              <w:pStyle w:val="null3"/>
              <w:spacing w:before="195"/>
              <w:jc w:val="center"/>
            </w:pPr>
            <w:r>
              <w:rPr>
                <w:rFonts w:ascii="仿宋_GB2312" w:hAnsi="仿宋_GB2312" w:cs="仿宋_GB2312" w:eastAsia="仿宋_GB2312"/>
                <w:sz w:val="20"/>
              </w:rPr>
              <w:t>（</w:t>
            </w:r>
            <w:r>
              <w:rPr>
                <w:rFonts w:ascii="仿宋_GB2312" w:hAnsi="仿宋_GB2312" w:cs="仿宋_GB2312" w:eastAsia="仿宋_GB2312"/>
                <w:sz w:val="20"/>
              </w:rPr>
              <w:t>≥6通量）</w:t>
            </w:r>
          </w:p>
          <w:p>
            <w:pPr>
              <w:pStyle w:val="null3"/>
              <w:spacing w:before="195"/>
              <w:jc w:val="center"/>
            </w:pPr>
            <w:r>
              <w:rPr>
                <w:rFonts w:ascii="仿宋_GB2312" w:hAnsi="仿宋_GB2312" w:cs="仿宋_GB2312" w:eastAsia="仿宋_GB2312"/>
                <w:sz w:val="20"/>
              </w:rPr>
              <w:t>核心产品</w:t>
            </w:r>
            <w:r>
              <w:rPr>
                <w:rFonts w:ascii="仿宋_GB2312" w:hAnsi="仿宋_GB2312" w:cs="仿宋_GB2312" w:eastAsia="仿宋_GB2312"/>
                <w:sz w:val="20"/>
              </w:rPr>
              <w:t xml:space="preserve">  </w:t>
            </w:r>
            <w:r>
              <w:rPr>
                <w:rFonts w:ascii="仿宋_GB2312" w:hAnsi="仿宋_GB2312" w:cs="仿宋_GB2312" w:eastAsia="仿宋_GB2312"/>
                <w:sz w:val="20"/>
              </w:rPr>
              <w:t>采购</w:t>
            </w:r>
            <w:r>
              <w:rPr>
                <w:rFonts w:ascii="仿宋_GB2312" w:hAnsi="仿宋_GB2312" w:cs="仿宋_GB2312" w:eastAsia="仿宋_GB2312"/>
                <w:sz w:val="20"/>
              </w:rPr>
              <w:t>10台</w:t>
            </w:r>
          </w:p>
          <w:p>
            <w:pPr>
              <w:pStyle w:val="null3"/>
              <w:spacing w:before="195"/>
              <w:jc w:val="both"/>
            </w:pPr>
            <w:r>
              <w:rPr>
                <w:rFonts w:ascii="仿宋_GB2312" w:hAnsi="仿宋_GB2312" w:cs="仿宋_GB2312" w:eastAsia="仿宋_GB2312"/>
                <w:sz w:val="20"/>
              </w:rPr>
              <w:t>1.主要用途：用于结核分枝杆菌复合群检测及利福平耐药基因检测。</w:t>
            </w:r>
          </w:p>
          <w:p>
            <w:pPr>
              <w:pStyle w:val="null3"/>
              <w:spacing w:before="195"/>
              <w:jc w:val="both"/>
            </w:pPr>
            <w:r>
              <w:rPr>
                <w:rFonts w:ascii="仿宋_GB2312" w:hAnsi="仿宋_GB2312" w:cs="仿宋_GB2312" w:eastAsia="仿宋_GB2312"/>
                <w:sz w:val="20"/>
              </w:rPr>
              <w:t>2.结核分枝杆菌复合群检测原理：实时荧光定量PCR；利福平耐药基因检测原理：熔解曲线法。</w:t>
            </w:r>
          </w:p>
          <w:p>
            <w:pPr>
              <w:pStyle w:val="null3"/>
              <w:spacing w:before="195"/>
              <w:jc w:val="both"/>
            </w:pPr>
            <w:r>
              <w:rPr>
                <w:rFonts w:ascii="仿宋_GB2312" w:hAnsi="仿宋_GB2312" w:cs="仿宋_GB2312" w:eastAsia="仿宋_GB2312"/>
                <w:sz w:val="20"/>
              </w:rPr>
              <w:t>3.检测目的基因</w:t>
            </w:r>
            <w:r>
              <w:rPr>
                <w:rFonts w:ascii="仿宋_GB2312" w:hAnsi="仿宋_GB2312" w:cs="仿宋_GB2312" w:eastAsia="仿宋_GB2312"/>
                <w:sz w:val="20"/>
                <w:color w:val="0000FF"/>
              </w:rPr>
              <w:t>：</w:t>
            </w:r>
            <w:r>
              <w:rPr>
                <w:rFonts w:ascii="仿宋_GB2312" w:hAnsi="仿宋_GB2312" w:cs="仿宋_GB2312" w:eastAsia="仿宋_GB2312"/>
                <w:sz w:val="20"/>
              </w:rPr>
              <w:t>IS6110作为检测和鉴定结核分枝杆菌的目的基因；rpoB基因：作为检测和鉴定利福平耐药的目的基因。</w:t>
            </w:r>
          </w:p>
          <w:p>
            <w:pPr>
              <w:pStyle w:val="null3"/>
              <w:spacing w:before="195"/>
              <w:jc w:val="both"/>
            </w:pPr>
            <w:r>
              <w:rPr>
                <w:rFonts w:ascii="仿宋_GB2312" w:hAnsi="仿宋_GB2312" w:cs="仿宋_GB2312" w:eastAsia="仿宋_GB2312"/>
                <w:sz w:val="20"/>
              </w:rPr>
              <w:t>4.荧光检测</w:t>
            </w:r>
            <w:r>
              <w:rPr>
                <w:rFonts w:ascii="仿宋_GB2312" w:hAnsi="仿宋_GB2312" w:cs="仿宋_GB2312" w:eastAsia="仿宋_GB2312"/>
                <w:sz w:val="20"/>
              </w:rPr>
              <w:t>通量</w:t>
            </w:r>
            <w:r>
              <w:rPr>
                <w:rFonts w:ascii="仿宋_GB2312" w:hAnsi="仿宋_GB2312" w:cs="仿宋_GB2312" w:eastAsia="仿宋_GB2312"/>
                <w:sz w:val="20"/>
              </w:rPr>
              <w:t>数：</w:t>
            </w:r>
            <w:r>
              <w:rPr>
                <w:rFonts w:ascii="仿宋_GB2312" w:hAnsi="仿宋_GB2312" w:cs="仿宋_GB2312" w:eastAsia="仿宋_GB2312"/>
                <w:sz w:val="20"/>
              </w:rPr>
              <w:t>≥6个。</w:t>
            </w:r>
          </w:p>
          <w:p>
            <w:pPr>
              <w:pStyle w:val="null3"/>
              <w:spacing w:before="195"/>
              <w:jc w:val="both"/>
            </w:pPr>
            <w:r>
              <w:rPr>
                <w:rFonts w:ascii="仿宋_GB2312" w:hAnsi="仿宋_GB2312" w:cs="仿宋_GB2312" w:eastAsia="仿宋_GB2312"/>
                <w:sz w:val="20"/>
              </w:rPr>
              <w:t>5.核酸提取：采用磁珠法或膜过滤等提取技术。</w:t>
            </w:r>
          </w:p>
          <w:p>
            <w:pPr>
              <w:pStyle w:val="null3"/>
              <w:spacing w:before="195"/>
              <w:jc w:val="both"/>
            </w:pPr>
            <w:r>
              <w:rPr>
                <w:rFonts w:ascii="仿宋_GB2312" w:hAnsi="仿宋_GB2312" w:cs="仿宋_GB2312" w:eastAsia="仿宋_GB2312"/>
                <w:sz w:val="20"/>
              </w:rPr>
              <w:t>▲6.检测时间：从样本加入系统至获得检测结果的时间≤120分钟；</w:t>
            </w:r>
          </w:p>
          <w:p>
            <w:pPr>
              <w:pStyle w:val="null3"/>
              <w:spacing w:before="195"/>
              <w:jc w:val="both"/>
            </w:pPr>
            <w:r>
              <w:rPr>
                <w:rFonts w:ascii="仿宋_GB2312" w:hAnsi="仿宋_GB2312" w:cs="仿宋_GB2312" w:eastAsia="仿宋_GB2312"/>
                <w:sz w:val="20"/>
              </w:rPr>
              <w:t>7.设备集核酸提取、纯化、扩增、结果分析于一体。</w:t>
            </w:r>
          </w:p>
          <w:p>
            <w:pPr>
              <w:pStyle w:val="null3"/>
              <w:spacing w:before="195"/>
              <w:jc w:val="both"/>
            </w:pPr>
            <w:r>
              <w:rPr>
                <w:rFonts w:ascii="仿宋_GB2312" w:hAnsi="仿宋_GB2312" w:cs="仿宋_GB2312" w:eastAsia="仿宋_GB2312"/>
                <w:sz w:val="20"/>
              </w:rPr>
              <w:t>8.设备采用台式设计。</w:t>
            </w:r>
          </w:p>
          <w:p>
            <w:pPr>
              <w:pStyle w:val="null3"/>
              <w:spacing w:before="195"/>
              <w:jc w:val="both"/>
            </w:pPr>
            <w:r>
              <w:rPr>
                <w:rFonts w:ascii="仿宋_GB2312" w:hAnsi="仿宋_GB2312" w:cs="仿宋_GB2312" w:eastAsia="仿宋_GB2312"/>
                <w:sz w:val="20"/>
              </w:rPr>
              <w:t>9.设备可实现单样本检测，通量范围以内可随时增加单样本检测。</w:t>
            </w:r>
          </w:p>
          <w:p>
            <w:pPr>
              <w:pStyle w:val="null3"/>
              <w:spacing w:before="195"/>
              <w:jc w:val="both"/>
            </w:pPr>
            <w:r>
              <w:rPr>
                <w:rFonts w:ascii="仿宋_GB2312" w:hAnsi="仿宋_GB2312" w:cs="仿宋_GB2312" w:eastAsia="仿宋_GB2312"/>
                <w:sz w:val="20"/>
              </w:rPr>
              <w:t>▲10.结核分枝杆菌复合群鉴定检测下限：结核分枝杆菌鉴定检测下限≤</w:t>
            </w:r>
            <w:r>
              <w:rPr>
                <w:rFonts w:ascii="仿宋_GB2312" w:hAnsi="仿宋_GB2312" w:cs="仿宋_GB2312" w:eastAsia="仿宋_GB2312"/>
                <w:sz w:val="20"/>
              </w:rPr>
              <w:t>15</w:t>
            </w:r>
            <w:r>
              <w:rPr>
                <w:rFonts w:ascii="仿宋_GB2312" w:hAnsi="仿宋_GB2312" w:cs="仿宋_GB2312" w:eastAsia="仿宋_GB2312"/>
                <w:sz w:val="20"/>
              </w:rPr>
              <w:t>个菌</w:t>
            </w:r>
            <w:r>
              <w:rPr>
                <w:rFonts w:ascii="仿宋_GB2312" w:hAnsi="仿宋_GB2312" w:cs="仿宋_GB2312" w:eastAsia="仿宋_GB2312"/>
                <w:sz w:val="20"/>
              </w:rPr>
              <w:t>/ml。</w:t>
            </w:r>
          </w:p>
          <w:p>
            <w:pPr>
              <w:pStyle w:val="null3"/>
              <w:spacing w:before="195"/>
              <w:jc w:val="both"/>
            </w:pPr>
            <w:r>
              <w:rPr>
                <w:rFonts w:ascii="仿宋_GB2312" w:hAnsi="仿宋_GB2312" w:cs="仿宋_GB2312" w:eastAsia="仿宋_GB2312"/>
                <w:sz w:val="20"/>
              </w:rPr>
              <w:t>▲11.利福平耐药</w:t>
            </w:r>
            <w:r>
              <w:rPr>
                <w:rFonts w:ascii="仿宋_GB2312" w:hAnsi="仿宋_GB2312" w:cs="仿宋_GB2312" w:eastAsia="仿宋_GB2312"/>
                <w:sz w:val="20"/>
              </w:rPr>
              <w:t>菌</w:t>
            </w:r>
            <w:r>
              <w:rPr>
                <w:rFonts w:ascii="仿宋_GB2312" w:hAnsi="仿宋_GB2312" w:cs="仿宋_GB2312" w:eastAsia="仿宋_GB2312"/>
                <w:sz w:val="20"/>
              </w:rPr>
              <w:t>检测下限：利福平耐药</w:t>
            </w:r>
            <w:r>
              <w:rPr>
                <w:rFonts w:ascii="仿宋_GB2312" w:hAnsi="仿宋_GB2312" w:cs="仿宋_GB2312" w:eastAsia="仿宋_GB2312"/>
                <w:sz w:val="20"/>
              </w:rPr>
              <w:t>菌</w:t>
            </w:r>
            <w:r>
              <w:rPr>
                <w:rFonts w:ascii="仿宋_GB2312" w:hAnsi="仿宋_GB2312" w:cs="仿宋_GB2312" w:eastAsia="仿宋_GB2312"/>
                <w:sz w:val="20"/>
              </w:rPr>
              <w:t>检测下限</w:t>
            </w:r>
            <w:r>
              <w:rPr>
                <w:rFonts w:ascii="仿宋_GB2312" w:hAnsi="仿宋_GB2312" w:cs="仿宋_GB2312" w:eastAsia="仿宋_GB2312"/>
                <w:sz w:val="20"/>
              </w:rPr>
              <w:t>≤200个菌/mL。</w:t>
            </w:r>
          </w:p>
          <w:p>
            <w:pPr>
              <w:pStyle w:val="null3"/>
              <w:spacing w:before="195"/>
              <w:jc w:val="both"/>
            </w:pPr>
            <w:r>
              <w:rPr>
                <w:rFonts w:ascii="仿宋_GB2312" w:hAnsi="仿宋_GB2312" w:cs="仿宋_GB2312" w:eastAsia="仿宋_GB2312"/>
                <w:sz w:val="20"/>
              </w:rPr>
              <w:t>▲12.样本检测通量：≥6个。</w:t>
            </w:r>
          </w:p>
          <w:p>
            <w:pPr>
              <w:pStyle w:val="null3"/>
              <w:spacing w:before="195"/>
              <w:jc w:val="both"/>
            </w:pPr>
            <w:r>
              <w:rPr>
                <w:rFonts w:ascii="仿宋_GB2312" w:hAnsi="仿宋_GB2312" w:cs="仿宋_GB2312" w:eastAsia="仿宋_GB2312"/>
                <w:sz w:val="20"/>
              </w:rPr>
              <w:t>13.实现单样本独立质控。</w:t>
            </w:r>
          </w:p>
          <w:p>
            <w:pPr>
              <w:pStyle w:val="null3"/>
              <w:spacing w:before="195"/>
              <w:jc w:val="both"/>
            </w:pPr>
            <w:r>
              <w:rPr>
                <w:rFonts w:ascii="仿宋_GB2312" w:hAnsi="仿宋_GB2312" w:cs="仿宋_GB2312" w:eastAsia="仿宋_GB2312"/>
                <w:sz w:val="20"/>
              </w:rPr>
              <w:t>14.升温速率：≥5.0℃/s。</w:t>
            </w:r>
          </w:p>
          <w:p>
            <w:pPr>
              <w:pStyle w:val="null3"/>
              <w:spacing w:before="195"/>
              <w:jc w:val="both"/>
            </w:pPr>
            <w:r>
              <w:rPr>
                <w:rFonts w:ascii="仿宋_GB2312" w:hAnsi="仿宋_GB2312" w:cs="仿宋_GB2312" w:eastAsia="仿宋_GB2312"/>
                <w:sz w:val="20"/>
              </w:rPr>
              <w:t>15.降温速率：≥</w:t>
            </w:r>
            <w:r>
              <w:rPr>
                <w:rFonts w:ascii="仿宋_GB2312" w:hAnsi="仿宋_GB2312" w:cs="仿宋_GB2312" w:eastAsia="仿宋_GB2312"/>
                <w:sz w:val="20"/>
              </w:rPr>
              <w:t>2</w:t>
            </w:r>
            <w:r>
              <w:rPr>
                <w:rFonts w:ascii="仿宋_GB2312" w:hAnsi="仿宋_GB2312" w:cs="仿宋_GB2312" w:eastAsia="仿宋_GB2312"/>
                <w:sz w:val="20"/>
              </w:rPr>
              <w:t>.5℃/s。</w:t>
            </w:r>
          </w:p>
          <w:p>
            <w:pPr>
              <w:pStyle w:val="null3"/>
              <w:spacing w:before="195"/>
              <w:jc w:val="both"/>
            </w:pPr>
            <w:r>
              <w:rPr>
                <w:rFonts w:ascii="仿宋_GB2312" w:hAnsi="仿宋_GB2312" w:cs="仿宋_GB2312" w:eastAsia="仿宋_GB2312"/>
                <w:sz w:val="20"/>
              </w:rPr>
              <w:t>16.温度精度：≤</w:t>
            </w:r>
            <w:r>
              <w:rPr>
                <w:rFonts w:ascii="仿宋_GB2312" w:hAnsi="仿宋_GB2312" w:cs="仿宋_GB2312" w:eastAsia="仿宋_GB2312"/>
                <w:sz w:val="20"/>
              </w:rPr>
              <w:t>0.5</w:t>
            </w:r>
            <w:r>
              <w:rPr>
                <w:rFonts w:ascii="仿宋_GB2312" w:hAnsi="仿宋_GB2312" w:cs="仿宋_GB2312" w:eastAsia="仿宋_GB2312"/>
                <w:sz w:val="20"/>
              </w:rPr>
              <w:t>℃。</w:t>
            </w:r>
          </w:p>
          <w:p>
            <w:pPr>
              <w:pStyle w:val="null3"/>
              <w:spacing w:before="195"/>
              <w:jc w:val="both"/>
            </w:pPr>
            <w:r>
              <w:rPr>
                <w:rFonts w:ascii="仿宋_GB2312" w:hAnsi="仿宋_GB2312" w:cs="仿宋_GB2312" w:eastAsia="仿宋_GB2312"/>
                <w:sz w:val="20"/>
              </w:rPr>
              <w:t>17.支持连接医院Lis系统。</w:t>
            </w:r>
          </w:p>
          <w:p>
            <w:pPr>
              <w:pStyle w:val="null3"/>
              <w:spacing w:before="195"/>
              <w:jc w:val="both"/>
            </w:pPr>
            <w:r>
              <w:rPr>
                <w:rFonts w:ascii="仿宋_GB2312" w:hAnsi="仿宋_GB2312" w:cs="仿宋_GB2312" w:eastAsia="仿宋_GB2312"/>
                <w:sz w:val="20"/>
              </w:rPr>
              <w:t>18.具有自动判定并报告检测结果的功能。</w:t>
            </w:r>
          </w:p>
          <w:p>
            <w:pPr>
              <w:pStyle w:val="null3"/>
            </w:pPr>
            <w:r>
              <w:rPr>
                <w:rFonts w:ascii="仿宋_GB2312" w:hAnsi="仿宋_GB2312" w:cs="仿宋_GB2312" w:eastAsia="仿宋_GB2312"/>
                <w:sz w:val="20"/>
              </w:rPr>
              <w:t>19.</w:t>
            </w:r>
            <w:r>
              <w:rPr>
                <w:rFonts w:ascii="仿宋_GB2312" w:hAnsi="仿宋_GB2312" w:cs="仿宋_GB2312" w:eastAsia="仿宋_GB2312"/>
                <w:sz w:val="20"/>
              </w:rPr>
              <w:t>设备采用触摸屏（</w:t>
            </w:r>
            <w:r>
              <w:rPr>
                <w:rFonts w:ascii="仿宋_GB2312" w:hAnsi="仿宋_GB2312" w:cs="仿宋_GB2312" w:eastAsia="仿宋_GB2312"/>
                <w:sz w:val="20"/>
              </w:rPr>
              <w:t>≥10.0英寸</w:t>
            </w:r>
            <w:r>
              <w:rPr>
                <w:rFonts w:ascii="仿宋_GB2312" w:hAnsi="仿宋_GB2312" w:cs="仿宋_GB2312" w:eastAsia="仿宋_GB2312"/>
                <w:sz w:val="20"/>
              </w:rPr>
              <w:t>）操作或提供操作电脑，以满足正常工作需求</w:t>
            </w:r>
            <w:r>
              <w:rPr>
                <w:rFonts w:ascii="仿宋_GB2312" w:hAnsi="仿宋_GB2312" w:cs="仿宋_GB2312" w:eastAsia="仿宋_GB2312"/>
                <w:sz w:val="20"/>
              </w:rPr>
              <w:t>。</w:t>
            </w:r>
            <w:r>
              <w:rPr>
                <w:rFonts w:ascii="仿宋_GB2312" w:hAnsi="仿宋_GB2312" w:cs="仿宋_GB2312" w:eastAsia="仿宋_GB2312"/>
                <w:sz w:val="20"/>
              </w:rPr>
              <w:t>电脑配置：主机内存</w:t>
            </w:r>
            <w:r>
              <w:rPr>
                <w:rFonts w:ascii="仿宋_GB2312" w:hAnsi="仿宋_GB2312" w:cs="仿宋_GB2312" w:eastAsia="仿宋_GB2312"/>
                <w:sz w:val="20"/>
              </w:rPr>
              <w:t>≥4GB；硬盘容量≥500GB；显示屏尺寸≥19英寸。</w:t>
            </w:r>
          </w:p>
        </w:tc>
      </w:tr>
    </w:tbl>
    <w:p>
      <w:pPr>
        <w:pStyle w:val="null3"/>
      </w:pPr>
      <w:r>
        <w:rPr>
          <w:rFonts w:ascii="仿宋_GB2312" w:hAnsi="仿宋_GB2312" w:cs="仿宋_GB2312" w:eastAsia="仿宋_GB2312"/>
        </w:rPr>
        <w:t>标的名称：结核分枝杆菌复合群和抗结核药物耐药基因检测仪器（≥4通量）</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95"/>
              <w:jc w:val="center"/>
            </w:pPr>
            <w:r>
              <w:rPr>
                <w:rFonts w:ascii="仿宋_GB2312" w:hAnsi="仿宋_GB2312" w:cs="仿宋_GB2312" w:eastAsia="仿宋_GB2312"/>
                <w:sz w:val="20"/>
              </w:rPr>
              <w:t>第一标段</w:t>
            </w:r>
            <w:r>
              <w:rPr>
                <w:rFonts w:ascii="仿宋_GB2312" w:hAnsi="仿宋_GB2312" w:cs="仿宋_GB2312" w:eastAsia="仿宋_GB2312"/>
                <w:sz w:val="20"/>
              </w:rPr>
              <w:t>-结核分枝杆菌复合群和抗结核药物耐药基因检测仪器</w:t>
            </w:r>
          </w:p>
          <w:p>
            <w:pPr>
              <w:pStyle w:val="null3"/>
              <w:spacing w:before="195"/>
              <w:jc w:val="center"/>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通量</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0"/>
              </w:rPr>
              <w:t>采购</w:t>
            </w:r>
            <w:r>
              <w:rPr>
                <w:rFonts w:ascii="仿宋_GB2312" w:hAnsi="仿宋_GB2312" w:cs="仿宋_GB2312" w:eastAsia="仿宋_GB2312"/>
                <w:sz w:val="20"/>
              </w:rPr>
              <w:t>10台</w:t>
            </w:r>
          </w:p>
          <w:p>
            <w:pPr>
              <w:pStyle w:val="null3"/>
              <w:spacing w:before="195"/>
              <w:jc w:val="both"/>
            </w:pPr>
            <w:r>
              <w:rPr>
                <w:rFonts w:ascii="仿宋_GB2312" w:hAnsi="仿宋_GB2312" w:cs="仿宋_GB2312" w:eastAsia="仿宋_GB2312"/>
                <w:sz w:val="20"/>
              </w:rPr>
              <w:t>★1.主要用途：结核分枝杆菌复合群和</w:t>
            </w:r>
            <w:r>
              <w:rPr>
                <w:rFonts w:ascii="仿宋_GB2312" w:hAnsi="仿宋_GB2312" w:cs="仿宋_GB2312" w:eastAsia="仿宋_GB2312"/>
                <w:sz w:val="20"/>
              </w:rPr>
              <w:t>＞</w:t>
            </w:r>
            <w:r>
              <w:rPr>
                <w:rFonts w:ascii="仿宋_GB2312" w:hAnsi="仿宋_GB2312" w:cs="仿宋_GB2312" w:eastAsia="仿宋_GB2312"/>
                <w:sz w:val="20"/>
              </w:rPr>
              <w:t>3种</w:t>
            </w:r>
            <w:r>
              <w:rPr>
                <w:rFonts w:ascii="仿宋_GB2312" w:hAnsi="仿宋_GB2312" w:cs="仿宋_GB2312" w:eastAsia="仿宋_GB2312"/>
                <w:sz w:val="20"/>
              </w:rPr>
              <w:t>抗结核药物</w:t>
            </w:r>
            <w:r>
              <w:rPr>
                <w:rFonts w:ascii="仿宋_GB2312" w:hAnsi="仿宋_GB2312" w:cs="仿宋_GB2312" w:eastAsia="仿宋_GB2312"/>
                <w:sz w:val="20"/>
              </w:rPr>
              <w:t>的</w:t>
            </w:r>
            <w:r>
              <w:rPr>
                <w:rFonts w:ascii="仿宋_GB2312" w:hAnsi="仿宋_GB2312" w:cs="仿宋_GB2312" w:eastAsia="仿宋_GB2312"/>
                <w:sz w:val="20"/>
              </w:rPr>
              <w:t>耐药基因检测。</w:t>
            </w:r>
          </w:p>
          <w:p>
            <w:pPr>
              <w:pStyle w:val="null3"/>
              <w:spacing w:before="195"/>
              <w:jc w:val="both"/>
            </w:pPr>
            <w:r>
              <w:rPr>
                <w:rFonts w:ascii="仿宋_GB2312" w:hAnsi="仿宋_GB2312" w:cs="仿宋_GB2312" w:eastAsia="仿宋_GB2312"/>
                <w:sz w:val="20"/>
              </w:rPr>
              <w:t>2.结核分枝杆菌复合群检测原理：基于实时荧光定量 PCR 技术；</w:t>
            </w:r>
            <w:r>
              <w:rPr>
                <w:rFonts w:ascii="仿宋_GB2312" w:hAnsi="仿宋_GB2312" w:cs="仿宋_GB2312" w:eastAsia="仿宋_GB2312"/>
                <w:sz w:val="20"/>
              </w:rPr>
              <w:t>＞</w:t>
            </w:r>
            <w:r>
              <w:rPr>
                <w:rFonts w:ascii="仿宋_GB2312" w:hAnsi="仿宋_GB2312" w:cs="仿宋_GB2312" w:eastAsia="仿宋_GB2312"/>
                <w:sz w:val="20"/>
              </w:rPr>
              <w:t>3种</w:t>
            </w:r>
            <w:r>
              <w:rPr>
                <w:rFonts w:ascii="仿宋_GB2312" w:hAnsi="仿宋_GB2312" w:cs="仿宋_GB2312" w:eastAsia="仿宋_GB2312"/>
                <w:sz w:val="20"/>
              </w:rPr>
              <w:t>抗结核药物</w:t>
            </w:r>
            <w:r>
              <w:rPr>
                <w:rFonts w:ascii="仿宋_GB2312" w:hAnsi="仿宋_GB2312" w:cs="仿宋_GB2312" w:eastAsia="仿宋_GB2312"/>
                <w:sz w:val="20"/>
              </w:rPr>
              <w:t>的</w:t>
            </w:r>
            <w:r>
              <w:rPr>
                <w:rFonts w:ascii="仿宋_GB2312" w:hAnsi="仿宋_GB2312" w:cs="仿宋_GB2312" w:eastAsia="仿宋_GB2312"/>
                <w:sz w:val="20"/>
              </w:rPr>
              <w:t>耐药基因检测原理：熔解曲线技术。</w:t>
            </w:r>
          </w:p>
          <w:p>
            <w:pPr>
              <w:pStyle w:val="null3"/>
              <w:spacing w:before="195"/>
              <w:jc w:val="both"/>
            </w:pPr>
            <w:r>
              <w:rPr>
                <w:rFonts w:ascii="仿宋_GB2312" w:hAnsi="仿宋_GB2312" w:cs="仿宋_GB2312" w:eastAsia="仿宋_GB2312"/>
                <w:sz w:val="20"/>
              </w:rPr>
              <w:t>3.设备集核酸提取、纯化、扩增、结果分析于一体。</w:t>
            </w:r>
          </w:p>
          <w:p>
            <w:pPr>
              <w:pStyle w:val="null3"/>
              <w:spacing w:before="195"/>
              <w:jc w:val="both"/>
            </w:pPr>
            <w:r>
              <w:rPr>
                <w:rFonts w:ascii="仿宋_GB2312" w:hAnsi="仿宋_GB2312" w:cs="仿宋_GB2312" w:eastAsia="仿宋_GB2312"/>
                <w:sz w:val="20"/>
              </w:rPr>
              <w:t>4.样本检测通量：≥4个。</w:t>
            </w:r>
          </w:p>
          <w:p>
            <w:pPr>
              <w:pStyle w:val="null3"/>
              <w:spacing w:before="195"/>
              <w:jc w:val="both"/>
            </w:pPr>
            <w:r>
              <w:rPr>
                <w:rFonts w:ascii="仿宋_GB2312" w:hAnsi="仿宋_GB2312" w:cs="仿宋_GB2312" w:eastAsia="仿宋_GB2312"/>
                <w:sz w:val="20"/>
              </w:rPr>
              <w:t>5.核酸提取：采用磁珠法提取技术。</w:t>
            </w:r>
          </w:p>
          <w:p>
            <w:pPr>
              <w:pStyle w:val="null3"/>
              <w:spacing w:before="195"/>
              <w:jc w:val="both"/>
            </w:pPr>
            <w:r>
              <w:rPr>
                <w:rFonts w:ascii="仿宋_GB2312" w:hAnsi="仿宋_GB2312" w:cs="仿宋_GB2312" w:eastAsia="仿宋_GB2312"/>
                <w:sz w:val="20"/>
              </w:rPr>
              <w:t>▲6.荧光检测</w:t>
            </w:r>
            <w:r>
              <w:rPr>
                <w:rFonts w:ascii="仿宋_GB2312" w:hAnsi="仿宋_GB2312" w:cs="仿宋_GB2312" w:eastAsia="仿宋_GB2312"/>
                <w:sz w:val="20"/>
              </w:rPr>
              <w:t>通量</w:t>
            </w: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通量</w:t>
            </w:r>
            <w:r>
              <w:rPr>
                <w:rFonts w:ascii="仿宋_GB2312" w:hAnsi="仿宋_GB2312" w:cs="仿宋_GB2312" w:eastAsia="仿宋_GB2312"/>
                <w:sz w:val="20"/>
              </w:rPr>
              <w:t>。</w:t>
            </w:r>
          </w:p>
          <w:p>
            <w:pPr>
              <w:pStyle w:val="null3"/>
              <w:spacing w:before="195"/>
              <w:jc w:val="both"/>
            </w:pPr>
            <w:r>
              <w:rPr>
                <w:rFonts w:ascii="仿宋_GB2312" w:hAnsi="仿宋_GB2312" w:cs="仿宋_GB2312" w:eastAsia="仿宋_GB2312"/>
                <w:sz w:val="20"/>
              </w:rPr>
              <w:t>7.结核分枝杆菌最低检出限:≤10个菌/ml。</w:t>
            </w:r>
          </w:p>
          <w:p>
            <w:pPr>
              <w:pStyle w:val="null3"/>
              <w:spacing w:before="195"/>
              <w:jc w:val="both"/>
            </w:pPr>
            <w:r>
              <w:rPr>
                <w:rFonts w:ascii="仿宋_GB2312" w:hAnsi="仿宋_GB2312" w:cs="仿宋_GB2312" w:eastAsia="仿宋_GB2312"/>
                <w:sz w:val="20"/>
              </w:rPr>
              <w:t>8.耐药</w:t>
            </w:r>
            <w:r>
              <w:rPr>
                <w:rFonts w:ascii="仿宋_GB2312" w:hAnsi="仿宋_GB2312" w:cs="仿宋_GB2312" w:eastAsia="仿宋_GB2312"/>
                <w:sz w:val="20"/>
              </w:rPr>
              <w:t>菌</w:t>
            </w:r>
            <w:r>
              <w:rPr>
                <w:rFonts w:ascii="仿宋_GB2312" w:hAnsi="仿宋_GB2312" w:cs="仿宋_GB2312" w:eastAsia="仿宋_GB2312"/>
                <w:sz w:val="20"/>
              </w:rPr>
              <w:t>最低检出限</w:t>
            </w:r>
            <w:r>
              <w:rPr>
                <w:rFonts w:ascii="仿宋_GB2312" w:hAnsi="仿宋_GB2312" w:cs="仿宋_GB2312" w:eastAsia="仿宋_GB2312"/>
                <w:sz w:val="20"/>
              </w:rPr>
              <w:t>:≤1000 个菌/ml。</w:t>
            </w:r>
          </w:p>
          <w:p>
            <w:pPr>
              <w:pStyle w:val="null3"/>
              <w:spacing w:before="195"/>
              <w:jc w:val="both"/>
            </w:pPr>
            <w:r>
              <w:rPr>
                <w:rFonts w:ascii="仿宋_GB2312" w:hAnsi="仿宋_GB2312" w:cs="仿宋_GB2312" w:eastAsia="仿宋_GB2312"/>
                <w:sz w:val="20"/>
              </w:rPr>
              <w:t>9.软件应用：配置结核耐药项目检测结果判读软件，仪器自动输出检测结果，直接导出实验结论。</w:t>
            </w:r>
          </w:p>
          <w:p>
            <w:pPr>
              <w:pStyle w:val="null3"/>
              <w:spacing w:before="195"/>
              <w:jc w:val="both"/>
            </w:pPr>
            <w:r>
              <w:rPr>
                <w:rFonts w:ascii="仿宋_GB2312" w:hAnsi="仿宋_GB2312" w:cs="仿宋_GB2312" w:eastAsia="仿宋_GB2312"/>
                <w:sz w:val="20"/>
              </w:rPr>
              <w:t>10.升温速率：≥5.0℃/s。</w:t>
            </w:r>
          </w:p>
          <w:p>
            <w:pPr>
              <w:pStyle w:val="null3"/>
              <w:spacing w:before="195"/>
              <w:jc w:val="both"/>
            </w:pPr>
            <w:r>
              <w:rPr>
                <w:rFonts w:ascii="仿宋_GB2312" w:hAnsi="仿宋_GB2312" w:cs="仿宋_GB2312" w:eastAsia="仿宋_GB2312"/>
                <w:sz w:val="20"/>
              </w:rPr>
              <w:t>11.降温速率：≥</w:t>
            </w:r>
            <w:r>
              <w:rPr>
                <w:rFonts w:ascii="仿宋_GB2312" w:hAnsi="仿宋_GB2312" w:cs="仿宋_GB2312" w:eastAsia="仿宋_GB2312"/>
                <w:sz w:val="20"/>
              </w:rPr>
              <w:t>2</w:t>
            </w:r>
            <w:r>
              <w:rPr>
                <w:rFonts w:ascii="仿宋_GB2312" w:hAnsi="仿宋_GB2312" w:cs="仿宋_GB2312" w:eastAsia="仿宋_GB2312"/>
                <w:sz w:val="20"/>
              </w:rPr>
              <w:t>.5℃/s。</w:t>
            </w:r>
          </w:p>
          <w:p>
            <w:pPr>
              <w:pStyle w:val="null3"/>
              <w:spacing w:before="195"/>
              <w:jc w:val="both"/>
            </w:pPr>
            <w:r>
              <w:rPr>
                <w:rFonts w:ascii="仿宋_GB2312" w:hAnsi="仿宋_GB2312" w:cs="仿宋_GB2312" w:eastAsia="仿宋_GB2312"/>
                <w:sz w:val="20"/>
              </w:rPr>
              <w:t>12.温度精度：≤</w:t>
            </w:r>
            <w:r>
              <w:rPr>
                <w:rFonts w:ascii="仿宋_GB2312" w:hAnsi="仿宋_GB2312" w:cs="仿宋_GB2312" w:eastAsia="仿宋_GB2312"/>
                <w:sz w:val="20"/>
              </w:rPr>
              <w:t>0.5</w:t>
            </w:r>
            <w:r>
              <w:rPr>
                <w:rFonts w:ascii="仿宋_GB2312" w:hAnsi="仿宋_GB2312" w:cs="仿宋_GB2312" w:eastAsia="仿宋_GB2312"/>
                <w:sz w:val="20"/>
              </w:rPr>
              <w:t>℃。</w:t>
            </w:r>
          </w:p>
          <w:p>
            <w:pPr>
              <w:pStyle w:val="null3"/>
              <w:spacing w:before="195"/>
              <w:jc w:val="both"/>
            </w:pPr>
            <w:r>
              <w:rPr>
                <w:rFonts w:ascii="仿宋_GB2312" w:hAnsi="仿宋_GB2312" w:cs="仿宋_GB2312" w:eastAsia="仿宋_GB2312"/>
                <w:sz w:val="20"/>
              </w:rPr>
              <w:t xml:space="preserve">▲13.检测时间：结核分枝杆菌检测时间≤150分钟。  </w:t>
            </w:r>
          </w:p>
          <w:p>
            <w:pPr>
              <w:pStyle w:val="null3"/>
              <w:spacing w:before="195"/>
              <w:jc w:val="both"/>
            </w:pPr>
            <w:r>
              <w:rPr>
                <w:rFonts w:ascii="仿宋_GB2312" w:hAnsi="仿宋_GB2312" w:cs="仿宋_GB2312" w:eastAsia="仿宋_GB2312"/>
                <w:sz w:val="20"/>
              </w:rPr>
              <w:t>14.设备为台式设计。</w:t>
            </w:r>
          </w:p>
          <w:p>
            <w:pPr>
              <w:pStyle w:val="null3"/>
              <w:spacing w:before="195"/>
              <w:jc w:val="both"/>
            </w:pPr>
            <w:r>
              <w:rPr>
                <w:rFonts w:ascii="仿宋_GB2312" w:hAnsi="仿宋_GB2312" w:cs="仿宋_GB2312" w:eastAsia="仿宋_GB2312"/>
                <w:sz w:val="20"/>
              </w:rPr>
              <w:t>15.支持连接医院Lis系统。</w:t>
            </w:r>
          </w:p>
          <w:p>
            <w:pPr>
              <w:pStyle w:val="null3"/>
              <w:spacing w:before="195"/>
              <w:jc w:val="both"/>
            </w:pPr>
            <w:r>
              <w:rPr>
                <w:rFonts w:ascii="仿宋_GB2312" w:hAnsi="仿宋_GB2312" w:cs="仿宋_GB2312" w:eastAsia="仿宋_GB2312"/>
                <w:sz w:val="20"/>
              </w:rPr>
              <w:t>16.具有自动判定并报告检测结果的功能。</w:t>
            </w:r>
          </w:p>
          <w:p>
            <w:pPr>
              <w:pStyle w:val="null3"/>
            </w:pPr>
            <w:r>
              <w:rPr>
                <w:rFonts w:ascii="仿宋_GB2312" w:hAnsi="仿宋_GB2312" w:cs="仿宋_GB2312" w:eastAsia="仿宋_GB2312"/>
                <w:sz w:val="20"/>
              </w:rPr>
              <w:t>17.设备采用触摸屏（≥10.0英寸）操作或提供操作电脑，以满足正常工作需求。电脑配置：主机内存≥4GB；硬盘容量≥500GB；显示屏尺寸≥19英寸。</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标的名称：结核分枝杆菌复合群和利福平耐药基因检测仪器（≥4通量）</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rPr>
              <w:t>第二标段</w:t>
            </w:r>
            <w:r>
              <w:rPr>
                <w:rFonts w:ascii="仿宋_GB2312" w:hAnsi="仿宋_GB2312" w:cs="仿宋_GB2312" w:eastAsia="仿宋_GB2312"/>
              </w:rPr>
              <w:t>-结核分枝杆菌复合群和利福平耐药基因检测仪器</w:t>
            </w:r>
          </w:p>
          <w:p>
            <w:pPr>
              <w:pStyle w:val="null3"/>
              <w:jc w:val="center"/>
            </w:pPr>
            <w:r>
              <w:rPr>
                <w:rFonts w:ascii="仿宋_GB2312" w:hAnsi="仿宋_GB2312" w:cs="仿宋_GB2312" w:eastAsia="仿宋_GB2312"/>
              </w:rPr>
              <w:t>（≥4通量）采购43台</w:t>
            </w:r>
          </w:p>
          <w:p>
            <w:pPr>
              <w:pStyle w:val="null3"/>
              <w:jc w:val="left"/>
            </w:pPr>
            <w:r>
              <w:rPr>
                <w:rFonts w:ascii="仿宋_GB2312" w:hAnsi="仿宋_GB2312" w:cs="仿宋_GB2312" w:eastAsia="仿宋_GB2312"/>
              </w:rPr>
              <w:t>1.主要用途：用于结核分枝杆菌复合群检测及利福平耐药基因检测。</w:t>
            </w:r>
          </w:p>
          <w:p>
            <w:pPr>
              <w:pStyle w:val="null3"/>
              <w:jc w:val="left"/>
            </w:pPr>
            <w:r>
              <w:rPr>
                <w:rFonts w:ascii="仿宋_GB2312" w:hAnsi="仿宋_GB2312" w:cs="仿宋_GB2312" w:eastAsia="仿宋_GB2312"/>
              </w:rPr>
              <w:t>2.结核分枝杆菌复合群检测原理：实时荧光定量PCR；利福平耐药基因检测原理：熔解曲线法。</w:t>
            </w:r>
          </w:p>
          <w:p>
            <w:pPr>
              <w:pStyle w:val="null3"/>
              <w:jc w:val="left"/>
            </w:pPr>
            <w:r>
              <w:rPr>
                <w:rFonts w:ascii="仿宋_GB2312" w:hAnsi="仿宋_GB2312" w:cs="仿宋_GB2312" w:eastAsia="仿宋_GB2312"/>
              </w:rPr>
              <w:t>3.检测目的基因：IS6110作为检测和鉴定结核分枝杆菌的目的基因；rpoB基因：作为检测和鉴定利福平耐药的目的基因。</w:t>
            </w:r>
          </w:p>
          <w:p>
            <w:pPr>
              <w:pStyle w:val="null3"/>
              <w:jc w:val="left"/>
            </w:pPr>
            <w:r>
              <w:rPr>
                <w:rFonts w:ascii="仿宋_GB2312" w:hAnsi="仿宋_GB2312" w:cs="仿宋_GB2312" w:eastAsia="仿宋_GB2312"/>
              </w:rPr>
              <w:t>4.荧光检测</w:t>
            </w:r>
            <w:r>
              <w:rPr>
                <w:rFonts w:ascii="仿宋_GB2312" w:hAnsi="仿宋_GB2312" w:cs="仿宋_GB2312" w:eastAsia="仿宋_GB2312"/>
              </w:rPr>
              <w:t>通量</w:t>
            </w:r>
            <w:r>
              <w:rPr>
                <w:rFonts w:ascii="仿宋_GB2312" w:hAnsi="仿宋_GB2312" w:cs="仿宋_GB2312" w:eastAsia="仿宋_GB2312"/>
              </w:rPr>
              <w:t>数：</w:t>
            </w:r>
            <w:r>
              <w:rPr>
                <w:rFonts w:ascii="仿宋_GB2312" w:hAnsi="仿宋_GB2312" w:cs="仿宋_GB2312" w:eastAsia="仿宋_GB2312"/>
              </w:rPr>
              <w:t>≥4个。</w:t>
            </w:r>
          </w:p>
          <w:p>
            <w:pPr>
              <w:pStyle w:val="null3"/>
              <w:jc w:val="left"/>
            </w:pPr>
            <w:r>
              <w:rPr>
                <w:rFonts w:ascii="仿宋_GB2312" w:hAnsi="仿宋_GB2312" w:cs="仿宋_GB2312" w:eastAsia="仿宋_GB2312"/>
              </w:rPr>
              <w:t>5.</w:t>
            </w:r>
            <w:r>
              <w:rPr>
                <w:rFonts w:ascii="仿宋_GB2312" w:hAnsi="仿宋_GB2312" w:cs="仿宋_GB2312" w:eastAsia="仿宋_GB2312"/>
                <w:sz w:val="20"/>
              </w:rPr>
              <w:t>核酸提取：采用磁珠法或膜过滤提取技术</w:t>
            </w:r>
            <w:r>
              <w:rPr>
                <w:rFonts w:ascii="仿宋_GB2312" w:hAnsi="仿宋_GB2312" w:cs="仿宋_GB2312" w:eastAsia="仿宋_GB2312"/>
              </w:rPr>
              <w:t>。</w:t>
            </w:r>
          </w:p>
          <w:p>
            <w:pPr>
              <w:pStyle w:val="null3"/>
              <w:jc w:val="left"/>
            </w:pPr>
            <w:r>
              <w:rPr>
                <w:rFonts w:ascii="仿宋_GB2312" w:hAnsi="仿宋_GB2312" w:cs="仿宋_GB2312" w:eastAsia="仿宋_GB2312"/>
                <w:sz w:val="20"/>
              </w:rPr>
              <w:t>▲</w:t>
            </w:r>
            <w:r>
              <w:rPr>
                <w:rFonts w:ascii="仿宋_GB2312" w:hAnsi="仿宋_GB2312" w:cs="仿宋_GB2312" w:eastAsia="仿宋_GB2312"/>
              </w:rPr>
              <w:t>6.检测时间：从样本加入系统至获得检测结果的时间≤120分钟；</w:t>
            </w:r>
          </w:p>
          <w:p>
            <w:pPr>
              <w:pStyle w:val="null3"/>
              <w:jc w:val="left"/>
            </w:pPr>
            <w:r>
              <w:rPr>
                <w:rFonts w:ascii="仿宋_GB2312" w:hAnsi="仿宋_GB2312" w:cs="仿宋_GB2312" w:eastAsia="仿宋_GB2312"/>
              </w:rPr>
              <w:t>7.</w:t>
            </w:r>
            <w:r>
              <w:rPr>
                <w:rFonts w:ascii="仿宋_GB2312" w:hAnsi="仿宋_GB2312" w:cs="仿宋_GB2312" w:eastAsia="仿宋_GB2312"/>
                <w:sz w:val="20"/>
              </w:rPr>
              <w:t>设备集核酸提取、纯化、扩增、结果分析于一体</w:t>
            </w:r>
            <w:r>
              <w:rPr>
                <w:rFonts w:ascii="仿宋_GB2312" w:hAnsi="仿宋_GB2312" w:cs="仿宋_GB2312" w:eastAsia="仿宋_GB2312"/>
              </w:rPr>
              <w:t>。</w:t>
            </w:r>
          </w:p>
          <w:p>
            <w:pPr>
              <w:pStyle w:val="null3"/>
              <w:jc w:val="left"/>
            </w:pPr>
            <w:r>
              <w:rPr>
                <w:rFonts w:ascii="仿宋_GB2312" w:hAnsi="仿宋_GB2312" w:cs="仿宋_GB2312" w:eastAsia="仿宋_GB2312"/>
              </w:rPr>
              <w:t>8.设备采用台式设计。</w:t>
            </w:r>
          </w:p>
          <w:p>
            <w:pPr>
              <w:pStyle w:val="null3"/>
              <w:jc w:val="left"/>
            </w:pPr>
            <w:r>
              <w:rPr>
                <w:rFonts w:ascii="仿宋_GB2312" w:hAnsi="仿宋_GB2312" w:cs="仿宋_GB2312" w:eastAsia="仿宋_GB2312"/>
              </w:rPr>
              <w:t>9.设备可实现单样本检测。</w:t>
            </w:r>
          </w:p>
          <w:p>
            <w:pPr>
              <w:pStyle w:val="null3"/>
              <w:jc w:val="left"/>
            </w:pPr>
            <w:r>
              <w:rPr>
                <w:rFonts w:ascii="仿宋_GB2312" w:hAnsi="仿宋_GB2312" w:cs="仿宋_GB2312" w:eastAsia="仿宋_GB2312"/>
                <w:sz w:val="20"/>
              </w:rPr>
              <w:t>▲</w:t>
            </w:r>
            <w:r>
              <w:rPr>
                <w:rFonts w:ascii="仿宋_GB2312" w:hAnsi="仿宋_GB2312" w:cs="仿宋_GB2312" w:eastAsia="仿宋_GB2312"/>
              </w:rPr>
              <w:t>10.结核分枝杆菌复合群鉴定检测下限：结核分枝杆菌鉴定检测下限≤30个菌/ml。</w:t>
            </w:r>
          </w:p>
          <w:p>
            <w:pPr>
              <w:pStyle w:val="null3"/>
              <w:jc w:val="left"/>
            </w:pPr>
            <w:r>
              <w:rPr>
                <w:rFonts w:ascii="仿宋_GB2312" w:hAnsi="仿宋_GB2312" w:cs="仿宋_GB2312" w:eastAsia="仿宋_GB2312"/>
                <w:sz w:val="20"/>
              </w:rPr>
              <w:t>▲</w:t>
            </w:r>
            <w:r>
              <w:rPr>
                <w:rFonts w:ascii="仿宋_GB2312" w:hAnsi="仿宋_GB2312" w:cs="仿宋_GB2312" w:eastAsia="仿宋_GB2312"/>
              </w:rPr>
              <w:t>11.利福平耐药</w:t>
            </w:r>
            <w:r>
              <w:rPr>
                <w:rFonts w:ascii="仿宋_GB2312" w:hAnsi="仿宋_GB2312" w:cs="仿宋_GB2312" w:eastAsia="仿宋_GB2312"/>
                <w:sz w:val="20"/>
              </w:rPr>
              <w:t>菌</w:t>
            </w:r>
            <w:r>
              <w:rPr>
                <w:rFonts w:ascii="仿宋_GB2312" w:hAnsi="仿宋_GB2312" w:cs="仿宋_GB2312" w:eastAsia="仿宋_GB2312"/>
              </w:rPr>
              <w:t>检测下限：利福平耐药</w:t>
            </w:r>
            <w:r>
              <w:rPr>
                <w:rFonts w:ascii="仿宋_GB2312" w:hAnsi="仿宋_GB2312" w:cs="仿宋_GB2312" w:eastAsia="仿宋_GB2312"/>
                <w:sz w:val="20"/>
              </w:rPr>
              <w:t>菌</w:t>
            </w:r>
            <w:r>
              <w:rPr>
                <w:rFonts w:ascii="仿宋_GB2312" w:hAnsi="仿宋_GB2312" w:cs="仿宋_GB2312" w:eastAsia="仿宋_GB2312"/>
              </w:rPr>
              <w:t>检测下限</w:t>
            </w:r>
            <w:r>
              <w:rPr>
                <w:rFonts w:ascii="仿宋_GB2312" w:hAnsi="仿宋_GB2312" w:cs="仿宋_GB2312" w:eastAsia="仿宋_GB2312"/>
              </w:rPr>
              <w:t>≤</w:t>
            </w:r>
            <w:r>
              <w:rPr>
                <w:rFonts w:ascii="仿宋_GB2312" w:hAnsi="仿宋_GB2312" w:cs="仿宋_GB2312" w:eastAsia="仿宋_GB2312"/>
              </w:rPr>
              <w:t>800</w:t>
            </w:r>
            <w:r>
              <w:rPr>
                <w:rFonts w:ascii="仿宋_GB2312" w:hAnsi="仿宋_GB2312" w:cs="仿宋_GB2312" w:eastAsia="仿宋_GB2312"/>
              </w:rPr>
              <w:t>个菌</w:t>
            </w:r>
            <w:r>
              <w:rPr>
                <w:rFonts w:ascii="仿宋_GB2312" w:hAnsi="仿宋_GB2312" w:cs="仿宋_GB2312" w:eastAsia="仿宋_GB2312"/>
              </w:rPr>
              <w:t>/mL。</w:t>
            </w:r>
          </w:p>
          <w:p>
            <w:pPr>
              <w:pStyle w:val="null3"/>
              <w:jc w:val="left"/>
            </w:pPr>
            <w:r>
              <w:rPr>
                <w:rFonts w:ascii="仿宋_GB2312" w:hAnsi="仿宋_GB2312" w:cs="仿宋_GB2312" w:eastAsia="仿宋_GB2312"/>
                <w:sz w:val="20"/>
              </w:rPr>
              <w:t>▲</w:t>
            </w:r>
            <w:r>
              <w:rPr>
                <w:rFonts w:ascii="仿宋_GB2312" w:hAnsi="仿宋_GB2312" w:cs="仿宋_GB2312" w:eastAsia="仿宋_GB2312"/>
              </w:rPr>
              <w:t>12.样本检测通量：≥4个。</w:t>
            </w:r>
          </w:p>
          <w:p>
            <w:pPr>
              <w:pStyle w:val="null3"/>
              <w:jc w:val="left"/>
            </w:pPr>
            <w:r>
              <w:rPr>
                <w:rFonts w:ascii="仿宋_GB2312" w:hAnsi="仿宋_GB2312" w:cs="仿宋_GB2312" w:eastAsia="仿宋_GB2312"/>
              </w:rPr>
              <w:t>13.升温速率：≥</w:t>
            </w:r>
            <w:r>
              <w:rPr>
                <w:rFonts w:ascii="仿宋_GB2312" w:hAnsi="仿宋_GB2312" w:cs="仿宋_GB2312" w:eastAsia="仿宋_GB2312"/>
              </w:rPr>
              <w:t>3.5</w:t>
            </w:r>
            <w:r>
              <w:rPr>
                <w:rFonts w:ascii="仿宋_GB2312" w:hAnsi="仿宋_GB2312" w:cs="仿宋_GB2312" w:eastAsia="仿宋_GB2312"/>
              </w:rPr>
              <w:t>℃/s。</w:t>
            </w:r>
          </w:p>
          <w:p>
            <w:pPr>
              <w:pStyle w:val="null3"/>
              <w:jc w:val="left"/>
            </w:pPr>
            <w:r>
              <w:rPr>
                <w:rFonts w:ascii="仿宋_GB2312" w:hAnsi="仿宋_GB2312" w:cs="仿宋_GB2312" w:eastAsia="仿宋_GB2312"/>
              </w:rPr>
              <w:t>14.降温速率：≥</w:t>
            </w:r>
            <w:r>
              <w:rPr>
                <w:rFonts w:ascii="仿宋_GB2312" w:hAnsi="仿宋_GB2312" w:cs="仿宋_GB2312" w:eastAsia="仿宋_GB2312"/>
              </w:rPr>
              <w:t>2</w:t>
            </w:r>
            <w:r>
              <w:rPr>
                <w:rFonts w:ascii="仿宋_GB2312" w:hAnsi="仿宋_GB2312" w:cs="仿宋_GB2312" w:eastAsia="仿宋_GB2312"/>
              </w:rPr>
              <w:t>.5℃/s。</w:t>
            </w:r>
          </w:p>
          <w:p>
            <w:pPr>
              <w:pStyle w:val="null3"/>
              <w:jc w:val="left"/>
            </w:pPr>
            <w:r>
              <w:rPr>
                <w:rFonts w:ascii="仿宋_GB2312" w:hAnsi="仿宋_GB2312" w:cs="仿宋_GB2312" w:eastAsia="仿宋_GB2312"/>
              </w:rPr>
              <w:t>15.温度精度：≤</w:t>
            </w:r>
            <w:r>
              <w:rPr>
                <w:rFonts w:ascii="仿宋_GB2312" w:hAnsi="仿宋_GB2312" w:cs="仿宋_GB2312" w:eastAsia="仿宋_GB2312"/>
              </w:rPr>
              <w:t>0.5</w:t>
            </w:r>
            <w:r>
              <w:rPr>
                <w:rFonts w:ascii="仿宋_GB2312" w:hAnsi="仿宋_GB2312" w:cs="仿宋_GB2312" w:eastAsia="仿宋_GB2312"/>
              </w:rPr>
              <w:t>℃。</w:t>
            </w:r>
          </w:p>
          <w:p>
            <w:pPr>
              <w:pStyle w:val="null3"/>
              <w:jc w:val="left"/>
            </w:pPr>
            <w:r>
              <w:rPr>
                <w:rFonts w:ascii="仿宋_GB2312" w:hAnsi="仿宋_GB2312" w:cs="仿宋_GB2312" w:eastAsia="仿宋_GB2312"/>
              </w:rPr>
              <w:t>16.支持连接医院Lis系统。</w:t>
            </w:r>
          </w:p>
          <w:p>
            <w:pPr>
              <w:pStyle w:val="null3"/>
              <w:jc w:val="left"/>
            </w:pPr>
            <w:r>
              <w:rPr>
                <w:rFonts w:ascii="仿宋_GB2312" w:hAnsi="仿宋_GB2312" w:cs="仿宋_GB2312" w:eastAsia="仿宋_GB2312"/>
              </w:rPr>
              <w:t>17.具有自动判定并报告检测结果的功能。</w:t>
            </w:r>
          </w:p>
          <w:p>
            <w:pPr>
              <w:pStyle w:val="null3"/>
            </w:pPr>
            <w:r>
              <w:rPr>
                <w:rFonts w:ascii="仿宋_GB2312" w:hAnsi="仿宋_GB2312" w:cs="仿宋_GB2312" w:eastAsia="仿宋_GB2312"/>
                <w:sz w:val="20"/>
              </w:rPr>
              <w:t>18.设备采用触摸屏（</w:t>
            </w:r>
            <w:r>
              <w:rPr>
                <w:rFonts w:ascii="仿宋_GB2312" w:hAnsi="仿宋_GB2312" w:cs="仿宋_GB2312" w:eastAsia="仿宋_GB2312"/>
                <w:sz w:val="20"/>
              </w:rPr>
              <w:t>≥10.0英寸</w:t>
            </w:r>
            <w:r>
              <w:rPr>
                <w:rFonts w:ascii="仿宋_GB2312" w:hAnsi="仿宋_GB2312" w:cs="仿宋_GB2312" w:eastAsia="仿宋_GB2312"/>
                <w:sz w:val="20"/>
              </w:rPr>
              <w:t>）操作或提供操作电脑，以满足正常工作需求</w:t>
            </w:r>
            <w:r>
              <w:rPr>
                <w:rFonts w:ascii="仿宋_GB2312" w:hAnsi="仿宋_GB2312" w:cs="仿宋_GB2312" w:eastAsia="仿宋_GB2312"/>
                <w:sz w:val="20"/>
              </w:rPr>
              <w:t>。</w:t>
            </w:r>
            <w:r>
              <w:rPr>
                <w:rFonts w:ascii="仿宋_GB2312" w:hAnsi="仿宋_GB2312" w:cs="仿宋_GB2312" w:eastAsia="仿宋_GB2312"/>
                <w:sz w:val="20"/>
              </w:rPr>
              <w:t>电脑配置：主机内存</w:t>
            </w:r>
            <w:r>
              <w:rPr>
                <w:rFonts w:ascii="仿宋_GB2312" w:hAnsi="仿宋_GB2312" w:cs="仿宋_GB2312" w:eastAsia="仿宋_GB2312"/>
                <w:sz w:val="20"/>
              </w:rPr>
              <w:t>≥4GB；硬盘容量≥500GB；显示屏尺寸≥19英寸。</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标的名称：结核分枝杆菌复合群和利福平耐药基因检测仪器（≥2通量）</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0"/>
              </w:rPr>
              <w:t>第三标段</w:t>
            </w:r>
            <w:r>
              <w:rPr>
                <w:rFonts w:ascii="仿宋_GB2312" w:hAnsi="仿宋_GB2312" w:cs="仿宋_GB2312" w:eastAsia="仿宋_GB2312"/>
                <w:sz w:val="20"/>
              </w:rPr>
              <w:t>-结核分枝杆菌复合群和利福平耐药基因检测仪器</w:t>
            </w:r>
            <w:r>
              <w:rPr>
                <w:rFonts w:ascii="仿宋_GB2312" w:hAnsi="仿宋_GB2312" w:cs="仿宋_GB2312" w:eastAsia="仿宋_GB2312"/>
              </w:rPr>
              <w:t>采购</w:t>
            </w:r>
          </w:p>
          <w:p>
            <w:pPr>
              <w:pStyle w:val="null3"/>
              <w:jc w:val="center"/>
            </w:pPr>
            <w:r>
              <w:rPr>
                <w:rFonts w:ascii="仿宋_GB2312" w:hAnsi="仿宋_GB2312" w:cs="仿宋_GB2312" w:eastAsia="仿宋_GB2312"/>
              </w:rPr>
              <w:t>（≥2通量）采购</w:t>
            </w:r>
            <w:r>
              <w:rPr>
                <w:rFonts w:ascii="仿宋_GB2312" w:hAnsi="仿宋_GB2312" w:cs="仿宋_GB2312" w:eastAsia="仿宋_GB2312"/>
              </w:rPr>
              <w:t>58台</w:t>
            </w:r>
          </w:p>
          <w:p>
            <w:pPr>
              <w:pStyle w:val="null3"/>
              <w:jc w:val="left"/>
            </w:pPr>
            <w:r>
              <w:rPr>
                <w:rFonts w:ascii="仿宋_GB2312" w:hAnsi="仿宋_GB2312" w:cs="仿宋_GB2312" w:eastAsia="仿宋_GB2312"/>
                <w:sz w:val="20"/>
              </w:rPr>
              <w:t>1.主要用途：用于结核分枝杆菌复合群检测及利福平耐药基因检测。</w:t>
            </w:r>
          </w:p>
          <w:p>
            <w:pPr>
              <w:pStyle w:val="null3"/>
              <w:jc w:val="left"/>
            </w:pPr>
            <w:r>
              <w:rPr>
                <w:rFonts w:ascii="仿宋_GB2312" w:hAnsi="仿宋_GB2312" w:cs="仿宋_GB2312" w:eastAsia="仿宋_GB2312"/>
                <w:sz w:val="20"/>
              </w:rPr>
              <w:t>2.结核分枝杆菌复合群检测原理：实时荧光定量PCR；利福平耐药基因检测原理：</w:t>
            </w:r>
            <w:r>
              <w:rPr>
                <w:rFonts w:ascii="仿宋_GB2312" w:hAnsi="仿宋_GB2312" w:cs="仿宋_GB2312" w:eastAsia="仿宋_GB2312"/>
                <w:sz w:val="20"/>
              </w:rPr>
              <w:t>熔</w:t>
            </w:r>
            <w:r>
              <w:rPr>
                <w:rFonts w:ascii="仿宋_GB2312" w:hAnsi="仿宋_GB2312" w:cs="仿宋_GB2312" w:eastAsia="仿宋_GB2312"/>
                <w:sz w:val="20"/>
              </w:rPr>
              <w:t>解曲线法。</w:t>
            </w:r>
          </w:p>
          <w:p>
            <w:pPr>
              <w:pStyle w:val="null3"/>
              <w:jc w:val="left"/>
            </w:pPr>
            <w:r>
              <w:rPr>
                <w:rFonts w:ascii="仿宋_GB2312" w:hAnsi="仿宋_GB2312" w:cs="仿宋_GB2312" w:eastAsia="仿宋_GB2312"/>
                <w:sz w:val="20"/>
              </w:rPr>
              <w:t>3.检测目的基因：IS6110作为检测和鉴定结核分枝杆菌的目的基因；rpoB基因：作为检测和鉴定利福平耐药的目的基因。</w:t>
            </w:r>
          </w:p>
          <w:p>
            <w:pPr>
              <w:pStyle w:val="null3"/>
              <w:jc w:val="left"/>
            </w:pPr>
            <w:r>
              <w:rPr>
                <w:rFonts w:ascii="仿宋_GB2312" w:hAnsi="仿宋_GB2312" w:cs="仿宋_GB2312" w:eastAsia="仿宋_GB2312"/>
                <w:sz w:val="20"/>
              </w:rPr>
              <w:t>4.荧光检测</w:t>
            </w:r>
            <w:r>
              <w:rPr>
                <w:rFonts w:ascii="仿宋_GB2312" w:hAnsi="仿宋_GB2312" w:cs="仿宋_GB2312" w:eastAsia="仿宋_GB2312"/>
                <w:sz w:val="20"/>
              </w:rPr>
              <w:t>通量</w:t>
            </w:r>
            <w:r>
              <w:rPr>
                <w:rFonts w:ascii="仿宋_GB2312" w:hAnsi="仿宋_GB2312" w:cs="仿宋_GB2312" w:eastAsia="仿宋_GB2312"/>
                <w:sz w:val="20"/>
              </w:rPr>
              <w:t>数：</w:t>
            </w:r>
            <w:r>
              <w:rPr>
                <w:rFonts w:ascii="仿宋_GB2312" w:hAnsi="仿宋_GB2312" w:cs="仿宋_GB2312" w:eastAsia="仿宋_GB2312"/>
                <w:sz w:val="20"/>
              </w:rPr>
              <w:t>≥4个。</w:t>
            </w:r>
          </w:p>
          <w:p>
            <w:pPr>
              <w:pStyle w:val="null3"/>
              <w:jc w:val="left"/>
            </w:pPr>
            <w:r>
              <w:rPr>
                <w:rFonts w:ascii="仿宋_GB2312" w:hAnsi="仿宋_GB2312" w:cs="仿宋_GB2312" w:eastAsia="仿宋_GB2312"/>
                <w:sz w:val="20"/>
              </w:rPr>
              <w:t>5.核酸提取：采用磁珠法或膜过滤提取技术。</w:t>
            </w:r>
          </w:p>
          <w:p>
            <w:pPr>
              <w:pStyle w:val="null3"/>
              <w:jc w:val="left"/>
            </w:pPr>
            <w:r>
              <w:rPr>
                <w:rFonts w:ascii="仿宋_GB2312" w:hAnsi="仿宋_GB2312" w:cs="仿宋_GB2312" w:eastAsia="仿宋_GB2312"/>
                <w:sz w:val="20"/>
              </w:rPr>
              <w:t>▲6.检测时间：从样本加入系统至获得检测结果的时间≤120分钟；</w:t>
            </w:r>
          </w:p>
          <w:p>
            <w:pPr>
              <w:pStyle w:val="null3"/>
              <w:jc w:val="left"/>
            </w:pPr>
            <w:r>
              <w:rPr>
                <w:rFonts w:ascii="仿宋_GB2312" w:hAnsi="仿宋_GB2312" w:cs="仿宋_GB2312" w:eastAsia="仿宋_GB2312"/>
                <w:sz w:val="20"/>
              </w:rPr>
              <w:t>7.设备集核酸提取、纯化、扩增、结果分析于一体</w:t>
            </w:r>
            <w:r>
              <w:rPr>
                <w:rFonts w:ascii="仿宋_GB2312" w:hAnsi="仿宋_GB2312" w:cs="仿宋_GB2312" w:eastAsia="仿宋_GB2312"/>
              </w:rPr>
              <w:t>。</w:t>
            </w:r>
          </w:p>
          <w:p>
            <w:pPr>
              <w:pStyle w:val="null3"/>
              <w:jc w:val="left"/>
            </w:pPr>
            <w:r>
              <w:rPr>
                <w:rFonts w:ascii="仿宋_GB2312" w:hAnsi="仿宋_GB2312" w:cs="仿宋_GB2312" w:eastAsia="仿宋_GB2312"/>
                <w:sz w:val="20"/>
              </w:rPr>
              <w:t>8.设备采用台式设计。</w:t>
            </w:r>
          </w:p>
          <w:p>
            <w:pPr>
              <w:pStyle w:val="null3"/>
              <w:jc w:val="left"/>
            </w:pPr>
            <w:r>
              <w:rPr>
                <w:rFonts w:ascii="仿宋_GB2312" w:hAnsi="仿宋_GB2312" w:cs="仿宋_GB2312" w:eastAsia="仿宋_GB2312"/>
                <w:sz w:val="20"/>
              </w:rPr>
              <w:t>9.设备可实现单样本检测。</w:t>
            </w:r>
          </w:p>
          <w:p>
            <w:pPr>
              <w:pStyle w:val="null3"/>
              <w:jc w:val="left"/>
            </w:pPr>
            <w:r>
              <w:rPr>
                <w:rFonts w:ascii="仿宋_GB2312" w:hAnsi="仿宋_GB2312" w:cs="仿宋_GB2312" w:eastAsia="仿宋_GB2312"/>
                <w:sz w:val="20"/>
              </w:rPr>
              <w:t>▲10.结核分枝杆菌复合群鉴定检测下限：结核分枝杆菌鉴定检测下限≤</w:t>
            </w:r>
            <w:r>
              <w:rPr>
                <w:rFonts w:ascii="仿宋_GB2312" w:hAnsi="仿宋_GB2312" w:cs="仿宋_GB2312" w:eastAsia="仿宋_GB2312"/>
                <w:sz w:val="20"/>
              </w:rPr>
              <w:t>30</w:t>
            </w:r>
            <w:r>
              <w:rPr>
                <w:rFonts w:ascii="仿宋_GB2312" w:hAnsi="仿宋_GB2312" w:cs="仿宋_GB2312" w:eastAsia="仿宋_GB2312"/>
                <w:sz w:val="20"/>
              </w:rPr>
              <w:t>个菌</w:t>
            </w:r>
            <w:r>
              <w:rPr>
                <w:rFonts w:ascii="仿宋_GB2312" w:hAnsi="仿宋_GB2312" w:cs="仿宋_GB2312" w:eastAsia="仿宋_GB2312"/>
                <w:sz w:val="20"/>
              </w:rPr>
              <w:t>/ml。</w:t>
            </w:r>
          </w:p>
          <w:p>
            <w:pPr>
              <w:pStyle w:val="null3"/>
              <w:jc w:val="left"/>
            </w:pPr>
            <w:r>
              <w:rPr>
                <w:rFonts w:ascii="仿宋_GB2312" w:hAnsi="仿宋_GB2312" w:cs="仿宋_GB2312" w:eastAsia="仿宋_GB2312"/>
                <w:sz w:val="20"/>
              </w:rPr>
              <w:t>▲11.利福平耐药</w:t>
            </w:r>
            <w:r>
              <w:rPr>
                <w:rFonts w:ascii="仿宋_GB2312" w:hAnsi="仿宋_GB2312" w:cs="仿宋_GB2312" w:eastAsia="仿宋_GB2312"/>
                <w:sz w:val="20"/>
              </w:rPr>
              <w:t>菌</w:t>
            </w:r>
            <w:r>
              <w:rPr>
                <w:rFonts w:ascii="仿宋_GB2312" w:hAnsi="仿宋_GB2312" w:cs="仿宋_GB2312" w:eastAsia="仿宋_GB2312"/>
                <w:sz w:val="20"/>
              </w:rPr>
              <w:t>检测下限：利福平耐药</w:t>
            </w:r>
            <w:r>
              <w:rPr>
                <w:rFonts w:ascii="仿宋_GB2312" w:hAnsi="仿宋_GB2312" w:cs="仿宋_GB2312" w:eastAsia="仿宋_GB2312"/>
                <w:sz w:val="20"/>
              </w:rPr>
              <w:t>菌</w:t>
            </w:r>
            <w:r>
              <w:rPr>
                <w:rFonts w:ascii="仿宋_GB2312" w:hAnsi="仿宋_GB2312" w:cs="仿宋_GB2312" w:eastAsia="仿宋_GB2312"/>
                <w:sz w:val="20"/>
              </w:rPr>
              <w:t>检测下限</w:t>
            </w:r>
            <w:r>
              <w:rPr>
                <w:rFonts w:ascii="仿宋_GB2312" w:hAnsi="仿宋_GB2312" w:cs="仿宋_GB2312" w:eastAsia="仿宋_GB2312"/>
                <w:sz w:val="20"/>
              </w:rPr>
              <w:t>≤</w:t>
            </w:r>
            <w:r>
              <w:rPr>
                <w:rFonts w:ascii="仿宋_GB2312" w:hAnsi="仿宋_GB2312" w:cs="仿宋_GB2312" w:eastAsia="仿宋_GB2312"/>
                <w:sz w:val="20"/>
              </w:rPr>
              <w:t>800</w:t>
            </w:r>
            <w:r>
              <w:rPr>
                <w:rFonts w:ascii="仿宋_GB2312" w:hAnsi="仿宋_GB2312" w:cs="仿宋_GB2312" w:eastAsia="仿宋_GB2312"/>
                <w:sz w:val="20"/>
              </w:rPr>
              <w:t>个菌</w:t>
            </w:r>
            <w:r>
              <w:rPr>
                <w:rFonts w:ascii="仿宋_GB2312" w:hAnsi="仿宋_GB2312" w:cs="仿宋_GB2312" w:eastAsia="仿宋_GB2312"/>
                <w:sz w:val="20"/>
              </w:rPr>
              <w:t>/mL。</w:t>
            </w:r>
          </w:p>
          <w:p>
            <w:pPr>
              <w:pStyle w:val="null3"/>
              <w:jc w:val="left"/>
            </w:pPr>
            <w:r>
              <w:rPr>
                <w:rFonts w:ascii="仿宋_GB2312" w:hAnsi="仿宋_GB2312" w:cs="仿宋_GB2312" w:eastAsia="仿宋_GB2312"/>
                <w:sz w:val="20"/>
              </w:rPr>
              <w:t>▲12.样本检测通量：≥2个。</w:t>
            </w:r>
          </w:p>
          <w:p>
            <w:pPr>
              <w:pStyle w:val="null3"/>
              <w:jc w:val="left"/>
            </w:pPr>
            <w:r>
              <w:rPr>
                <w:rFonts w:ascii="仿宋_GB2312" w:hAnsi="仿宋_GB2312" w:cs="仿宋_GB2312" w:eastAsia="仿宋_GB2312"/>
                <w:sz w:val="20"/>
              </w:rPr>
              <w:t>13.升温速率：≥</w:t>
            </w:r>
            <w:r>
              <w:rPr>
                <w:rFonts w:ascii="仿宋_GB2312" w:hAnsi="仿宋_GB2312" w:cs="仿宋_GB2312" w:eastAsia="仿宋_GB2312"/>
                <w:sz w:val="20"/>
              </w:rPr>
              <w:t>3.5</w:t>
            </w:r>
            <w:r>
              <w:rPr>
                <w:rFonts w:ascii="仿宋_GB2312" w:hAnsi="仿宋_GB2312" w:cs="仿宋_GB2312" w:eastAsia="仿宋_GB2312"/>
                <w:sz w:val="20"/>
              </w:rPr>
              <w:t>℃/s。</w:t>
            </w:r>
          </w:p>
          <w:p>
            <w:pPr>
              <w:pStyle w:val="null3"/>
              <w:jc w:val="left"/>
            </w:pPr>
            <w:r>
              <w:rPr>
                <w:rFonts w:ascii="仿宋_GB2312" w:hAnsi="仿宋_GB2312" w:cs="仿宋_GB2312" w:eastAsia="仿宋_GB2312"/>
                <w:sz w:val="20"/>
              </w:rPr>
              <w:t>14.降温速率：≥</w:t>
            </w:r>
            <w:r>
              <w:rPr>
                <w:rFonts w:ascii="仿宋_GB2312" w:hAnsi="仿宋_GB2312" w:cs="仿宋_GB2312" w:eastAsia="仿宋_GB2312"/>
                <w:sz w:val="20"/>
              </w:rPr>
              <w:t>2</w:t>
            </w:r>
            <w:r>
              <w:rPr>
                <w:rFonts w:ascii="仿宋_GB2312" w:hAnsi="仿宋_GB2312" w:cs="仿宋_GB2312" w:eastAsia="仿宋_GB2312"/>
                <w:sz w:val="20"/>
              </w:rPr>
              <w:t>.5℃/s。</w:t>
            </w:r>
          </w:p>
          <w:p>
            <w:pPr>
              <w:pStyle w:val="null3"/>
              <w:jc w:val="left"/>
            </w:pPr>
            <w:r>
              <w:rPr>
                <w:rFonts w:ascii="仿宋_GB2312" w:hAnsi="仿宋_GB2312" w:cs="仿宋_GB2312" w:eastAsia="仿宋_GB2312"/>
                <w:sz w:val="20"/>
              </w:rPr>
              <w:t>15.温度精度：≤</w:t>
            </w:r>
            <w:r>
              <w:rPr>
                <w:rFonts w:ascii="仿宋_GB2312" w:hAnsi="仿宋_GB2312" w:cs="仿宋_GB2312" w:eastAsia="仿宋_GB2312"/>
                <w:sz w:val="20"/>
              </w:rPr>
              <w:t>0.5</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16.支持连接医院Lis系统。</w:t>
            </w:r>
          </w:p>
          <w:p>
            <w:pPr>
              <w:pStyle w:val="null3"/>
              <w:jc w:val="left"/>
            </w:pPr>
            <w:r>
              <w:rPr>
                <w:rFonts w:ascii="仿宋_GB2312" w:hAnsi="仿宋_GB2312" w:cs="仿宋_GB2312" w:eastAsia="仿宋_GB2312"/>
                <w:sz w:val="20"/>
              </w:rPr>
              <w:t>17.具有自动判定并报告检测结果的功能。</w:t>
            </w:r>
          </w:p>
          <w:p>
            <w:pPr>
              <w:pStyle w:val="null3"/>
            </w:pPr>
            <w:r>
              <w:rPr>
                <w:rFonts w:ascii="仿宋_GB2312" w:hAnsi="仿宋_GB2312" w:cs="仿宋_GB2312" w:eastAsia="仿宋_GB2312"/>
                <w:sz w:val="20"/>
              </w:rPr>
              <w:t>18.</w:t>
            </w:r>
            <w:r>
              <w:rPr>
                <w:rFonts w:ascii="仿宋_GB2312" w:hAnsi="仿宋_GB2312" w:cs="仿宋_GB2312" w:eastAsia="仿宋_GB2312"/>
                <w:sz w:val="20"/>
              </w:rPr>
              <w:t>设备采用触摸屏（</w:t>
            </w:r>
            <w:r>
              <w:rPr>
                <w:rFonts w:ascii="仿宋_GB2312" w:hAnsi="仿宋_GB2312" w:cs="仿宋_GB2312" w:eastAsia="仿宋_GB2312"/>
                <w:sz w:val="20"/>
              </w:rPr>
              <w:t>≥10.0英寸</w:t>
            </w:r>
            <w:r>
              <w:rPr>
                <w:rFonts w:ascii="仿宋_GB2312" w:hAnsi="仿宋_GB2312" w:cs="仿宋_GB2312" w:eastAsia="仿宋_GB2312"/>
                <w:sz w:val="20"/>
              </w:rPr>
              <w:t>）操作或提供操作电脑，以满足正常工作需求</w:t>
            </w:r>
            <w:r>
              <w:rPr>
                <w:rFonts w:ascii="仿宋_GB2312" w:hAnsi="仿宋_GB2312" w:cs="仿宋_GB2312" w:eastAsia="仿宋_GB2312"/>
                <w:sz w:val="20"/>
              </w:rPr>
              <w:t>。</w:t>
            </w:r>
            <w:r>
              <w:rPr>
                <w:rFonts w:ascii="仿宋_GB2312" w:hAnsi="仿宋_GB2312" w:cs="仿宋_GB2312" w:eastAsia="仿宋_GB2312"/>
                <w:sz w:val="20"/>
              </w:rPr>
              <w:t>电脑配置：主机内存</w:t>
            </w:r>
            <w:r>
              <w:rPr>
                <w:rFonts w:ascii="仿宋_GB2312" w:hAnsi="仿宋_GB2312" w:cs="仿宋_GB2312" w:eastAsia="仿宋_GB2312"/>
                <w:sz w:val="20"/>
              </w:rPr>
              <w:t>≥4GB；硬盘容量≥500GB；显示屏尺寸≥19英寸。</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合同签订之日起30天内交货。</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合同签订之日起30天内交货。</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合同签订之日起30天内交货。</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采购人指定地点（具体地点见附件）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采购人指定地点（具体地点见附件）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采购人指定地点（具体地点见附件）</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预付款，合同签订后15天内，乙方向甲方缴纳合同总额5%的履约保证金；合同签订后，达到付款条件起20个工作日内，支付合同总金额的40.0%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进度款，所有产品验收合格后，达到付款条件起20个工作日内，支付合同总金额的60.0%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预付款，合同签订后15天内，乙方向甲方缴纳合同总额5%的履约保证金；合同签订后，达到付款条件起20个工作日内，支付合同总金额的40.0%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进度款，所有产品验收合格后，达到付款条件起20个工作日内，支付合同总金额的60.0%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预付款，合同签订后15天内，乙方向甲方缴纳合同总额5%的履约保证金；合同签订后，达到付款条件起20个工作日内，支付合同总金额的40.0%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进度款，所有产品验收合格后，达到付款条件起20个工作日内，支付合同总金额的60.0%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详见拟签订的合同文本</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详见拟签订的合同文本</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详见拟签订的合同文本</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1.合同签订后15天内，乙方向甲方缴纳合同总额5%的履约保证金。履约保证金在质保期满且经甲方最终验收合格后20个工作日内无息返还乙方。 2.本次仅采购设备，不包含配套试剂。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1.法人或者其他组织、自然人的营业执照等证明文件 （1）投标人是企业（包括合伙企业）的，应提供其在市场监督管理部门注册的有效“营业执照 ”的复印件； （2）投标人是事业单位的，应提供其有效的“事业单位法人证书”复印件； （3）投标人是非企业专业服务机构的，应提供其有效的“执业许可证”复印件； （4）投标人是民办非企业单位的，应提供其有效的登记证书复印件； （5）投标人是个体工商户的，应提供其有效的“营业执照”复印件； （6）投标人是自然人的，应提供其有效的自然人身份证明复印件。 2.依法缴纳税收的相关材料 （1）投标人应提供投标截止时间前近六个月中任何一个月缴税凭证，时间以税款所属时期为准（银行出具的缴税凭证或税务机关出具的证明的复印件，并加盖本单位公章）。 （2）缴纳凭证复印件须清晰可辨，并能显示出投标人名称和所缴纳税种种类，单位代扣代缴的个人所得税不能作为单位纳税的凭证。 （3）依法免税或无须缴纳税收的投标人，应提供相应文件证明。 3.依法缴纳社会保障资金的相关材料 （1）投标人应提供投标截止时间前近六个月中至少一个月的缴纳社会保险的凭据（专用收据或社会保险缴纳清单），并加盖本单位公章。 （2）凭证复印件须清晰可辨，并能显示出投标人名称和所缴纳的社保的种类。 （3）依法不需要缴纳社会保障资金的，应提供相应证明文件，并加盖本单位公章。 4.具备履行合同所必需的设备和专业技术能力的证明材料； 5.参加政府采购活动前3年内在经营活动中没有重大违法记录的书面声明。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财务状况报告：提供形式（1）或提供形式（2）。 （1）提供2024或2025年度经审计的财务报告，应满足以下要求： ①投标人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 ②投标人适用《事业单位会计准则》的，财务报告是指上述指定年度整个会计年度财务报表（不要求必须是经审计的），复印件至少须包括资产负债表、收入支出表（或收入费用表）、财政补助收入支出表。 ③投标人适用《政府会计准则》的，财务报告是指上述指定年度整个会计年度财务报表（不要求必须是经审计的），复印件至少须包括资产负债表、收入费用表。 ④投标人适用《民间非营利组织会计制度》的，财务报告是指上述指定年度整个会计年度财务报表（不要求必须是经审计的），复印件至少须包括资产负债表、业务活动表、现金流量表。 ⑤投标人是上述四种情况以外情况的，按照其依法适用的会计制度、财务规则或会计准则提供财务报表复印件（不要求必须是经审计的）。 （2）提供资信证明原件或复印件，应满足以下要求： ①资信证明须为递交投标文件截止时间前三个月内由投标人基本账户开户银行出具。 ②无论开具银行是否标明“复印无效”，投标人提供的复印件在本次投标中予以认可（即不因“复印无效”字样而认定资信证明复印件无效）。 ③银行出具的存款证明不能替代银行资信证明。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投标函 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1.法人或者其他组织、自然人的营业执照等证明文件 （1）投标人是企业（包括合伙企业）的，应提供其在市场监督管理部门注册的有效“营业执照 ”的复印件； （2）投标人是事业单位的，应提供其有效的“事业单位法人证书”复印件； （3）投标人是非企业专业服务机构的，应提供其有效的“执业许可证”复印件； （4）投标人是民办非企业单位的，应提供其有效的登记证书复印件； （5）投标人是个体工商户的，应提供其有效的“营业执照”复印件； （6）投标人是自然人的，应提供其有效的自然人身份证明复印件。 2.依法缴纳税收的相关材料 （1）投标人应提供投标截止时间前近六个月中任何一个月缴税凭证，时间以税款所属时期为准（银行出具的缴税凭证或税务机关出具的证明的复印件，并加盖本单位公章）。 （2）缴纳凭证复印件须清晰可辨，并能显示出投标人名称和所缴纳税种种类，单位代扣代缴的个人所得税不能作为单位纳税的凭证。 （3）依法免税或无须缴纳税收的投标人，应提供相应文件证明。 3.依法缴纳社会保障资金的相关材料 （1）投标人应提供投标截止时间前近六个月中至少一个月的缴纳社会保险的凭据（专用收据或社会保险缴纳清单），并加盖本单位公章。 （2）凭证复印件须清晰可辨，并能显示出投标人名称和所缴纳的社保的种类。 （3）依法不需要缴纳社会保障资金的，应提供相应证明文件，并加盖本单位公章。 4.具备履行合同所必需的设备和专业技术能力的证明材料； 5.参加政府采购活动前3年内在经营活动中没有重大违法记录的书面声明。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财务状况报告：提供形式（1）或提供形式（2）。 （1）提供2024或2025年度经审计的财务报告，应满足以下要求： ①投标人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 ②投标人适用《事业单位会计准则》的，财务报告是指上述指定年度整个会计年度财务报表（不要求必须是经审计的），复印件至少须包括资产负债表、收入支出表（或收入费用表）、财政补助收入支出表。 ③投标人适用《政府会计准则》的，财务报告是指上述指定年度整个会计年度财务报表（不要求必须是经审计的），复印件至少须包括资产负债表、收入费用表。 ④投标人适用《民间非营利组织会计制度》的，财务报告是指上述指定年度整个会计年度财务报表（不要求必须是经审计的），复印件至少须包括资产负债表、业务活动表、现金流量表。 ⑤投标人是上述四种情况以外情况的，按照其依法适用的会计制度、财务规则或会计准则提供财务报表复印件（不要求必须是经审计的）。 （2）提供资信证明原件或复印件，应满足以下要求： ①资信证明须为递交投标文件截止时间前三个月内由投标人基本账户开户银行出具。 ②无论开具银行是否标明“复印无效”，投标人提供的复印件在本次投标中予以认可（即不因“复印无效”字样而认定资信证明复印件无效）。 ③银行出具的存款证明不能替代银行资信证明。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投标函 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1.法人或者其他组织、自然人的营业执照等证明文件 （1）投标人是企业（包括合伙企业）的，应提供其在市场监督管理部门注册的有效“营业执照 ”的复印件； （2）投标人是事业单位的，应提供其有效的“事业单位法人证书”复印件； （3）投标人是非企业专业服务机构的，应提供其有效的“执业许可证”复印件； （4）投标人是民办非企业单位的，应提供其有效的登记证书复印件； （5）投标人是个体工商户的，应提供其有效的“营业执照”复印件； （6）投标人是自然人的，应提供其有效的自然人身份证明复印件。 2.依法缴纳税收的相关材料 （1）投标人应提供投标截止时间前近六个月中任何一个月缴税凭证，时间以税款所属时期为准（银行出具的缴税凭证或税务机关出具的证明的复印件，并加盖本单位公章）。 （2）缴纳凭证复印件须清晰可辨，并能显示出投标人名称和所缴纳税种种类，单位代扣代缴的个人所得税不能作为单位纳税的凭证。 （3）依法免税或无须缴纳税收的投标人，应提供相应文件证明。 3.依法缴纳社会保障资金的相关材料 （1）投标人应提供投标截止时间前近六个月中至少一个月的缴纳社会保险的凭据（专用收据或社会保险缴纳清单），并加盖本单位公章。 （2）凭证复印件须清晰可辨，并能显示出投标人名称和所缴纳的社保的种类。 （3）依法不需要缴纳社会保障资金的，应提供相应证明文件，并加盖本单位公章。 4.具备履行合同所必需的设备和专业技术能力的证明材料； 5.参加政府采购活动前3年内在经营活动中没有重大违法记录的书面声明。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财务状况报告：提供形式（1）或提供形式（2）。 （1）提供2024或2025年度经审计的财务报告，应满足以下要求： ①投标人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 ②投标人适用《事业单位会计准则》的，财务报告是指上述指定年度整个会计年度财务报表（不要求必须是经审计的），复印件至少须包括资产负债表、收入支出表（或收入费用表）、财政补助收入支出表。 ③投标人适用《政府会计准则》的，财务报告是指上述指定年度整个会计年度财务报表（不要求必须是经审计的），复印件至少须包括资产负债表、收入费用表。 ④投标人适用《民间非营利组织会计制度》的，财务报告是指上述指定年度整个会计年度财务报表（不要求必须是经审计的），复印件至少须包括资产负债表、业务活动表、现金流量表。 ⑤投标人是上述四种情况以外情况的，按照其依法适用的会计制度、财务规则或会计准则提供财务报表复印件（不要求必须是经审计的）。 （2）提供资信证明原件或复印件，应满足以下要求： ①资信证明须为递交投标文件截止时间前三个月内由投标人基本账户开户银行出具。 ②无论开具银行是否标明“复印无效”，投标人提供的复印件在本次投标中予以认可（即不因“复印无效”字样而认定资信证明复印件无效）。 ③银行出具的存款证明不能替代银行资信证明。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投标函 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法人授权书</w:t>
            </w:r>
          </w:p>
        </w:tc>
        <w:tc>
          <w:tcPr>
            <w:tcW w:type="dxa" w:w="3322"/>
          </w:tcPr>
          <w:p>
            <w:pPr>
              <w:pStyle w:val="null3"/>
            </w:pPr>
            <w:r>
              <w:rPr>
                <w:rFonts w:ascii="仿宋_GB2312" w:hAnsi="仿宋_GB2312" w:cs="仿宋_GB2312" w:eastAsia="仿宋_GB2312"/>
              </w:rPr>
              <w:t>投标人参加本项目的合法授权人授权委托书； 投标人应授权合法的人员参加投标全过程，其中法定代表人直接参加投标的，须出具法人身份证，并与营业执照上信息一致。法定代表人授权代表参加投标的，须出具法定代表人授权书及授权代表身份证、授权代表本单位证明（提供授权代表在本单位养老保险缴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投标人在递交投标文件截止时间前被“中国执行信息公开网（http://zxgk.court.gov.cn/shixin/）”列入失信被执行人、被“信用中国”网站（www.creditchina.gov.cn）列入重大税收违法失信主体、政府采购严重违法失信行为记录名单、被“中国政府采购网”网址（www.ccgp.gov.cn）上列入政府采购严重违法失信行为信息记录的，不得参加投标</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投标人资质</w:t>
            </w:r>
          </w:p>
        </w:tc>
        <w:tc>
          <w:tcPr>
            <w:tcW w:type="dxa" w:w="3322"/>
          </w:tcPr>
          <w:p>
            <w:pPr>
              <w:pStyle w:val="null3"/>
            </w:pPr>
            <w:r>
              <w:rPr>
                <w:rFonts w:ascii="仿宋_GB2312" w:hAnsi="仿宋_GB2312" w:cs="仿宋_GB2312" w:eastAsia="仿宋_GB2312"/>
              </w:rPr>
              <w:t>投标人为经销商的：若投标产品属于第二类医疗器械管理的，应具有第二类医疗器械经营备案凭证（须在其经营范围内）；若投标产品属于第三类医疗器械管理的，应具有医疗器械经营许可证（须在其经营范围内）。投标人为制造厂家的：应具有医疗器械生产许可证（投标产品须在其生产范围内），且具有本条前述要求的相关医疗器械经营资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投标产品医疗器械注册证</w:t>
            </w:r>
          </w:p>
        </w:tc>
        <w:tc>
          <w:tcPr>
            <w:tcW w:type="dxa" w:w="3322"/>
          </w:tcPr>
          <w:p>
            <w:pPr>
              <w:pStyle w:val="null3"/>
            </w:pPr>
            <w:r>
              <w:rPr>
                <w:rFonts w:ascii="仿宋_GB2312" w:hAnsi="仿宋_GB2312" w:cs="仿宋_GB2312" w:eastAsia="仿宋_GB2312"/>
              </w:rPr>
              <w:t>投标产品属于医疗器械管理范围的须提供医疗器械注册证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投标人不得存在下列情形</w:t>
            </w:r>
          </w:p>
        </w:tc>
        <w:tc>
          <w:tcPr>
            <w:tcW w:type="dxa" w:w="3322"/>
          </w:tcPr>
          <w:p>
            <w:pPr>
              <w:pStyle w:val="null3"/>
            </w:pPr>
            <w:r>
              <w:rPr>
                <w:rFonts w:ascii="仿宋_GB2312" w:hAnsi="仿宋_GB2312" w:cs="仿宋_GB2312" w:eastAsia="仿宋_GB2312"/>
              </w:rPr>
              <w:t>投标人不得存在下列情形之一：（1）单位负责人为同一人或者存在直接控股、管理关系的不同投标人，不得参加本次采购活动； （2）为本项目提供整体设计、规范编制或者项目管理、监理、检测等服务的投标人，不得再参加本项目的采购活动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投标人获取招标文件登记备案</w:t>
            </w:r>
          </w:p>
        </w:tc>
        <w:tc>
          <w:tcPr>
            <w:tcW w:type="dxa" w:w="3322"/>
          </w:tcPr>
          <w:p>
            <w:pPr>
              <w:pStyle w:val="null3"/>
            </w:pPr>
            <w:r>
              <w:rPr>
                <w:rFonts w:ascii="仿宋_GB2312" w:hAnsi="仿宋_GB2312" w:cs="仿宋_GB2312" w:eastAsia="仿宋_GB2312"/>
              </w:rPr>
              <w:t>需按照招标公告要求的方式获取招标文件并登记备案，未按招标公告要求的方式获取招标文件并登记备案的投标人均无资格参加投标</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法人授权书</w:t>
            </w:r>
          </w:p>
        </w:tc>
        <w:tc>
          <w:tcPr>
            <w:tcW w:type="dxa" w:w="3322"/>
          </w:tcPr>
          <w:p>
            <w:pPr>
              <w:pStyle w:val="null3"/>
            </w:pPr>
            <w:r>
              <w:rPr>
                <w:rFonts w:ascii="仿宋_GB2312" w:hAnsi="仿宋_GB2312" w:cs="仿宋_GB2312" w:eastAsia="仿宋_GB2312"/>
              </w:rPr>
              <w:t>投标人参加本项目的合法授权人授权委托书； 投标人应授权合法的人员参加投标全过程，其中法定代表人直接参加投标的，须出具法人身份证，并与营业执照上信息一致。法定代表人授权代表参加投标的，须出具法定代表人授权书及授权代表身份证、授权代表本单位证明（提供授权代表在本单位养老保险缴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投标人在递交投标文件截止时间前被“中国执行信息公开网（http://zxgk.court.gov.cn/shixin/）”列入失信被执行人、被“信用中国”网站（www.creditchina.gov.cn）列入重大税收违法失信主体、政府采购严重违法失信行为记录名单、被“中国政府采购网”网址（www.ccgp.gov.cn）上列入政府采购严重违法失信行为信息记录的，不得参加投标</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投标人资质</w:t>
            </w:r>
          </w:p>
        </w:tc>
        <w:tc>
          <w:tcPr>
            <w:tcW w:type="dxa" w:w="3322"/>
          </w:tcPr>
          <w:p>
            <w:pPr>
              <w:pStyle w:val="null3"/>
            </w:pPr>
            <w:r>
              <w:rPr>
                <w:rFonts w:ascii="仿宋_GB2312" w:hAnsi="仿宋_GB2312" w:cs="仿宋_GB2312" w:eastAsia="仿宋_GB2312"/>
              </w:rPr>
              <w:t>投标人为经销商的：若投标产品属于第二类医疗器械管理的，应具有第二类医疗器械经营备案凭证（须在其经营范围内）；若投标产品属于第三类医疗器械管理的，应具有医疗器械经营许可证（须在其经营范围内）。投标人为制造厂家的：应具有医疗器械生产许可证（投标产品须在其生产范围内），且具有本条前述要求的相关医疗器械经营资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投标产品医疗器械注册证</w:t>
            </w:r>
          </w:p>
        </w:tc>
        <w:tc>
          <w:tcPr>
            <w:tcW w:type="dxa" w:w="3322"/>
          </w:tcPr>
          <w:p>
            <w:pPr>
              <w:pStyle w:val="null3"/>
            </w:pPr>
            <w:r>
              <w:rPr>
                <w:rFonts w:ascii="仿宋_GB2312" w:hAnsi="仿宋_GB2312" w:cs="仿宋_GB2312" w:eastAsia="仿宋_GB2312"/>
              </w:rPr>
              <w:t>投标产品属于医疗器械管理范围的须提供医疗器械注册证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投标人不得存在下列情形</w:t>
            </w:r>
          </w:p>
        </w:tc>
        <w:tc>
          <w:tcPr>
            <w:tcW w:type="dxa" w:w="3322"/>
          </w:tcPr>
          <w:p>
            <w:pPr>
              <w:pStyle w:val="null3"/>
            </w:pPr>
            <w:r>
              <w:rPr>
                <w:rFonts w:ascii="仿宋_GB2312" w:hAnsi="仿宋_GB2312" w:cs="仿宋_GB2312" w:eastAsia="仿宋_GB2312"/>
              </w:rPr>
              <w:t>投标人不得存在下列情形之一：（1）单位负责人为同一人或者存在直接控股、管理关系的不同投标人，不得参加本次采购活动； （2）为本项目提供整体设计、规范编制或者项目管理、监理、检测等服务的投标人，不得再参加本项目的采购活动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投标人获取招标文件登记备案</w:t>
            </w:r>
          </w:p>
        </w:tc>
        <w:tc>
          <w:tcPr>
            <w:tcW w:type="dxa" w:w="3322"/>
          </w:tcPr>
          <w:p>
            <w:pPr>
              <w:pStyle w:val="null3"/>
            </w:pPr>
            <w:r>
              <w:rPr>
                <w:rFonts w:ascii="仿宋_GB2312" w:hAnsi="仿宋_GB2312" w:cs="仿宋_GB2312" w:eastAsia="仿宋_GB2312"/>
              </w:rPr>
              <w:t>需按照招标公告要求的方式获取招标文件并登记备案，未按招标公告要求的方式获取招标文件并登记备案的投标人均无资格参加投标</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法人授权书</w:t>
            </w:r>
          </w:p>
        </w:tc>
        <w:tc>
          <w:tcPr>
            <w:tcW w:type="dxa" w:w="3322"/>
          </w:tcPr>
          <w:p>
            <w:pPr>
              <w:pStyle w:val="null3"/>
            </w:pPr>
            <w:r>
              <w:rPr>
                <w:rFonts w:ascii="仿宋_GB2312" w:hAnsi="仿宋_GB2312" w:cs="仿宋_GB2312" w:eastAsia="仿宋_GB2312"/>
              </w:rPr>
              <w:t>投标人参加本项目的合法授权人授权委托书； 投标人应授权合法的人员参加投标全过程，其中法定代表人直接参加投标的，须出具法人身份证，并与营业执照上信息一致。法定代表人授权代表参加投标的，须出具法定代表人授权书及授权代表身份证、授权代表本单位证明（提供授权代表在本单位养老保险缴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投标人在递交投标文件截止时间前被“中国执行信息公开网（http://zxgk.court.gov.cn/shixin/）”列入失信被执行人、被“信用中国”网站（www.creditchina.gov.cn）列入重大税收违法失信主体、政府采购严重违法失信行为记录名单、被“中国政府采购网”网址（www.ccgp.gov.cn）上列入政府采购严重违法失信行为信息记录的，不得参加投标</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投标人资质</w:t>
            </w:r>
          </w:p>
        </w:tc>
        <w:tc>
          <w:tcPr>
            <w:tcW w:type="dxa" w:w="3322"/>
          </w:tcPr>
          <w:p>
            <w:pPr>
              <w:pStyle w:val="null3"/>
            </w:pPr>
            <w:r>
              <w:rPr>
                <w:rFonts w:ascii="仿宋_GB2312" w:hAnsi="仿宋_GB2312" w:cs="仿宋_GB2312" w:eastAsia="仿宋_GB2312"/>
              </w:rPr>
              <w:t>投标人为经销商的：若投标产品属于第二类医疗器械管理的，应具有第二类医疗器械经营备案凭证（须在其经营范围内）；若投标产品属于第三类医疗器械管理的，应具有医疗器械经营许可证（须在其经营范围内）。投标人为制造厂家的：应具有医疗器械生产许可证（投标产品须在其生产范围内），且具有本条前述要求的相关医疗器械经营资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投标产品医疗器械注册证</w:t>
            </w:r>
          </w:p>
        </w:tc>
        <w:tc>
          <w:tcPr>
            <w:tcW w:type="dxa" w:w="3322"/>
          </w:tcPr>
          <w:p>
            <w:pPr>
              <w:pStyle w:val="null3"/>
            </w:pPr>
            <w:r>
              <w:rPr>
                <w:rFonts w:ascii="仿宋_GB2312" w:hAnsi="仿宋_GB2312" w:cs="仿宋_GB2312" w:eastAsia="仿宋_GB2312"/>
              </w:rPr>
              <w:t>投标产品属于医疗器械管理范围的须提供医疗器械注册证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投标人不得存在下列情形</w:t>
            </w:r>
          </w:p>
        </w:tc>
        <w:tc>
          <w:tcPr>
            <w:tcW w:type="dxa" w:w="3322"/>
          </w:tcPr>
          <w:p>
            <w:pPr>
              <w:pStyle w:val="null3"/>
            </w:pPr>
            <w:r>
              <w:rPr>
                <w:rFonts w:ascii="仿宋_GB2312" w:hAnsi="仿宋_GB2312" w:cs="仿宋_GB2312" w:eastAsia="仿宋_GB2312"/>
              </w:rPr>
              <w:t>投标人不得存在下列情形之一：（1）单位负责人为同一人或者存在直接控股、管理关系的不同投标人，不得参加本次采购活动； （2）为本项目提供整体设计、规范编制或者项目管理、监理、检测等服务的投标人，不得再参加本项目的采购活动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投标人获取招标文件登记备案</w:t>
            </w:r>
          </w:p>
        </w:tc>
        <w:tc>
          <w:tcPr>
            <w:tcW w:type="dxa" w:w="3322"/>
          </w:tcPr>
          <w:p>
            <w:pPr>
              <w:pStyle w:val="null3"/>
            </w:pPr>
            <w:r>
              <w:rPr>
                <w:rFonts w:ascii="仿宋_GB2312" w:hAnsi="仿宋_GB2312" w:cs="仿宋_GB2312" w:eastAsia="仿宋_GB2312"/>
              </w:rPr>
              <w:t>需按照招标公告要求的方式获取招标文件并登记备案，未按招标公告要求的方式获取招标文件并登记备案的投标人均无资格参加投标</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投标文件按招标文件要求签署、盖章的</w:t>
            </w:r>
          </w:p>
        </w:tc>
        <w:tc>
          <w:tcPr>
            <w:tcW w:type="dxa" w:w="1661"/>
          </w:tcPr>
          <w:p>
            <w:pPr>
              <w:pStyle w:val="null3"/>
            </w:pPr>
            <w:r>
              <w:rPr>
                <w:rFonts w:ascii="仿宋_GB2312" w:hAnsi="仿宋_GB2312" w:cs="仿宋_GB2312" w:eastAsia="仿宋_GB2312"/>
              </w:rPr>
              <w:t>开标一览表 业绩.docx 中小企业声明函 商务应答表 资格证明文件.docx 满足详细评审办法的内容.docx 产品技术参数表 分项报价表.docx 投标函 残疾人福利性单位声明函 强制采购节能产品、优先采购节能产品.docx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投标人投标报价未超出采购预算或最高限价</w:t>
            </w:r>
          </w:p>
        </w:tc>
        <w:tc>
          <w:tcPr>
            <w:tcW w:type="dxa" w:w="1661"/>
          </w:tcPr>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投标保证金的提交符合招标文件要求</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投标内容不得存在漏项或数量不符合招标文件规定情形</w:t>
            </w:r>
          </w:p>
        </w:tc>
        <w:tc>
          <w:tcPr>
            <w:tcW w:type="dxa" w:w="1661"/>
          </w:tcPr>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商务要求</w:t>
            </w:r>
          </w:p>
        </w:tc>
        <w:tc>
          <w:tcPr>
            <w:tcW w:type="dxa" w:w="3322"/>
          </w:tcPr>
          <w:p>
            <w:pPr>
              <w:pStyle w:val="null3"/>
            </w:pPr>
            <w:r>
              <w:rPr>
                <w:rFonts w:ascii="仿宋_GB2312" w:hAnsi="仿宋_GB2312" w:cs="仿宋_GB2312" w:eastAsia="仿宋_GB2312"/>
              </w:rPr>
              <w:t>满足招标文件的所有商务要求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开标一览表 业绩.docx 中小企业声明函 商务应答表 资格证明文件.docx 满足详细评审办法的内容.docx 产品技术参数表 分项报价表.docx 投标函 残疾人福利性单位声明函 强制采购节能产品、优先采购节能产品.docx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开标一览表 业绩.docx 中小企业声明函 商务应答表 资格证明文件.docx 满足详细评审办法的内容.docx 产品技术参数表 分项报价表.docx 投标函 残疾人福利性单位声明函 强制采购节能产品、优先采购节能产品.docx 标的清单 关于符合本国产品标准的声明函 投标文件封面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投标文件按招标文件要求签署、盖章的</w:t>
            </w:r>
          </w:p>
        </w:tc>
        <w:tc>
          <w:tcPr>
            <w:tcW w:type="dxa" w:w="1661"/>
          </w:tcPr>
          <w:p>
            <w:pPr>
              <w:pStyle w:val="null3"/>
            </w:pPr>
            <w:r>
              <w:rPr>
                <w:rFonts w:ascii="仿宋_GB2312" w:hAnsi="仿宋_GB2312" w:cs="仿宋_GB2312" w:eastAsia="仿宋_GB2312"/>
              </w:rPr>
              <w:t>开标一览表 业绩.docx 中小企业声明函 商务应答表 资格证明文件.docx 满足详细评审办法的内容.docx 产品技术参数表 分项报价表.docx 投标函 残疾人福利性单位声明函 强制采购节能产品、优先采购节能产品.docx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投标人投标报价未超出采购预算或最高限价</w:t>
            </w:r>
          </w:p>
        </w:tc>
        <w:tc>
          <w:tcPr>
            <w:tcW w:type="dxa" w:w="1661"/>
          </w:tcPr>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投标保证金的提交符合招标文件要求</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投标内容不得存在漏项或数量不符合招标文件规定情形</w:t>
            </w:r>
          </w:p>
        </w:tc>
        <w:tc>
          <w:tcPr>
            <w:tcW w:type="dxa" w:w="1661"/>
          </w:tcPr>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商务要求</w:t>
            </w:r>
          </w:p>
        </w:tc>
        <w:tc>
          <w:tcPr>
            <w:tcW w:type="dxa" w:w="3322"/>
          </w:tcPr>
          <w:p>
            <w:pPr>
              <w:pStyle w:val="null3"/>
            </w:pPr>
            <w:r>
              <w:rPr>
                <w:rFonts w:ascii="仿宋_GB2312" w:hAnsi="仿宋_GB2312" w:cs="仿宋_GB2312" w:eastAsia="仿宋_GB2312"/>
              </w:rPr>
              <w:t>满足招标文件的所有商务要求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开标一览表 业绩.docx 中小企业声明函 商务应答表 资格证明文件.docx 满足详细评审办法的内容.docx 产品技术参数表 分项报价表.docx 投标函 残疾人福利性单位声明函 强制采购节能产品、优先采购节能产品.docx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开标一览表 业绩.docx 中小企业声明函 商务应答表 资格证明文件.docx 满足详细评审办法的内容.docx 产品技术参数表 分项报价表.docx 投标函 残疾人福利性单位声明函 强制采购节能产品、优先采购节能产品.docx 标的清单 关于符合本国产品标准的声明函 投标文件封面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投标文件按招标文件要求签署、盖章的</w:t>
            </w:r>
          </w:p>
        </w:tc>
        <w:tc>
          <w:tcPr>
            <w:tcW w:type="dxa" w:w="1661"/>
          </w:tcPr>
          <w:p>
            <w:pPr>
              <w:pStyle w:val="null3"/>
            </w:pPr>
            <w:r>
              <w:rPr>
                <w:rFonts w:ascii="仿宋_GB2312" w:hAnsi="仿宋_GB2312" w:cs="仿宋_GB2312" w:eastAsia="仿宋_GB2312"/>
              </w:rPr>
              <w:t>开标一览表 业绩.docx 中小企业声明函 商务应答表 资格证明文件.docx 满足详细评审办法的内容.docx 产品技术参数表 分项报价表.docx 投标函 残疾人福利性单位声明函 强制采购节能产品、优先采购节能产品.docx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投标人投标报价未超出采购预算或最高限价</w:t>
            </w:r>
          </w:p>
        </w:tc>
        <w:tc>
          <w:tcPr>
            <w:tcW w:type="dxa" w:w="1661"/>
          </w:tcPr>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投标保证金的提交符合招标文件要求</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投标内容不得存在漏项或数量不符合招标文件规定情形</w:t>
            </w:r>
          </w:p>
        </w:tc>
        <w:tc>
          <w:tcPr>
            <w:tcW w:type="dxa" w:w="1661"/>
          </w:tcPr>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商务要求</w:t>
            </w:r>
          </w:p>
        </w:tc>
        <w:tc>
          <w:tcPr>
            <w:tcW w:type="dxa" w:w="3322"/>
          </w:tcPr>
          <w:p>
            <w:pPr>
              <w:pStyle w:val="null3"/>
            </w:pPr>
            <w:r>
              <w:rPr>
                <w:rFonts w:ascii="仿宋_GB2312" w:hAnsi="仿宋_GB2312" w:cs="仿宋_GB2312" w:eastAsia="仿宋_GB2312"/>
              </w:rPr>
              <w:t>满足招标文件的所有商务要求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开标一览表 业绩.docx 中小企业声明函 商务应答表 资格证明文件.docx 满足详细评审办法的内容.docx 产品技术参数表 分项报价表.docx 投标函 残疾人福利性单位声明函 强制采购节能产品、优先采购节能产品.docx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开标一览表 业绩.docx 中小企业声明函 商务应答表 资格证明文件.docx 满足详细评审办法的内容.docx 产品技术参数表 分项报价表.docx 投标函 残疾人福利性单位声明函 强制采购节能产品、优先采购节能产品.docx 标的清单 关于符合本国产品标准的声明函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节能、环境标志产品</w:t>
            </w:r>
          </w:p>
        </w:tc>
        <w:tc>
          <w:tcPr>
            <w:tcW w:type="dxa" w:w="2492"/>
          </w:tcPr>
          <w:p>
            <w:pPr>
              <w:pStyle w:val="null3"/>
            </w:pPr>
            <w:r>
              <w:rPr>
                <w:rFonts w:ascii="仿宋_GB2312" w:hAnsi="仿宋_GB2312" w:cs="仿宋_GB2312" w:eastAsia="仿宋_GB2312"/>
              </w:rPr>
              <w:t>投标人所投产品属于节能产品、环境标志产品优先采购范围（除政府强制采购的节能产品外）： 1、所投产品属于节能产品得0.5分； 评审依据：所投产品具有国家确定的认证机构出具的、处于有效期之内的节能产品认证证书（提供证书扫描件）。 2、所投产品属于环境标志产品得0.5分； 评审依据：所投产品具有国家确定的认证机构出具的、处于有效期之内的环境标志产品认证证书（提供证书扫描件）。 注：节能产品、环境标志产品优先采购范围以品目清单为准。财政部、发展改革委、生态环境部等部门根据产品节能环保性能、技术水平和市场成熟程度等因素，确定实施政府优先采购和强制采购的产品类别及所依据的相关标准规范，以品目清单的形式发布并适时调整。</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强制采购节能产品、优先采购节能产品.docx</w:t>
            </w:r>
          </w:p>
        </w:tc>
      </w:tr>
      <w:tr>
        <w:tc>
          <w:tcPr>
            <w:tcW w:type="dxa" w:w="831"/>
            <w:vMerge/>
          </w:tcPr>
          <w:p/>
        </w:tc>
        <w:tc>
          <w:tcPr>
            <w:tcW w:type="dxa" w:w="1661"/>
          </w:tcPr>
          <w:p>
            <w:pPr>
              <w:pStyle w:val="null3"/>
            </w:pPr>
            <w:r>
              <w:rPr>
                <w:rFonts w:ascii="仿宋_GB2312" w:hAnsi="仿宋_GB2312" w:cs="仿宋_GB2312" w:eastAsia="仿宋_GB2312"/>
              </w:rPr>
              <w:t>投标产品技术指标评审内容</w:t>
            </w:r>
          </w:p>
        </w:tc>
        <w:tc>
          <w:tcPr>
            <w:tcW w:type="dxa" w:w="2492"/>
          </w:tcPr>
          <w:p>
            <w:pPr>
              <w:pStyle w:val="null3"/>
            </w:pPr>
            <w:r>
              <w:rPr>
                <w:rFonts w:ascii="仿宋_GB2312" w:hAnsi="仿宋_GB2312" w:cs="仿宋_GB2312" w:eastAsia="仿宋_GB2312"/>
              </w:rPr>
              <w:t>投标产品的技术指标评审：完全响应得39分。“▲”技术指标参数一项不满足扣 3 分，一般项技术指标参数一项不满足扣 1 分，扣完为止。 评审依据：提供所投产品的所有技术指标的证明文件（包括不限于检测报告、技术白皮书、厂家产品说明等）；技术指标无技术材料或支持材料无法佐证视为负偏离。</w:t>
            </w:r>
          </w:p>
        </w:tc>
        <w:tc>
          <w:tcPr>
            <w:tcW w:type="dxa" w:w="831"/>
          </w:tcPr>
          <w:p>
            <w:pPr>
              <w:pStyle w:val="null3"/>
              <w:jc w:val="right"/>
            </w:pPr>
            <w:r>
              <w:rPr>
                <w:rFonts w:ascii="仿宋_GB2312" w:hAnsi="仿宋_GB2312" w:cs="仿宋_GB2312" w:eastAsia="仿宋_GB2312"/>
              </w:rPr>
              <w:t>39.0000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产品业绩</w:t>
            </w:r>
          </w:p>
        </w:tc>
        <w:tc>
          <w:tcPr>
            <w:tcW w:type="dxa" w:w="2492"/>
          </w:tcPr>
          <w:p>
            <w:pPr>
              <w:pStyle w:val="null3"/>
            </w:pPr>
            <w:r>
              <w:rPr>
                <w:rFonts w:ascii="仿宋_GB2312" w:hAnsi="仿宋_GB2312" w:cs="仿宋_GB2312" w:eastAsia="仿宋_GB2312"/>
              </w:rPr>
              <w:t>提供2023年1月1日至投标截止时间前（以合同签订时间为准）所投产品的销售业绩，每提供一个业绩得1分，满分5分。 评审依据：以加盖公章的业绩合同复印件为准，合同至少需包含合同首页、产品页、签章页。未提供或提供内容不相符的不得分。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延长质保期</w:t>
            </w:r>
          </w:p>
        </w:tc>
        <w:tc>
          <w:tcPr>
            <w:tcW w:type="dxa" w:w="2492"/>
          </w:tcPr>
          <w:p>
            <w:pPr>
              <w:pStyle w:val="null3"/>
            </w:pPr>
            <w:r>
              <w:rPr>
                <w:rFonts w:ascii="仿宋_GB2312" w:hAnsi="仿宋_GB2312" w:cs="仿宋_GB2312" w:eastAsia="仿宋_GB2312"/>
              </w:rPr>
              <w:t>满足招标文件要求的质保期（三年）不得分，在三年的基础上每延长1年得1分，最多得2分。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满足详细评审办法的内容.docx</w:t>
            </w:r>
          </w:p>
        </w:tc>
      </w:tr>
      <w:tr>
        <w:tc>
          <w:tcPr>
            <w:tcW w:type="dxa" w:w="831"/>
            <w:vMerge/>
          </w:tcPr>
          <w:p/>
        </w:tc>
        <w:tc>
          <w:tcPr>
            <w:tcW w:type="dxa" w:w="1661"/>
          </w:tcPr>
          <w:p>
            <w:pPr>
              <w:pStyle w:val="null3"/>
            </w:pPr>
            <w:r>
              <w:rPr>
                <w:rFonts w:ascii="仿宋_GB2312" w:hAnsi="仿宋_GB2312" w:cs="仿宋_GB2312" w:eastAsia="仿宋_GB2312"/>
              </w:rPr>
              <w:t>产品的来源渠道</w:t>
            </w:r>
          </w:p>
        </w:tc>
        <w:tc>
          <w:tcPr>
            <w:tcW w:type="dxa" w:w="2492"/>
          </w:tcPr>
          <w:p>
            <w:pPr>
              <w:pStyle w:val="null3"/>
            </w:pPr>
            <w:r>
              <w:rPr>
                <w:rFonts w:ascii="仿宋_GB2312" w:hAnsi="仿宋_GB2312" w:cs="仿宋_GB2312" w:eastAsia="仿宋_GB2312"/>
              </w:rPr>
              <w:t>提供投标产品的来源渠道证明材料，包括但不限于代理协议或合同或发票等证明材料，能提供的得3分。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满足详细评审办法的内容.docx</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根据投标人提供的供货方案进行评审，供货方案包括：进度计划、人员安排、包装及运输方案、质量管控方案。上述四项内容完整、无缺陷的，每项得1分，共4分。每项内容有缺陷扣0.5分（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每项内容有缺失扣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满足详细评审办法的内容.docx</w:t>
            </w:r>
          </w:p>
        </w:tc>
      </w:tr>
      <w:tr>
        <w:tc>
          <w:tcPr>
            <w:tcW w:type="dxa" w:w="831"/>
            <w:vMerge/>
          </w:tcPr>
          <w:p/>
        </w:tc>
        <w:tc>
          <w:tcPr>
            <w:tcW w:type="dxa" w:w="1661"/>
          </w:tcPr>
          <w:p>
            <w:pPr>
              <w:pStyle w:val="null3"/>
            </w:pPr>
            <w:r>
              <w:rPr>
                <w:rFonts w:ascii="仿宋_GB2312" w:hAnsi="仿宋_GB2312" w:cs="仿宋_GB2312" w:eastAsia="仿宋_GB2312"/>
              </w:rPr>
              <w:t>安装、调试方案及验收方案</w:t>
            </w:r>
          </w:p>
        </w:tc>
        <w:tc>
          <w:tcPr>
            <w:tcW w:type="dxa" w:w="2492"/>
          </w:tcPr>
          <w:p>
            <w:pPr>
              <w:pStyle w:val="null3"/>
            </w:pPr>
            <w:r>
              <w:rPr>
                <w:rFonts w:ascii="仿宋_GB2312" w:hAnsi="仿宋_GB2312" w:cs="仿宋_GB2312" w:eastAsia="仿宋_GB2312"/>
              </w:rPr>
              <w:t>根据投标人提供的安装、调试方案及验收方案进行评审，方案包括：安装调试进度计划、安装方案、调试方案、验收方案。上述四项内容完整、无缺陷的，每项得1分，共4分。每项内容有缺陷扣0.5分（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每项内容有缺失扣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满足详细评审办法的内容.docx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根据投标人提供的售后服务方案进行评审，方案包括：售后服务总体计划、响应机制、应急响应预案、增值服务。上述四项内容完整、无缺陷的，每项得1分，共4分。每项内容有缺陷扣0.5分（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每项内容有缺失扣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满足详细评审办法的内容.docx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根据投标人提供的培训方案进行评审，方案包括：培训总体计划、培训课程安排、培训验收考核、培训增值服务。上述四项内容完整、无缺陷的，每项得1分，共4分。每项内容有缺陷扣0.5分（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每项内容有缺失扣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满足详细评审办法的内容.docx</w:t>
            </w:r>
          </w:p>
        </w:tc>
      </w:tr>
      <w:tr>
        <w:tc>
          <w:tcPr>
            <w:tcW w:type="dxa" w:w="831"/>
            <w:vMerge/>
          </w:tcPr>
          <w:p/>
        </w:tc>
        <w:tc>
          <w:tcPr>
            <w:tcW w:type="dxa" w:w="1661"/>
          </w:tcPr>
          <w:p>
            <w:pPr>
              <w:pStyle w:val="null3"/>
            </w:pPr>
            <w:r>
              <w:rPr>
                <w:rFonts w:ascii="仿宋_GB2312" w:hAnsi="仿宋_GB2312" w:cs="仿宋_GB2312" w:eastAsia="仿宋_GB2312"/>
              </w:rPr>
              <w:t>备品、备件配备方案</w:t>
            </w:r>
          </w:p>
        </w:tc>
        <w:tc>
          <w:tcPr>
            <w:tcW w:type="dxa" w:w="2492"/>
          </w:tcPr>
          <w:p>
            <w:pPr>
              <w:pStyle w:val="null3"/>
            </w:pPr>
            <w:r>
              <w:rPr>
                <w:rFonts w:ascii="仿宋_GB2312" w:hAnsi="仿宋_GB2312" w:cs="仿宋_GB2312" w:eastAsia="仿宋_GB2312"/>
              </w:rPr>
              <w:t>根据投标人提供的备品、备件配备方案进行评审，方案包括：备品备件使用划分、质量保证措施、储备体系、质保期外的使用保证措施。上述四项内容完整、无缺陷的，每项得1分，共4分。每项内容有缺陷扣0.5分（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每项内容有缺失扣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满足详细评审办法的内容.docx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满足招标文件要求且投标价格最低的投标报价为评标基准价，其价格分为30分。其他投标人的价格分统一按照下列公式计算： 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节能、环境标志产品</w:t>
            </w:r>
          </w:p>
        </w:tc>
        <w:tc>
          <w:tcPr>
            <w:tcW w:type="dxa" w:w="2492"/>
          </w:tcPr>
          <w:p>
            <w:pPr>
              <w:pStyle w:val="null3"/>
            </w:pPr>
            <w:r>
              <w:rPr>
                <w:rFonts w:ascii="仿宋_GB2312" w:hAnsi="仿宋_GB2312" w:cs="仿宋_GB2312" w:eastAsia="仿宋_GB2312"/>
              </w:rPr>
              <w:t>投标人所投产品属于节能产品、环境标志产品优先采购范围（除政府强制采购的节能产品外）： 1、所投产品属于节能产品得0.5分； 评审依据：所投产品具有国家确定的认证机构出具的、处于有效期之内的节能产品认证证书（提供证书扫描件）。 2、所投产品属于环境标志产品得0.5分； 评审依据：所投产品具有国家确定的认证机构出具的、处于有效期之内的环境标志产品认证证书（提供证书扫描件）。 注：节能产品、环境标志产品优先采购范围以品目清单为准。财政部、发展改革委、生态环境部等部门根据产品节能环保性能、技术水平和市场成熟程度等因素，确定实施政府优先采购和强制采购的产品类别及所依据的相关标准规范，以品目清单的形式发布并适时调整。</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强制采购节能产品、优先采购节能产品.docx</w:t>
            </w:r>
          </w:p>
        </w:tc>
      </w:tr>
      <w:tr>
        <w:tc>
          <w:tcPr>
            <w:tcW w:type="dxa" w:w="831"/>
            <w:vMerge/>
          </w:tcPr>
          <w:p/>
        </w:tc>
        <w:tc>
          <w:tcPr>
            <w:tcW w:type="dxa" w:w="1661"/>
          </w:tcPr>
          <w:p>
            <w:pPr>
              <w:pStyle w:val="null3"/>
            </w:pPr>
            <w:r>
              <w:rPr>
                <w:rFonts w:ascii="仿宋_GB2312" w:hAnsi="仿宋_GB2312" w:cs="仿宋_GB2312" w:eastAsia="仿宋_GB2312"/>
              </w:rPr>
              <w:t>投标产品技术指标评审内容</w:t>
            </w:r>
          </w:p>
        </w:tc>
        <w:tc>
          <w:tcPr>
            <w:tcW w:type="dxa" w:w="2492"/>
          </w:tcPr>
          <w:p>
            <w:pPr>
              <w:pStyle w:val="null3"/>
            </w:pPr>
            <w:r>
              <w:rPr>
                <w:rFonts w:ascii="仿宋_GB2312" w:hAnsi="仿宋_GB2312" w:cs="仿宋_GB2312" w:eastAsia="仿宋_GB2312"/>
              </w:rPr>
              <w:t>投标产品的技术指标评审：完全响应得39分。“▲”技术指标参数一项不满足扣 3 分，一般项技术指标参数一项不满足扣 1 分，扣完为止。 评审依据：提供所投产品的所有技术指标的证明文件（包括不限于检测报告、技术白皮书、厂家产品说明等）；技术指标无技术材料或支持材料无法佐证视为负偏离。</w:t>
            </w:r>
          </w:p>
        </w:tc>
        <w:tc>
          <w:tcPr>
            <w:tcW w:type="dxa" w:w="831"/>
          </w:tcPr>
          <w:p>
            <w:pPr>
              <w:pStyle w:val="null3"/>
              <w:jc w:val="right"/>
            </w:pPr>
            <w:r>
              <w:rPr>
                <w:rFonts w:ascii="仿宋_GB2312" w:hAnsi="仿宋_GB2312" w:cs="仿宋_GB2312" w:eastAsia="仿宋_GB2312"/>
              </w:rPr>
              <w:t>39.0000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产品业绩</w:t>
            </w:r>
          </w:p>
        </w:tc>
        <w:tc>
          <w:tcPr>
            <w:tcW w:type="dxa" w:w="2492"/>
          </w:tcPr>
          <w:p>
            <w:pPr>
              <w:pStyle w:val="null3"/>
            </w:pPr>
            <w:r>
              <w:rPr>
                <w:rFonts w:ascii="仿宋_GB2312" w:hAnsi="仿宋_GB2312" w:cs="仿宋_GB2312" w:eastAsia="仿宋_GB2312"/>
              </w:rPr>
              <w:t>提供2023年1月1日至投标截止时间前（以合同签订时间为准）所投产品的销售业绩，每提供一个业绩得1分，满分5分。 评审依据：以加盖公章的业绩合同复印件为准，合同至少需包含合同首页、产品页、签章页。未提供或提供内容不相符的不得分。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延长质保期</w:t>
            </w:r>
          </w:p>
        </w:tc>
        <w:tc>
          <w:tcPr>
            <w:tcW w:type="dxa" w:w="2492"/>
          </w:tcPr>
          <w:p>
            <w:pPr>
              <w:pStyle w:val="null3"/>
            </w:pPr>
            <w:r>
              <w:rPr>
                <w:rFonts w:ascii="仿宋_GB2312" w:hAnsi="仿宋_GB2312" w:cs="仿宋_GB2312" w:eastAsia="仿宋_GB2312"/>
              </w:rPr>
              <w:t>满足招标文件要求的质保期（三年）不得分，在三年的基础上每延长1年得1分，最多得2分。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满足详细评审办法的内容.docx</w:t>
            </w:r>
          </w:p>
        </w:tc>
      </w:tr>
      <w:tr>
        <w:tc>
          <w:tcPr>
            <w:tcW w:type="dxa" w:w="831"/>
            <w:vMerge/>
          </w:tcPr>
          <w:p/>
        </w:tc>
        <w:tc>
          <w:tcPr>
            <w:tcW w:type="dxa" w:w="1661"/>
          </w:tcPr>
          <w:p>
            <w:pPr>
              <w:pStyle w:val="null3"/>
            </w:pPr>
            <w:r>
              <w:rPr>
                <w:rFonts w:ascii="仿宋_GB2312" w:hAnsi="仿宋_GB2312" w:cs="仿宋_GB2312" w:eastAsia="仿宋_GB2312"/>
              </w:rPr>
              <w:t>产品的来源渠道</w:t>
            </w:r>
          </w:p>
        </w:tc>
        <w:tc>
          <w:tcPr>
            <w:tcW w:type="dxa" w:w="2492"/>
          </w:tcPr>
          <w:p>
            <w:pPr>
              <w:pStyle w:val="null3"/>
            </w:pPr>
            <w:r>
              <w:rPr>
                <w:rFonts w:ascii="仿宋_GB2312" w:hAnsi="仿宋_GB2312" w:cs="仿宋_GB2312" w:eastAsia="仿宋_GB2312"/>
              </w:rPr>
              <w:t>提供投标产品的来源渠道证明材料，包括但不限于代理协议或合同或发票等证明材料，能提供的得3分。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满足详细评审办法的内容.docx</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根据投标人提供的供货方案进行评审，供货方案包括：进度计划、人员安排、包装及运输方案、质量管控方案。上述四项内容完整、无缺陷的，每项得1分，共4分。每项内容有缺陷扣0.5分（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每项内容有缺失扣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满足详细评审办法的内容.docx</w:t>
            </w:r>
          </w:p>
        </w:tc>
      </w:tr>
      <w:tr>
        <w:tc>
          <w:tcPr>
            <w:tcW w:type="dxa" w:w="831"/>
            <w:vMerge/>
          </w:tcPr>
          <w:p/>
        </w:tc>
        <w:tc>
          <w:tcPr>
            <w:tcW w:type="dxa" w:w="1661"/>
          </w:tcPr>
          <w:p>
            <w:pPr>
              <w:pStyle w:val="null3"/>
            </w:pPr>
            <w:r>
              <w:rPr>
                <w:rFonts w:ascii="仿宋_GB2312" w:hAnsi="仿宋_GB2312" w:cs="仿宋_GB2312" w:eastAsia="仿宋_GB2312"/>
              </w:rPr>
              <w:t>安装、调试方案及验收方案</w:t>
            </w:r>
          </w:p>
        </w:tc>
        <w:tc>
          <w:tcPr>
            <w:tcW w:type="dxa" w:w="2492"/>
          </w:tcPr>
          <w:p>
            <w:pPr>
              <w:pStyle w:val="null3"/>
            </w:pPr>
            <w:r>
              <w:rPr>
                <w:rFonts w:ascii="仿宋_GB2312" w:hAnsi="仿宋_GB2312" w:cs="仿宋_GB2312" w:eastAsia="仿宋_GB2312"/>
              </w:rPr>
              <w:t>根据投标人提供的安装、调试方案及验收方案进行评审，方案包括：安装调试进度计划、安装方案、调试方案、验收方案。上述四项内容完整、无缺陷的，每项得1分，共4分。每项内容有缺陷扣0.5分（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每项内容有缺失扣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满足详细评审办法的内容.docx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根据投标人提供的售后服务方案进行评审，方案包括：售后服务总体计划、响应机制、应急响应预案、增值服务。上述四项内容完整、无缺陷的，每项得1分，共4分。每项内容有缺陷扣0.5分（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每项内容有缺失扣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满足详细评审办法的内容.docx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根据投标人提供的培训方案进行评审，方案包括：培训总体计划、培训课程安排、培训验收考核、培训增值服务。上述四项内容完整、无缺陷的，每项得1分，共4分。每项内容有缺陷扣0.5分（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每项内容有缺失扣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满足详细评审办法的内容.docx</w:t>
            </w:r>
          </w:p>
        </w:tc>
      </w:tr>
      <w:tr>
        <w:tc>
          <w:tcPr>
            <w:tcW w:type="dxa" w:w="831"/>
            <w:vMerge/>
          </w:tcPr>
          <w:p/>
        </w:tc>
        <w:tc>
          <w:tcPr>
            <w:tcW w:type="dxa" w:w="1661"/>
          </w:tcPr>
          <w:p>
            <w:pPr>
              <w:pStyle w:val="null3"/>
            </w:pPr>
            <w:r>
              <w:rPr>
                <w:rFonts w:ascii="仿宋_GB2312" w:hAnsi="仿宋_GB2312" w:cs="仿宋_GB2312" w:eastAsia="仿宋_GB2312"/>
              </w:rPr>
              <w:t>备品、备件配备方案</w:t>
            </w:r>
          </w:p>
        </w:tc>
        <w:tc>
          <w:tcPr>
            <w:tcW w:type="dxa" w:w="2492"/>
          </w:tcPr>
          <w:p>
            <w:pPr>
              <w:pStyle w:val="null3"/>
            </w:pPr>
            <w:r>
              <w:rPr>
                <w:rFonts w:ascii="仿宋_GB2312" w:hAnsi="仿宋_GB2312" w:cs="仿宋_GB2312" w:eastAsia="仿宋_GB2312"/>
              </w:rPr>
              <w:t>根据投标人提供的备品、备件配备方案进行评审，方案包括：备品备件使用划分、质量保证措施、储备体系、质保期外的使用保证措施。上述四项内容完整、无缺陷的，每项得1分，共4分。每项内容有缺陷扣0.5分（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每项内容有缺失扣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满足详细评审办法的内容.docx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满足招标文件要求且投标价格最低的投标报价为评标基准价，其价格分为30分。其他投标人的价格分统一按照下列公式计算： 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节能、环境标志产品</w:t>
            </w:r>
          </w:p>
        </w:tc>
        <w:tc>
          <w:tcPr>
            <w:tcW w:type="dxa" w:w="2492"/>
          </w:tcPr>
          <w:p>
            <w:pPr>
              <w:pStyle w:val="null3"/>
            </w:pPr>
            <w:r>
              <w:rPr>
                <w:rFonts w:ascii="仿宋_GB2312" w:hAnsi="仿宋_GB2312" w:cs="仿宋_GB2312" w:eastAsia="仿宋_GB2312"/>
              </w:rPr>
              <w:t>投标人所投产品属于节能产品、环境标志产品优先采购范围（除政府强制采购的节能产品外）： 1、所投产品属于节能产品得0.5分； 评审依据：所投产品具有国家确定的认证机构出具的、处于有效期之内的节能产品认证证书（提供证书扫描件）。 2、所投产品属于环境标志产品得0.5分； 评审依据：所投产品具有国家确定的认证机构出具的、处于有效期之内的环境标志产品认证证书（提供证书扫描件）。 注：节能产品、环境标志产品优先采购范围以品目清单为准。财政部、发展改革委、生态环境部等部门根据产品节能环保性能、技术水平和市场成熟程度等因素，确定实施政府优先采购和强制采购的产品类别及所依据的相关标准规范，以品目清单的形式发布并适时调整。</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强制采购节能产品、优先采购节能产品.docx</w:t>
            </w:r>
          </w:p>
        </w:tc>
      </w:tr>
      <w:tr>
        <w:tc>
          <w:tcPr>
            <w:tcW w:type="dxa" w:w="831"/>
            <w:vMerge/>
          </w:tcPr>
          <w:p/>
        </w:tc>
        <w:tc>
          <w:tcPr>
            <w:tcW w:type="dxa" w:w="1661"/>
          </w:tcPr>
          <w:p>
            <w:pPr>
              <w:pStyle w:val="null3"/>
            </w:pPr>
            <w:r>
              <w:rPr>
                <w:rFonts w:ascii="仿宋_GB2312" w:hAnsi="仿宋_GB2312" w:cs="仿宋_GB2312" w:eastAsia="仿宋_GB2312"/>
              </w:rPr>
              <w:t>投标产品技术指标评审内容</w:t>
            </w:r>
          </w:p>
        </w:tc>
        <w:tc>
          <w:tcPr>
            <w:tcW w:type="dxa" w:w="2492"/>
          </w:tcPr>
          <w:p>
            <w:pPr>
              <w:pStyle w:val="null3"/>
            </w:pPr>
            <w:r>
              <w:rPr>
                <w:rFonts w:ascii="仿宋_GB2312" w:hAnsi="仿宋_GB2312" w:cs="仿宋_GB2312" w:eastAsia="仿宋_GB2312"/>
              </w:rPr>
              <w:t>投标产品的技术指标评审：完全响应得39分。“▲”技术指标参数一项不满足扣 3 分，一般项技术指标参数一项不满足扣 1 分，扣完为止。 评审依据：提供所投产品的所有技术指标的证明文件（包括不限于检测报告、技术白皮书、厂家产品说明等）；技术指标无技术材料或支持材料无法佐证视为负偏离。</w:t>
            </w:r>
          </w:p>
        </w:tc>
        <w:tc>
          <w:tcPr>
            <w:tcW w:type="dxa" w:w="831"/>
          </w:tcPr>
          <w:p>
            <w:pPr>
              <w:pStyle w:val="null3"/>
              <w:jc w:val="right"/>
            </w:pPr>
            <w:r>
              <w:rPr>
                <w:rFonts w:ascii="仿宋_GB2312" w:hAnsi="仿宋_GB2312" w:cs="仿宋_GB2312" w:eastAsia="仿宋_GB2312"/>
              </w:rPr>
              <w:t>39.0000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产品业绩</w:t>
            </w:r>
          </w:p>
        </w:tc>
        <w:tc>
          <w:tcPr>
            <w:tcW w:type="dxa" w:w="2492"/>
          </w:tcPr>
          <w:p>
            <w:pPr>
              <w:pStyle w:val="null3"/>
            </w:pPr>
            <w:r>
              <w:rPr>
                <w:rFonts w:ascii="仿宋_GB2312" w:hAnsi="仿宋_GB2312" w:cs="仿宋_GB2312" w:eastAsia="仿宋_GB2312"/>
              </w:rPr>
              <w:t>提供2023年1月1日至投标截止时间前（以合同签订时间为准）所投产品的销售业绩，每提供一个业绩得1分，满分5分。 评审依据：以加盖公章的业绩合同复印件为准，合同至少需包含合同首页、产品页、签章页。未提供或提供内容不相符的不得分。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延长质保期</w:t>
            </w:r>
          </w:p>
        </w:tc>
        <w:tc>
          <w:tcPr>
            <w:tcW w:type="dxa" w:w="2492"/>
          </w:tcPr>
          <w:p>
            <w:pPr>
              <w:pStyle w:val="null3"/>
            </w:pPr>
            <w:r>
              <w:rPr>
                <w:rFonts w:ascii="仿宋_GB2312" w:hAnsi="仿宋_GB2312" w:cs="仿宋_GB2312" w:eastAsia="仿宋_GB2312"/>
              </w:rPr>
              <w:t>满足招标文件要求的质保期（三年）不得分，在三年的基础上每延长1年得1分，最多得2分。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满足详细评审办法的内容.docx</w:t>
            </w:r>
          </w:p>
        </w:tc>
      </w:tr>
      <w:tr>
        <w:tc>
          <w:tcPr>
            <w:tcW w:type="dxa" w:w="831"/>
            <w:vMerge/>
          </w:tcPr>
          <w:p/>
        </w:tc>
        <w:tc>
          <w:tcPr>
            <w:tcW w:type="dxa" w:w="1661"/>
          </w:tcPr>
          <w:p>
            <w:pPr>
              <w:pStyle w:val="null3"/>
            </w:pPr>
            <w:r>
              <w:rPr>
                <w:rFonts w:ascii="仿宋_GB2312" w:hAnsi="仿宋_GB2312" w:cs="仿宋_GB2312" w:eastAsia="仿宋_GB2312"/>
              </w:rPr>
              <w:t>产品的来源渠道</w:t>
            </w:r>
          </w:p>
        </w:tc>
        <w:tc>
          <w:tcPr>
            <w:tcW w:type="dxa" w:w="2492"/>
          </w:tcPr>
          <w:p>
            <w:pPr>
              <w:pStyle w:val="null3"/>
            </w:pPr>
            <w:r>
              <w:rPr>
                <w:rFonts w:ascii="仿宋_GB2312" w:hAnsi="仿宋_GB2312" w:cs="仿宋_GB2312" w:eastAsia="仿宋_GB2312"/>
              </w:rPr>
              <w:t>提供投标产品的来源渠道证明材料，包括但不限于代理协议或合同或发票等证明材料，能提供的得3分。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满足详细评审办法的内容.docx</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根据投标人提供的供货方案进行评审，供货方案包括：进度计划、人员安排、包装及运输方案、质量管控方案。上述四项内容完整、无缺陷的，每项得1分，共4分。每项内容有缺陷扣0.5分（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每项内容有缺失扣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满足详细评审办法的内容.docx</w:t>
            </w:r>
          </w:p>
        </w:tc>
      </w:tr>
      <w:tr>
        <w:tc>
          <w:tcPr>
            <w:tcW w:type="dxa" w:w="831"/>
            <w:vMerge/>
          </w:tcPr>
          <w:p/>
        </w:tc>
        <w:tc>
          <w:tcPr>
            <w:tcW w:type="dxa" w:w="1661"/>
          </w:tcPr>
          <w:p>
            <w:pPr>
              <w:pStyle w:val="null3"/>
            </w:pPr>
            <w:r>
              <w:rPr>
                <w:rFonts w:ascii="仿宋_GB2312" w:hAnsi="仿宋_GB2312" w:cs="仿宋_GB2312" w:eastAsia="仿宋_GB2312"/>
              </w:rPr>
              <w:t>安装、调试方案及验收方案</w:t>
            </w:r>
          </w:p>
        </w:tc>
        <w:tc>
          <w:tcPr>
            <w:tcW w:type="dxa" w:w="2492"/>
          </w:tcPr>
          <w:p>
            <w:pPr>
              <w:pStyle w:val="null3"/>
            </w:pPr>
            <w:r>
              <w:rPr>
                <w:rFonts w:ascii="仿宋_GB2312" w:hAnsi="仿宋_GB2312" w:cs="仿宋_GB2312" w:eastAsia="仿宋_GB2312"/>
              </w:rPr>
              <w:t>根据投标人提供的安装、调试方案及验收方案进行评审，方案包括：安装调试进度计划、安装方案、调试方案、验收方案。上述四项内容完整、无缺陷的，每项得1分，共4分。每项内容有缺陷扣0.5分（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每项内容有缺失扣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满足详细评审办法的内容.docx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根据投标人提供的售后服务方案进行评审，方案包括：售后服务总体计划、响应机制、应急响应预案、增值服务。上述四项内容完整、无缺陷的，每项得1分，共4分。每项内容有缺陷扣0.5分（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每项内容有缺失扣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满足详细评审办法的内容.docx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根据投标人提供的培训方案进行评审，方案包括：培训总体计划、培训课程安排、培训验收考核、培训增值服务。上述四项内容完整、无缺陷的，每项得1分，共4分。每项内容有缺陷扣0.5分（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每项内容有缺失扣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满足详细评审办法的内容.docx</w:t>
            </w:r>
          </w:p>
        </w:tc>
      </w:tr>
      <w:tr>
        <w:tc>
          <w:tcPr>
            <w:tcW w:type="dxa" w:w="831"/>
            <w:vMerge/>
          </w:tcPr>
          <w:p/>
        </w:tc>
        <w:tc>
          <w:tcPr>
            <w:tcW w:type="dxa" w:w="1661"/>
          </w:tcPr>
          <w:p>
            <w:pPr>
              <w:pStyle w:val="null3"/>
            </w:pPr>
            <w:r>
              <w:rPr>
                <w:rFonts w:ascii="仿宋_GB2312" w:hAnsi="仿宋_GB2312" w:cs="仿宋_GB2312" w:eastAsia="仿宋_GB2312"/>
              </w:rPr>
              <w:t>备品、备件配备方案</w:t>
            </w:r>
          </w:p>
        </w:tc>
        <w:tc>
          <w:tcPr>
            <w:tcW w:type="dxa" w:w="2492"/>
          </w:tcPr>
          <w:p>
            <w:pPr>
              <w:pStyle w:val="null3"/>
            </w:pPr>
            <w:r>
              <w:rPr>
                <w:rFonts w:ascii="仿宋_GB2312" w:hAnsi="仿宋_GB2312" w:cs="仿宋_GB2312" w:eastAsia="仿宋_GB2312"/>
              </w:rPr>
              <w:t>根据投标人提供的备品、备件配备方案进行评审，方案包括：备品备件使用划分、质量保证措施、储备体系、质保期外的使用保证措施。上述四项内容完整、无缺陷的，每项得1分，共4分。每项内容有缺陷扣0.5分（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每项内容有缺失扣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满足详细评审办法的内容.docx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满足招标文件要求且投标价格最低的投标报价为评标基准价，其价格分为30分。其他投标人的价格分统一按照下列公式计算： 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详见附件：强制采购节能产品、优先采购节能产品.docx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详见附件：满足详细评审办法的内容.docx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详见附件：强制采购节能产品、优先采购节能产品.docx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详见附件：满足详细评审办法的内容.docx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详见附件：强制采购节能产品、优先采购节能产品.docx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详见附件：满足详细评审办法的内容.docx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