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版本号：XACH2026-063、XDZ2026-180-N-8220260711001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西安高新区2026年度房建工程质量抽测检测服务项目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XACH2026-063、XDZ2026-180-N-82</w:t>
      </w:r>
      <w:r>
        <w:br/>
      </w:r>
      <w:r>
        <w:br/>
      </w:r>
      <w:r>
        <w:br/>
      </w:r>
    </w:p>
    <w:p>
      <w:pPr>
        <w:pStyle w:val="null3"/>
        <w:jc w:val="center"/>
        <w:outlineLvl w:val="2"/>
      </w:pPr>
      <w:r>
        <w:rPr>
          <w:rFonts w:ascii="仿宋_GB2312" w:hAnsi="仿宋_GB2312" w:cs="仿宋_GB2312" w:eastAsia="仿宋_GB2312"/>
          <w:sz w:val="28"/>
          <w:b/>
        </w:rPr>
        <w:t>西安高新区建设工程质量安全监督站</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西安高新区建设工程质量安全监督站</w:t>
      </w:r>
      <w:r>
        <w:rPr>
          <w:rFonts w:ascii="仿宋_GB2312" w:hAnsi="仿宋_GB2312" w:cs="仿宋_GB2312" w:eastAsia="仿宋_GB2312"/>
        </w:rPr>
        <w:t>委托，拟对</w:t>
      </w:r>
      <w:r>
        <w:rPr>
          <w:rFonts w:ascii="仿宋_GB2312" w:hAnsi="仿宋_GB2312" w:cs="仿宋_GB2312" w:eastAsia="仿宋_GB2312"/>
        </w:rPr>
        <w:t>西安高新区2026年度房建工程质量抽测检测服务项目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XACH2026-063、XDZ2026-180-N-82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西安高新区2026年度房建工程质量抽测检测服务项目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供应商根据采购方委托，对高新区内2026年度房建工程质量进行抽测检测，并出具具有法律效力的检测报告。</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投标人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法定代表人参加投标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3、供应商承诺：供应商须满足《中华人民共和国政府采购法》第二十二条规定（提供承诺函）；供应商需在项目电子化交易系统中按要求上传相应证明文件并进行电子签章。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供应商应具有行政主管部门颁发的合格有效的建设工程质量检测机构综合资质或建设工程质量检测机构专项资质(建筑材料及构配件、主体结构及装饰装修、钢结构、建筑节能）；供应商需在项目电子化交易系统中按要求上传相应证明文件并进行电子签章。</w:t>
      </w:r>
    </w:p>
    <w:p>
      <w:pPr>
        <w:pStyle w:val="null3"/>
      </w:pPr>
      <w:r>
        <w:rPr>
          <w:rFonts w:ascii="仿宋_GB2312" w:hAnsi="仿宋_GB2312" w:cs="仿宋_GB2312" w:eastAsia="仿宋_GB2312"/>
        </w:rPr>
        <w:t>5、CMA计量认证证书：供应商应具有省级及以上质量技术监督部门颁发的有效期内的CMA计量认证证书。供应商需在项目电子化交易系统中按要求上传相应证明文件并进行电子签章。</w:t>
      </w:r>
    </w:p>
    <w:p>
      <w:pPr>
        <w:pStyle w:val="null3"/>
      </w:pPr>
      <w:r>
        <w:rPr>
          <w:rFonts w:ascii="仿宋_GB2312" w:hAnsi="仿宋_GB2312" w:cs="仿宋_GB2312" w:eastAsia="仿宋_GB2312"/>
        </w:rPr>
        <w:t>6、非联合体投标：非联合体投标声明；供应商需在项目电子化交易系统中按要求上传相应证明文件并进行电子签章。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投标人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法定代表人参加投标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3、供应商承诺：供应商须满足《中华人民共和国政府采购法》第二十二条规定（提供承诺函）；供应商需在项目电子化交易系统中按要求上传相应证明文件并进行电子签章。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供应商应具有行政主管部门颁发的合格有效的建设工程质量检测机构综合资质或建设工程质量检测机构专项资质(建筑材料及构配件、主体结构及装饰装修、钢结构、建筑节能）；供应商需在项目电子化交易系统中按要求上传相应证明文件并进行电子签章。</w:t>
      </w:r>
    </w:p>
    <w:p>
      <w:pPr>
        <w:pStyle w:val="null3"/>
      </w:pPr>
      <w:r>
        <w:rPr>
          <w:rFonts w:ascii="仿宋_GB2312" w:hAnsi="仿宋_GB2312" w:cs="仿宋_GB2312" w:eastAsia="仿宋_GB2312"/>
        </w:rPr>
        <w:t>5、CMA计量认证证书：供应商应具有省级及以上质量技术监督部门颁发的有效期内的CMA计量认证证书。供应商需在项目电子化交易系统中按要求上传相应证明文件并进行电子签章。</w:t>
      </w:r>
    </w:p>
    <w:p>
      <w:pPr>
        <w:pStyle w:val="null3"/>
      </w:pPr>
      <w:r>
        <w:rPr>
          <w:rFonts w:ascii="仿宋_GB2312" w:hAnsi="仿宋_GB2312" w:cs="仿宋_GB2312" w:eastAsia="仿宋_GB2312"/>
        </w:rPr>
        <w:t>6、非联合体投标：非联合体投标声明；供应商需在项目电子化交易系统中按要求上传相应证明文件并进行电子签章。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西安高新区建设工程质量安全监督站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029-81150161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文奕奕、商碧红、王文文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采购包1：1,750,000.00元</w:t>
            </w:r>
          </w:p>
          <w:p>
            <w:pPr>
              <w:pStyle w:val="null3"/>
            </w:pPr>
            <w:r>
              <w:rPr>
                <w:rFonts w:ascii="仿宋_GB2312" w:hAnsi="仿宋_GB2312" w:cs="仿宋_GB2312" w:eastAsia="仿宋_GB2312"/>
              </w:rPr>
              <w:t>采购包2：1,750,000.00元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各包中标人支付代理服务费,根据国家发展改革委发布《关于进一步放开建设项目专业服务价格的通知》（发改价格〔2015〕299号）文件，招标代理费实行市场调节价。故经双方协商确定，100万以下按1.5%收取，100万-500万按0.8%收取。本项目一包以预算金额1750000.00元为基数，收取代理服务费人民币贰万壹仟元整（¥21000.00元），二包以预算金额1750000.00元为基数，收取代理服务费人民币贰万壹仟元整（¥21000.00元），代理服务费均为含税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西安高新区建设工程质量安全监督站</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西安高新区建设工程质量安全监督站</w:t>
      </w:r>
      <w:r>
        <w:rPr>
          <w:rFonts w:ascii="仿宋_GB2312" w:hAnsi="仿宋_GB2312" w:cs="仿宋_GB2312" w:eastAsia="仿宋_GB2312"/>
        </w:rPr>
        <w:t>负责解释。除上述招标文件内容，其他内容由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西安高新区建设工程质量安全监督站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符合招标文件及国家、省市及行业相关“合格”要求。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符合招标文件及国家、省市及行业相关“合格”要求。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联系人：文奕奕</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供应商根据采购方委托，对高新区内2026年度房建工程质量进行抽测检测，并出具具有法律效力的检测报告。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西部大道以北区域2026年度建设项目（房建类）质量抽测检测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西部大道以南区域2026年度建设项目（房建类）质量抽测检测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标的名称：西部大道以北区域2026年度建设项目（房建类）质量抽测检测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rPr>
              <w:t>供应商根据采购方委托，对高新区内</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年度房建工程质量进行抽测检测，并出具具有法律效力的检测报告</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、采购预算</w:t>
            </w:r>
          </w:p>
          <w:p>
            <w:pPr>
              <w:pStyle w:val="null3"/>
            </w:pPr>
            <w:r>
              <w:rPr>
                <w:rFonts w:ascii="仿宋_GB2312" w:hAnsi="仿宋_GB2312" w:cs="仿宋_GB2312" w:eastAsia="仿宋_GB2312"/>
                <w:sz w:val="24"/>
              </w:rPr>
              <w:t>一包：西部大道以北区域</w:t>
            </w:r>
            <w:r>
              <w:rPr>
                <w:rFonts w:ascii="仿宋_GB2312" w:hAnsi="仿宋_GB2312" w:cs="仿宋_GB2312" w:eastAsia="仿宋_GB2312"/>
                <w:sz w:val="24"/>
              </w:rPr>
              <w:t>2026年度</w:t>
            </w:r>
            <w:r>
              <w:rPr>
                <w:rFonts w:ascii="仿宋_GB2312" w:hAnsi="仿宋_GB2312" w:cs="仿宋_GB2312" w:eastAsia="仿宋_GB2312"/>
                <w:sz w:val="24"/>
              </w:rPr>
              <w:t>建设项目，</w:t>
            </w:r>
            <w:r>
              <w:rPr>
                <w:rFonts w:ascii="仿宋_GB2312" w:hAnsi="仿宋_GB2312" w:cs="仿宋_GB2312" w:eastAsia="仿宋_GB2312"/>
                <w:sz w:val="24"/>
              </w:rPr>
              <w:t>175万元。</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rPr>
              <w:t>1、中标方按照采购人委托文件进行项目次检测；</w:t>
            </w:r>
          </w:p>
          <w:p>
            <w:pPr>
              <w:pStyle w:val="null3"/>
              <w:jc w:val="both"/>
            </w:pPr>
            <w:r>
              <w:rPr>
                <w:rFonts w:ascii="仿宋_GB2312" w:hAnsi="仿宋_GB2312" w:cs="仿宋_GB2312" w:eastAsia="仿宋_GB2312"/>
                <w:sz w:val="24"/>
              </w:rPr>
              <w:t>2、出具具有法律效力的检测报告，提供正式发票后支付检测费用。</w:t>
            </w:r>
          </w:p>
          <w:p>
            <w:pPr>
              <w:pStyle w:val="null3"/>
              <w:jc w:val="both"/>
            </w:pPr>
            <w:r>
              <w:rPr>
                <w:rFonts w:ascii="仿宋_GB2312" w:hAnsi="仿宋_GB2312" w:cs="仿宋_GB2312" w:eastAsia="仿宋_GB2312"/>
                <w:sz w:val="24"/>
              </w:rPr>
              <w:t>3、服务期限：</w:t>
            </w:r>
            <w:r>
              <w:rPr>
                <w:rFonts w:ascii="仿宋_GB2312" w:hAnsi="仿宋_GB2312" w:cs="仿宋_GB2312" w:eastAsia="仿宋_GB2312"/>
                <w:sz w:val="24"/>
              </w:rPr>
              <w:t>自合同签订之日起一年</w:t>
            </w:r>
            <w:r>
              <w:rPr>
                <w:rFonts w:ascii="仿宋_GB2312" w:hAnsi="仿宋_GB2312" w:cs="仿宋_GB2312" w:eastAsia="仿宋_GB2312"/>
                <w:sz w:val="24"/>
              </w:rPr>
              <w:t>。</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、技术要求</w:t>
            </w:r>
          </w:p>
          <w:p>
            <w:pPr>
              <w:pStyle w:val="null3"/>
            </w:pPr>
            <w:r>
              <w:rPr>
                <w:rFonts w:ascii="仿宋_GB2312" w:hAnsi="仿宋_GB2312" w:cs="仿宋_GB2312" w:eastAsia="仿宋_GB2312"/>
                <w:sz w:val="24"/>
              </w:rPr>
              <w:t>1.执行国家、省、市现行的相关规定及标准文件；</w:t>
            </w:r>
          </w:p>
          <w:p>
            <w:pPr>
              <w:pStyle w:val="null3"/>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《民用建筑通用规范》</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GB 55031-2022）</w:t>
            </w:r>
            <w:r>
              <w:rPr>
                <w:rFonts w:ascii="仿宋_GB2312" w:hAnsi="仿宋_GB2312" w:cs="仿宋_GB2312" w:eastAsia="仿宋_GB2312"/>
              </w:rPr>
              <w:t xml:space="preserve"> </w:t>
            </w:r>
          </w:p>
          <w:p>
            <w:pPr>
              <w:pStyle w:val="null3"/>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《建筑与市政工程施工质量控制通用规范》（</w:t>
            </w:r>
            <w:r>
              <w:rPr>
                <w:rFonts w:ascii="仿宋_GB2312" w:hAnsi="仿宋_GB2312" w:cs="仿宋_GB2312" w:eastAsia="仿宋_GB2312"/>
                <w:sz w:val="21"/>
                <w:shd w:fill="FFFFFF" w:val="clear"/>
              </w:rPr>
              <w:t>GB 55032-2022）</w:t>
            </w:r>
          </w:p>
          <w:p>
            <w:pPr>
              <w:pStyle w:val="null3"/>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1"/>
                <w:shd w:fill="FFFFFF" w:val="clear"/>
              </w:rPr>
              <w:t>《建设工程质量检测管理办法》（住房和城乡建设部令第</w:t>
            </w:r>
            <w:r>
              <w:rPr>
                <w:rFonts w:ascii="仿宋_GB2312" w:hAnsi="仿宋_GB2312" w:cs="仿宋_GB2312" w:eastAsia="仿宋_GB2312"/>
                <w:sz w:val="21"/>
                <w:shd w:fill="FFFFFF" w:val="clear"/>
              </w:rPr>
              <w:t>57号）</w:t>
            </w:r>
          </w:p>
          <w:p>
            <w:pPr>
              <w:pStyle w:val="null3"/>
            </w:pPr>
            <w:r>
              <w:rPr>
                <w:rFonts w:ascii="仿宋_GB2312" w:hAnsi="仿宋_GB2312" w:cs="仿宋_GB2312" w:eastAsia="仿宋_GB2312"/>
                <w:sz w:val="24"/>
              </w:rPr>
              <w:t>5</w:t>
            </w:r>
            <w:r>
              <w:rPr>
                <w:rFonts w:ascii="仿宋_GB2312" w:hAnsi="仿宋_GB2312" w:cs="仿宋_GB2312" w:eastAsia="仿宋_GB2312"/>
                <w:sz w:val="24"/>
              </w:rPr>
              <w:t>.《房屋建筑和市政基础设施工程质量检测技术管理规范》（GB50618-2011）；</w:t>
            </w:r>
          </w:p>
          <w:p>
            <w:pPr>
              <w:pStyle w:val="null3"/>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1"/>
                <w:shd w:fill="FFFFFF" w:val="clear"/>
              </w:rPr>
              <w:t>《建筑工程施工质量验收统一标准》（</w:t>
            </w:r>
            <w:r>
              <w:rPr>
                <w:rFonts w:ascii="仿宋_GB2312" w:hAnsi="仿宋_GB2312" w:cs="仿宋_GB2312" w:eastAsia="仿宋_GB2312"/>
                <w:sz w:val="21"/>
                <w:shd w:fill="FFFFFF" w:val="clear"/>
              </w:rPr>
              <w:t>GB 50300-2013）</w:t>
            </w:r>
          </w:p>
          <w:p>
            <w:pPr>
              <w:pStyle w:val="null3"/>
              <w:ind w:firstLine="480"/>
            </w:pPr>
            <w:r>
              <w:rPr>
                <w:rFonts w:ascii="仿宋_GB2312" w:hAnsi="仿宋_GB2312" w:cs="仿宋_GB2312" w:eastAsia="仿宋_GB2312"/>
                <w:sz w:val="24"/>
              </w:rPr>
              <w:t>以上规范如有变更以最新发布的为准。除以上所列规范、规程外，供应商还应遵守其他现行设计、施工、及验收规范或规程。供应商应综合考虑工程实际情况，检测工作须满足工程实际需要和采购人要求。</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、本次招标按照检测项目进行单价招标，内容如下：</w:t>
            </w:r>
          </w:p>
          <w:tbl>
            <w:tblPr>
              <w:tblBorders>
                <w:top w:val="none" w:color="000000" w:sz="4"/>
                <w:left w:val="none" w:color="000000" w:sz="4"/>
                <w:bottom w:val="none" w:color="000000" w:sz="4"/>
                <w:right w:val="none" w:color="000000" w:sz="4"/>
                <w:insideH w:val="none"/>
                <w:insideV w:val="none"/>
              </w:tblBorders>
            </w:tblPr>
            <w:tblGrid>
              <w:gridCol w:w="172"/>
              <w:gridCol w:w="272"/>
              <w:gridCol w:w="104"/>
              <w:gridCol w:w="104"/>
              <w:gridCol w:w="104"/>
              <w:gridCol w:w="104"/>
              <w:gridCol w:w="602"/>
              <w:gridCol w:w="461"/>
              <w:gridCol w:w="632"/>
            </w:tblGrid>
            <w:tr>
              <w:tc>
                <w:tcPr>
                  <w:tcW w:type="dxa" w:w="1462"/>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结构实体检测</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招标基准价（元）</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88"/>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砼强度</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回弹法</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88"/>
                  <w:gridSpan w:val="5"/>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钻芯法</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芯样</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钢筋保护层厚度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外墙面砖粘结强度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砂浆强度检测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砌体强度检测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楼板厚度检测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砼内部缺陷检测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混凝土预制构件力学性能检测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后置埋件</w:t>
                  </w:r>
                </w:p>
                <w:p>
                  <w:pPr>
                    <w:pStyle w:val="null3"/>
                    <w:jc w:val="center"/>
                  </w:pPr>
                  <w:r>
                    <w:rPr>
                      <w:rFonts w:ascii="仿宋_GB2312" w:hAnsi="仿宋_GB2312" w:cs="仿宋_GB2312" w:eastAsia="仿宋_GB2312"/>
                      <w:sz w:val="24"/>
                    </w:rPr>
                    <w:t>钢筋、螺栓</w:t>
                  </w: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Φ6-Φ10</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76"/>
                  <w:gridSpan w:val="2"/>
                  <w:vMerge/>
                  <w:tcBorders>
                    <w:top w:val="none" w:color="000000" w:sz="4"/>
                    <w:left w:val="single" w:color="000000" w:sz="4"/>
                    <w:bottom w:val="single" w:color="000000" w:sz="4"/>
                    <w:right w:val="single" w:color="000000" w:sz="4"/>
                  </w:tcBorders>
                </w:tcP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Φ12-Φ18</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76"/>
                  <w:gridSpan w:val="2"/>
                  <w:vMerge/>
                  <w:tcBorders>
                    <w:top w:val="none" w:color="000000" w:sz="4"/>
                    <w:left w:val="single" w:color="000000" w:sz="4"/>
                    <w:bottom w:val="single" w:color="000000" w:sz="4"/>
                    <w:right w:val="single" w:color="000000" w:sz="4"/>
                  </w:tcBorders>
                </w:tcP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Φ20</w:t>
                  </w:r>
                  <w:r>
                    <w:rPr>
                      <w:rFonts w:ascii="仿宋_GB2312" w:hAnsi="仿宋_GB2312" w:cs="仿宋_GB2312" w:eastAsia="仿宋_GB2312"/>
                      <w:sz w:val="24"/>
                    </w:rPr>
                    <w:t>以上</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46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钢结构实体检测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高强螺栓扭矩系数检验</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高强螺栓抗滑移系数检验</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80"/>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钢构件</w:t>
                  </w:r>
                </w:p>
                <w:p>
                  <w:pPr>
                    <w:pStyle w:val="null3"/>
                    <w:jc w:val="center"/>
                  </w:pPr>
                  <w:r>
                    <w:rPr>
                      <w:rFonts w:ascii="仿宋_GB2312" w:hAnsi="仿宋_GB2312" w:cs="仿宋_GB2312" w:eastAsia="仿宋_GB2312"/>
                      <w:sz w:val="24"/>
                    </w:rPr>
                    <w:t>焊缝探伤</w:t>
                  </w:r>
                </w:p>
              </w:tc>
              <w:tc>
                <w:tcPr>
                  <w:tcW w:type="dxa" w:w="8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一级焊缝</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80"/>
                  <w:gridSpan w:val="3"/>
                  <w:vMerge/>
                  <w:tcBorders>
                    <w:top w:val="none" w:color="000000" w:sz="4"/>
                    <w:left w:val="single" w:color="000000" w:sz="4"/>
                    <w:bottom w:val="single" w:color="000000" w:sz="4"/>
                    <w:right w:val="single" w:color="000000" w:sz="4"/>
                  </w:tcBorders>
                </w:tcPr>
                <w:p/>
              </w:tc>
              <w:tc>
                <w:tcPr>
                  <w:tcW w:type="dxa" w:w="8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二级焊缝</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钢柱垂直度、钢梁挠度检测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防火涂料涂层厚度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防腐涂层厚度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高强螺栓连接副施工扭矩力</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钢网架挠度检测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46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原材料</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水泥安定性、强度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普砖、多孔砖</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空心砖</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混凝土砌块</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钢筋原材</w:t>
                  </w:r>
                </w:p>
              </w:tc>
              <w:tc>
                <w:tcPr>
                  <w:tcW w:type="dxa" w:w="10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≤Φ20</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2"/>
                  <w:vMerge/>
                  <w:tcBorders>
                    <w:top w:val="none" w:color="000000" w:sz="4"/>
                    <w:left w:val="single" w:color="000000" w:sz="4"/>
                    <w:bottom w:val="single" w:color="000000" w:sz="4"/>
                    <w:right w:val="single" w:color="000000" w:sz="4"/>
                  </w:tcBorders>
                </w:tcPr>
                <w:p/>
              </w:tc>
              <w:tc>
                <w:tcPr>
                  <w:tcW w:type="dxa" w:w="10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Φ22</w:t>
                  </w:r>
                  <w:r>
                    <w:rPr>
                      <w:rFonts w:ascii="仿宋_GB2312" w:hAnsi="仿宋_GB2312" w:cs="仿宋_GB2312" w:eastAsia="仿宋_GB2312"/>
                      <w:sz w:val="24"/>
                    </w:rPr>
                    <w:t>～</w:t>
                  </w:r>
                  <w:r>
                    <w:rPr>
                      <w:rFonts w:ascii="仿宋_GB2312" w:hAnsi="仿宋_GB2312" w:cs="仿宋_GB2312" w:eastAsia="仿宋_GB2312"/>
                      <w:sz w:val="24"/>
                    </w:rPr>
                    <w:t>Φ32</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2"/>
                  <w:vMerge/>
                  <w:tcBorders>
                    <w:top w:val="none" w:color="000000" w:sz="4"/>
                    <w:left w:val="single" w:color="000000" w:sz="4"/>
                    <w:bottom w:val="single" w:color="000000" w:sz="4"/>
                    <w:right w:val="single" w:color="000000" w:sz="4"/>
                  </w:tcBorders>
                </w:tcPr>
                <w:p/>
              </w:tc>
              <w:tc>
                <w:tcPr>
                  <w:tcW w:type="dxa" w:w="10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Φ32</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焊接连接件</w:t>
                  </w:r>
                </w:p>
              </w:tc>
              <w:tc>
                <w:tcPr>
                  <w:tcW w:type="dxa" w:w="10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≤Φ20</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72"/>
                  <w:vMerge/>
                  <w:tcBorders>
                    <w:top w:val="none" w:color="000000" w:sz="4"/>
                    <w:left w:val="single" w:color="000000" w:sz="4"/>
                    <w:bottom w:val="single" w:color="000000" w:sz="4"/>
                    <w:right w:val="single" w:color="000000" w:sz="4"/>
                  </w:tcBorders>
                </w:tcPr>
                <w:p/>
              </w:tc>
              <w:tc>
                <w:tcPr>
                  <w:tcW w:type="dxa" w:w="10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Φ22</w:t>
                  </w:r>
                  <w:r>
                    <w:rPr>
                      <w:rFonts w:ascii="仿宋_GB2312" w:hAnsi="仿宋_GB2312" w:cs="仿宋_GB2312" w:eastAsia="仿宋_GB2312"/>
                      <w:sz w:val="24"/>
                    </w:rPr>
                    <w:t>～</w:t>
                  </w:r>
                  <w:r>
                    <w:rPr>
                      <w:rFonts w:ascii="仿宋_GB2312" w:hAnsi="仿宋_GB2312" w:cs="仿宋_GB2312" w:eastAsia="仿宋_GB2312"/>
                      <w:sz w:val="24"/>
                    </w:rPr>
                    <w:t>Φ28</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2"/>
                  <w:vMerge/>
                  <w:tcBorders>
                    <w:top w:val="none" w:color="000000" w:sz="4"/>
                    <w:left w:val="single" w:color="000000" w:sz="4"/>
                    <w:bottom w:val="single" w:color="000000" w:sz="4"/>
                    <w:right w:val="single" w:color="000000" w:sz="4"/>
                  </w:tcBorders>
                </w:tcPr>
                <w:p/>
              </w:tc>
              <w:tc>
                <w:tcPr>
                  <w:tcW w:type="dxa" w:w="10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Φ28</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各种型钢</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铝型材</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混凝土、砂浆试块抗压强度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混凝土、砂浆配合比</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混凝土抗水渗透性能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混凝土抗冻性能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次循环</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砂、石骨料</w:t>
                  </w:r>
                </w:p>
              </w:tc>
              <w:tc>
                <w:tcPr>
                  <w:tcW w:type="dxa" w:w="10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含泥量、颗粒级配、泥块含量等</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2"/>
                  <w:vMerge/>
                  <w:tcBorders>
                    <w:top w:val="none" w:color="000000" w:sz="4"/>
                    <w:left w:val="single" w:color="000000" w:sz="4"/>
                    <w:bottom w:val="single" w:color="000000" w:sz="4"/>
                    <w:right w:val="single" w:color="000000" w:sz="4"/>
                  </w:tcBorders>
                </w:tcPr>
                <w:p/>
              </w:tc>
              <w:tc>
                <w:tcPr>
                  <w:tcW w:type="dxa" w:w="10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坚固性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72"/>
                  <w:vMerge/>
                  <w:tcBorders>
                    <w:top w:val="none" w:color="000000" w:sz="4"/>
                    <w:left w:val="single" w:color="000000" w:sz="4"/>
                    <w:bottom w:val="single" w:color="000000" w:sz="4"/>
                    <w:right w:val="single" w:color="000000" w:sz="4"/>
                  </w:tcBorders>
                </w:tcPr>
                <w:p/>
              </w:tc>
              <w:tc>
                <w:tcPr>
                  <w:tcW w:type="dxa" w:w="10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碱活性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SBS\APP卷材</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高分子增强复合防水卷材</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聚氨酯防水涂料</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合成树脂乳液涂料</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墙地面瓷砖物理性能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石材物理性能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瓷砖粘合剂、嵌缝剂</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混凝土界面剂</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耐候胶、硅酮密封胶</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琉璃制品物理性能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木材物理力学性能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膨胀珍珠岩制品</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玻璃棉、岩棉、矿渣棉</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保温板常规检测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37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保温板燃烧性能</w:t>
                  </w: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B1级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76"/>
                  <w:gridSpan w:val="2"/>
                  <w:vMerge/>
                  <w:tcBorders>
                    <w:top w:val="none" w:color="000000" w:sz="4"/>
                    <w:left w:val="single" w:color="000000" w:sz="4"/>
                    <w:bottom w:val="single" w:color="000000" w:sz="4"/>
                    <w:right w:val="single" w:color="000000" w:sz="4"/>
                  </w:tcBorders>
                </w:tcP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B2级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76"/>
                  <w:gridSpan w:val="2"/>
                  <w:vMerge/>
                  <w:tcBorders>
                    <w:top w:val="none" w:color="000000" w:sz="4"/>
                    <w:left w:val="single" w:color="000000" w:sz="4"/>
                    <w:bottom w:val="single" w:color="000000" w:sz="4"/>
                    <w:right w:val="single" w:color="000000" w:sz="4"/>
                  </w:tcBorders>
                </w:tcP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A1级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保温锚固件、镀锌电焊网</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耐碱网格布</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聚合物砂浆</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钢丝网架夹芯板</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保温系统构造钻芯检测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保温系统拉拔</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保温钉拉拔</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外墙瓷砖拉拔</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土工击实试验</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砂石级配</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灰土环刀取样</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砂石垫层取样</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电线</w:t>
                  </w:r>
                  <w:r>
                    <w:rPr>
                      <w:rFonts w:ascii="仿宋_GB2312" w:hAnsi="仿宋_GB2312" w:cs="仿宋_GB2312" w:eastAsia="仿宋_GB2312"/>
                      <w:sz w:val="24"/>
                    </w:rPr>
                    <w:t>/电缆</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800/1200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给水管、排水管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组（常规）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37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w:t>
                  </w: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气密性、水密性、抗风压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376"/>
                  <w:gridSpan w:val="2"/>
                  <w:vMerge/>
                  <w:tcBorders>
                    <w:top w:val="none" w:color="000000" w:sz="4"/>
                    <w:left w:val="single" w:color="000000" w:sz="4"/>
                    <w:bottom w:val="single" w:color="000000" w:sz="4"/>
                    <w:right w:val="single" w:color="000000" w:sz="4"/>
                  </w:tcBorders>
                </w:tcP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传热系数</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376"/>
                  <w:gridSpan w:val="2"/>
                  <w:vMerge/>
                  <w:tcBorders>
                    <w:top w:val="none" w:color="000000" w:sz="4"/>
                    <w:left w:val="single" w:color="000000" w:sz="4"/>
                    <w:bottom w:val="single" w:color="000000" w:sz="4"/>
                    <w:right w:val="single" w:color="000000" w:sz="4"/>
                  </w:tcBorders>
                </w:tcP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中空露点</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37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钢结构</w:t>
                  </w:r>
                </w:p>
                <w:p>
                  <w:pPr>
                    <w:pStyle w:val="null3"/>
                    <w:jc w:val="center"/>
                  </w:pPr>
                  <w:r>
                    <w:rPr>
                      <w:rFonts w:ascii="仿宋_GB2312" w:hAnsi="仿宋_GB2312" w:cs="仿宋_GB2312" w:eastAsia="仿宋_GB2312"/>
                      <w:sz w:val="24"/>
                    </w:rPr>
                    <w:t>材料</w:t>
                  </w: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高强螺栓抗扭</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376"/>
                  <w:gridSpan w:val="2"/>
                  <w:vMerge/>
                  <w:tcBorders>
                    <w:top w:val="none" w:color="000000" w:sz="4"/>
                    <w:left w:val="single" w:color="000000" w:sz="4"/>
                    <w:bottom w:val="single" w:color="000000" w:sz="4"/>
                    <w:right w:val="single" w:color="000000" w:sz="4"/>
                  </w:tcBorders>
                </w:tcP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高强螺栓硬度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376"/>
                  <w:gridSpan w:val="2"/>
                  <w:vMerge/>
                  <w:tcBorders>
                    <w:top w:val="none" w:color="000000" w:sz="4"/>
                    <w:left w:val="single" w:color="000000" w:sz="4"/>
                    <w:bottom w:val="single" w:color="000000" w:sz="4"/>
                    <w:right w:val="single" w:color="000000" w:sz="4"/>
                  </w:tcBorders>
                </w:tcPr>
                <w:p/>
              </w:tc>
              <w:tc>
                <w:tcPr>
                  <w:tcW w:type="dxa" w:w="9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抗滑移</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水性涂料、胶粘剂、处理剂</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游离甲醛</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挥发性有机物</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人造板</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甲醛含量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甲醛释放量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商混站原材料抽测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抽测参数</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61</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通用硅酸盐水泥</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62</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63</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64</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安定性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65</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66</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烧失量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67</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68</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氧化镁含量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69</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三氧化硫含量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70</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建筑用卵石、碎石</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颗粒级配、泥块含量、含泥量、针片状颗粒含量、压碎指标</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71</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建筑用砂</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颗粒级配、含泥量、泥块含量、堆积密度、云母含量、氯化物含量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72</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混凝土配合比验证</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养护</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74</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抗压强度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75</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砂浆土配合比验证</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养护</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76</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77</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抗压强度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78</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混凝土外加剂</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79</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80</w:t>
                  </w:r>
                </w:p>
              </w:tc>
              <w:tc>
                <w:tcPr>
                  <w:tcW w:type="dxa" w:w="584"/>
                  <w:gridSpan w:val="4"/>
                  <w:vMerge/>
                  <w:tcBorders>
                    <w:top w:val="none" w:color="000000" w:sz="4"/>
                    <w:left w:val="single" w:color="000000" w:sz="4"/>
                    <w:bottom w:val="single" w:color="000000" w:sz="4"/>
                    <w:right w:val="single" w:color="000000" w:sz="4"/>
                  </w:tcBorders>
                </w:tcP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粉煤灰</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细度、吸水量比、烧失量、三氧化硫含量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82</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减水剂</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减水率、泌水率比、凝结时间差、坍落度</w:t>
                  </w:r>
                  <w:r>
                    <w:rPr>
                      <w:rFonts w:ascii="仿宋_GB2312" w:hAnsi="仿宋_GB2312" w:cs="仿宋_GB2312" w:eastAsia="仿宋_GB2312"/>
                      <w:sz w:val="24"/>
                    </w:rPr>
                    <w:t>1h经时变化量、抗压强度比</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83</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泵送剂</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减水率、泌水率比、凝结时间差、坍落度</w:t>
                  </w:r>
                  <w:r>
                    <w:rPr>
                      <w:rFonts w:ascii="仿宋_GB2312" w:hAnsi="仿宋_GB2312" w:cs="仿宋_GB2312" w:eastAsia="仿宋_GB2312"/>
                      <w:sz w:val="24"/>
                    </w:rPr>
                    <w:t>1h经时变化量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84</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混凝土膨胀剂</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凝结时间、抗压强度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85</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矿渣粉</w:t>
                  </w:r>
                </w:p>
              </w:tc>
              <w:tc>
                <w:tcPr>
                  <w:tcW w:type="dxa" w:w="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烧失量、三氧化硫含量、氯离子含量、比表面积、活性指数、流动度比、初凝时间比、含水量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r>
          </w:tbl>
          <w:p>
            <w:pPr>
              <w:pStyle w:val="null3"/>
              <w:numPr>
                <w:ilvl w:val="0"/>
                <w:numId w:val="1"/>
              </w:numPr>
              <w:jc w:val="both"/>
            </w:pPr>
            <w:r>
              <w:rPr>
                <w:rFonts w:ascii="仿宋_GB2312" w:hAnsi="仿宋_GB2312" w:cs="仿宋_GB2312" w:eastAsia="仿宋_GB2312"/>
                <w:sz w:val="24"/>
                <w:b/>
              </w:rPr>
              <w:t>六、成果交付期限：</w:t>
            </w:r>
            <w:r>
              <w:rPr>
                <w:rFonts w:ascii="仿宋_GB2312" w:hAnsi="仿宋_GB2312" w:cs="仿宋_GB2312" w:eastAsia="仿宋_GB2312"/>
                <w:sz w:val="24"/>
              </w:rPr>
              <w:t>接到采购人委托文件后</w:t>
            </w:r>
            <w:r>
              <w:rPr>
                <w:rFonts w:ascii="仿宋_GB2312" w:hAnsi="仿宋_GB2312" w:cs="仿宋_GB2312" w:eastAsia="仿宋_GB2312"/>
                <w:sz w:val="24"/>
              </w:rPr>
              <w:t>15 个工作日内提供具有法律效力的检测报告。</w:t>
            </w:r>
          </w:p>
          <w:p>
            <w:pPr>
              <w:pStyle w:val="null3"/>
              <w:numPr>
                <w:ilvl w:val="0"/>
                <w:numId w:val="1"/>
              </w:numPr>
              <w:jc w:val="both"/>
            </w:pPr>
            <w:r>
              <w:rPr>
                <w:rFonts w:ascii="仿宋_GB2312" w:hAnsi="仿宋_GB2312" w:cs="仿宋_GB2312" w:eastAsia="仿宋_GB2312"/>
                <w:sz w:val="24"/>
                <w:b/>
              </w:rPr>
              <w:t>七、交付标准和方法：</w:t>
            </w:r>
          </w:p>
          <w:p>
            <w:pPr>
              <w:pStyle w:val="null3"/>
              <w:ind w:firstLine="480"/>
              <w:jc w:val="both"/>
            </w:pPr>
            <w:r>
              <w:rPr>
                <w:rFonts w:ascii="仿宋_GB2312" w:hAnsi="仿宋_GB2312" w:cs="仿宋_GB2312" w:eastAsia="仿宋_GB2312"/>
                <w:sz w:val="24"/>
              </w:rPr>
              <w:t>1.交付质量需</w:t>
            </w:r>
            <w:r>
              <w:rPr>
                <w:rFonts w:ascii="仿宋_GB2312" w:hAnsi="仿宋_GB2312" w:cs="仿宋_GB2312" w:eastAsia="仿宋_GB2312"/>
                <w:sz w:val="24"/>
              </w:rPr>
              <w:t>符合国家法律法规规定的标准、</w:t>
            </w:r>
            <w:r>
              <w:rPr>
                <w:rFonts w:ascii="仿宋_GB2312" w:hAnsi="仿宋_GB2312" w:cs="仿宋_GB2312" w:eastAsia="仿宋_GB2312"/>
                <w:sz w:val="24"/>
              </w:rPr>
              <w:t>招标文件</w:t>
            </w:r>
            <w:r>
              <w:rPr>
                <w:rFonts w:ascii="仿宋_GB2312" w:hAnsi="仿宋_GB2312" w:cs="仿宋_GB2312" w:eastAsia="仿宋_GB2312"/>
                <w:sz w:val="24"/>
              </w:rPr>
              <w:t>和</w:t>
            </w:r>
            <w:r>
              <w:rPr>
                <w:rFonts w:ascii="仿宋_GB2312" w:hAnsi="仿宋_GB2312" w:cs="仿宋_GB2312" w:eastAsia="仿宋_GB2312"/>
                <w:sz w:val="24"/>
              </w:rPr>
              <w:t>供应商投标文件</w:t>
            </w:r>
            <w:r>
              <w:rPr>
                <w:rFonts w:ascii="仿宋_GB2312" w:hAnsi="仿宋_GB2312" w:cs="仿宋_GB2312" w:eastAsia="仿宋_GB2312"/>
                <w:sz w:val="24"/>
              </w:rPr>
              <w:t>所</w:t>
            </w:r>
            <w:r>
              <w:rPr>
                <w:rFonts w:ascii="仿宋_GB2312" w:hAnsi="仿宋_GB2312" w:cs="仿宋_GB2312" w:eastAsia="仿宋_GB2312"/>
                <w:sz w:val="24"/>
              </w:rPr>
              <w:t>响应</w:t>
            </w:r>
            <w:r>
              <w:rPr>
                <w:rFonts w:ascii="仿宋_GB2312" w:hAnsi="仿宋_GB2312" w:cs="仿宋_GB2312" w:eastAsia="仿宋_GB2312"/>
                <w:sz w:val="24"/>
              </w:rPr>
              <w:t>的技术标准。</w:t>
            </w:r>
            <w:r>
              <w:rPr>
                <w:rFonts w:ascii="仿宋_GB2312" w:hAnsi="仿宋_GB2312" w:cs="仿宋_GB2312" w:eastAsia="仿宋_GB2312"/>
                <w:sz w:val="24"/>
              </w:rPr>
              <w:t>检测完成后，供应商须向采购人提交纸质版的正式检测报告及报告电子版（</w:t>
            </w:r>
            <w:r>
              <w:rPr>
                <w:rFonts w:ascii="仿宋_GB2312" w:hAnsi="仿宋_GB2312" w:cs="仿宋_GB2312" w:eastAsia="仿宋_GB2312"/>
                <w:sz w:val="24"/>
              </w:rPr>
              <w:t>PDF格式），报告具体份数根据采购人要求提供。</w:t>
            </w:r>
          </w:p>
          <w:p>
            <w:pPr>
              <w:pStyle w:val="null3"/>
              <w:ind w:firstLine="480"/>
              <w:jc w:val="both"/>
            </w:pPr>
            <w:r>
              <w:rPr>
                <w:rFonts w:ascii="仿宋_GB2312" w:hAnsi="仿宋_GB2312" w:cs="仿宋_GB2312" w:eastAsia="仿宋_GB2312"/>
                <w:sz w:val="24"/>
              </w:rPr>
              <w:t>2.保证报告所出具的数据及结论的真实性。</w:t>
            </w:r>
          </w:p>
          <w:p>
            <w:pPr>
              <w:pStyle w:val="null3"/>
              <w:jc w:val="both"/>
            </w:pPr>
            <w:r>
              <w:rPr>
                <w:rFonts w:ascii="仿宋_GB2312" w:hAnsi="仿宋_GB2312" w:cs="仿宋_GB2312" w:eastAsia="仿宋_GB2312"/>
                <w:sz w:val="24"/>
                <w:b/>
              </w:rPr>
              <w:t xml:space="preserve">   八、</w:t>
            </w:r>
            <w:r>
              <w:rPr>
                <w:rFonts w:ascii="仿宋_GB2312" w:hAnsi="仿宋_GB2312" w:cs="仿宋_GB2312" w:eastAsia="仿宋_GB2312"/>
                <w:sz w:val="24"/>
                <w:b/>
              </w:rPr>
              <w:t>报价及合同签订</w:t>
            </w:r>
            <w:r>
              <w:rPr>
                <w:rFonts w:ascii="仿宋_GB2312" w:hAnsi="仿宋_GB2312" w:cs="仿宋_GB2312" w:eastAsia="仿宋_GB2312"/>
                <w:sz w:val="24"/>
                <w:b/>
              </w:rPr>
              <w:t>:</w:t>
            </w:r>
          </w:p>
          <w:p>
            <w:pPr>
              <w:pStyle w:val="null3"/>
            </w:pPr>
            <w:r>
              <w:rPr>
                <w:rFonts w:ascii="仿宋_GB2312" w:hAnsi="仿宋_GB2312" w:cs="仿宋_GB2312" w:eastAsia="仿宋_GB2312"/>
                <w:sz w:val="24"/>
              </w:rPr>
              <w:t xml:space="preserve">  供应商只报折扣，以中标折扣折算单价签订单价合同。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标的名称：西部大道以南区域2026年度建设项目（房建类）质量抽测检测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r>
              <w:rPr>
                <w:rFonts w:ascii="仿宋_GB2312" w:hAnsi="仿宋_GB2312" w:cs="仿宋_GB2312" w:eastAsia="仿宋_GB2312"/>
                <w:sz w:val="24"/>
              </w:rPr>
              <w:t>：</w:t>
            </w:r>
            <w:r>
              <w:rPr>
                <w:rFonts w:ascii="仿宋_GB2312" w:hAnsi="仿宋_GB2312" w:cs="仿宋_GB2312" w:eastAsia="仿宋_GB2312"/>
                <w:sz w:val="24"/>
              </w:rPr>
              <w:t>供应商根据采购方委托，对高新区内</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年度房建工程质量进行抽测检测，并出具具有法律效力的检测报告</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、采购预算</w:t>
            </w:r>
          </w:p>
          <w:p>
            <w:pPr>
              <w:pStyle w:val="null3"/>
            </w:pPr>
            <w:r>
              <w:rPr>
                <w:rFonts w:ascii="仿宋_GB2312" w:hAnsi="仿宋_GB2312" w:cs="仿宋_GB2312" w:eastAsia="仿宋_GB2312"/>
                <w:sz w:val="24"/>
              </w:rPr>
              <w:t>二包：西部大道以南区域</w:t>
            </w:r>
            <w:r>
              <w:rPr>
                <w:rFonts w:ascii="仿宋_GB2312" w:hAnsi="仿宋_GB2312" w:cs="仿宋_GB2312" w:eastAsia="仿宋_GB2312"/>
                <w:sz w:val="24"/>
              </w:rPr>
              <w:t>2026年度</w:t>
            </w:r>
            <w:r>
              <w:rPr>
                <w:rFonts w:ascii="仿宋_GB2312" w:hAnsi="仿宋_GB2312" w:cs="仿宋_GB2312" w:eastAsia="仿宋_GB2312"/>
                <w:sz w:val="24"/>
              </w:rPr>
              <w:t>建设项目，</w:t>
            </w:r>
            <w:r>
              <w:rPr>
                <w:rFonts w:ascii="仿宋_GB2312" w:hAnsi="仿宋_GB2312" w:cs="仿宋_GB2312" w:eastAsia="仿宋_GB2312"/>
                <w:sz w:val="24"/>
              </w:rPr>
              <w:t>175万元</w:t>
            </w:r>
            <w:r>
              <w:rPr>
                <w:rFonts w:ascii="仿宋_GB2312" w:hAnsi="仿宋_GB2312" w:cs="仿宋_GB2312" w:eastAsia="仿宋_GB2312"/>
                <w:sz w:val="24"/>
              </w:rPr>
              <w:t>。</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rPr>
              <w:t>1、中标方按照采购人委托文件进行项目次检测；</w:t>
            </w:r>
          </w:p>
          <w:p>
            <w:pPr>
              <w:pStyle w:val="null3"/>
              <w:jc w:val="both"/>
            </w:pPr>
            <w:r>
              <w:rPr>
                <w:rFonts w:ascii="仿宋_GB2312" w:hAnsi="仿宋_GB2312" w:cs="仿宋_GB2312" w:eastAsia="仿宋_GB2312"/>
                <w:sz w:val="24"/>
              </w:rPr>
              <w:t>2、出具具有法律效力的检测报告，提供正式发票后支付检测费用。</w:t>
            </w:r>
          </w:p>
          <w:p>
            <w:pPr>
              <w:pStyle w:val="null3"/>
              <w:jc w:val="both"/>
            </w:pPr>
            <w:r>
              <w:rPr>
                <w:rFonts w:ascii="仿宋_GB2312" w:hAnsi="仿宋_GB2312" w:cs="仿宋_GB2312" w:eastAsia="仿宋_GB2312"/>
                <w:sz w:val="24"/>
              </w:rPr>
              <w:t>3、服务期限：</w:t>
            </w:r>
            <w:r>
              <w:rPr>
                <w:rFonts w:ascii="仿宋_GB2312" w:hAnsi="仿宋_GB2312" w:cs="仿宋_GB2312" w:eastAsia="仿宋_GB2312"/>
                <w:sz w:val="24"/>
              </w:rPr>
              <w:t>自合同签订之日起一年</w:t>
            </w:r>
            <w:r>
              <w:rPr>
                <w:rFonts w:ascii="仿宋_GB2312" w:hAnsi="仿宋_GB2312" w:cs="仿宋_GB2312" w:eastAsia="仿宋_GB2312"/>
                <w:sz w:val="24"/>
              </w:rPr>
              <w:t>。</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、技术要求</w:t>
            </w:r>
          </w:p>
          <w:p>
            <w:pPr>
              <w:pStyle w:val="null3"/>
            </w:pPr>
            <w:r>
              <w:rPr>
                <w:rFonts w:ascii="仿宋_GB2312" w:hAnsi="仿宋_GB2312" w:cs="仿宋_GB2312" w:eastAsia="仿宋_GB2312"/>
                <w:sz w:val="24"/>
              </w:rPr>
              <w:t>1.执行国家、省、市现行的相关规定及标准文件；</w:t>
            </w:r>
          </w:p>
          <w:p>
            <w:pPr>
              <w:pStyle w:val="null3"/>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《民用建筑通用规范》</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GB 55031-2022）</w:t>
            </w:r>
            <w:r>
              <w:rPr>
                <w:rFonts w:ascii="仿宋_GB2312" w:hAnsi="仿宋_GB2312" w:cs="仿宋_GB2312" w:eastAsia="仿宋_GB2312"/>
              </w:rPr>
              <w:t xml:space="preserve"> </w:t>
            </w:r>
          </w:p>
          <w:p>
            <w:pPr>
              <w:pStyle w:val="null3"/>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《建筑与市政工程施工质量控制通用规范》（</w:t>
            </w:r>
            <w:r>
              <w:rPr>
                <w:rFonts w:ascii="仿宋_GB2312" w:hAnsi="仿宋_GB2312" w:cs="仿宋_GB2312" w:eastAsia="仿宋_GB2312"/>
                <w:sz w:val="21"/>
                <w:shd w:fill="FFFFFF" w:val="clear"/>
              </w:rPr>
              <w:t>GB 55032-2022）</w:t>
            </w:r>
          </w:p>
          <w:p>
            <w:pPr>
              <w:pStyle w:val="null3"/>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1"/>
                <w:shd w:fill="FFFFFF" w:val="clear"/>
              </w:rPr>
              <w:t>《建设工程质量检测管理办法》（住房和城乡建设部令第</w:t>
            </w:r>
            <w:r>
              <w:rPr>
                <w:rFonts w:ascii="仿宋_GB2312" w:hAnsi="仿宋_GB2312" w:cs="仿宋_GB2312" w:eastAsia="仿宋_GB2312"/>
                <w:sz w:val="21"/>
                <w:shd w:fill="FFFFFF" w:val="clear"/>
              </w:rPr>
              <w:t>57号）</w:t>
            </w:r>
          </w:p>
          <w:p>
            <w:pPr>
              <w:pStyle w:val="null3"/>
            </w:pPr>
            <w:r>
              <w:rPr>
                <w:rFonts w:ascii="仿宋_GB2312" w:hAnsi="仿宋_GB2312" w:cs="仿宋_GB2312" w:eastAsia="仿宋_GB2312"/>
                <w:sz w:val="24"/>
              </w:rPr>
              <w:t>5</w:t>
            </w:r>
            <w:r>
              <w:rPr>
                <w:rFonts w:ascii="仿宋_GB2312" w:hAnsi="仿宋_GB2312" w:cs="仿宋_GB2312" w:eastAsia="仿宋_GB2312"/>
                <w:sz w:val="24"/>
              </w:rPr>
              <w:t>.《房屋建筑和市政基础设施工程质量检测技术管理规范》（GB50618-2011）；</w:t>
            </w:r>
          </w:p>
          <w:p>
            <w:pPr>
              <w:pStyle w:val="null3"/>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1"/>
                <w:shd w:fill="FFFFFF" w:val="clear"/>
              </w:rPr>
              <w:t>《建筑工程施工质量验收统一标准》（</w:t>
            </w:r>
            <w:r>
              <w:rPr>
                <w:rFonts w:ascii="仿宋_GB2312" w:hAnsi="仿宋_GB2312" w:cs="仿宋_GB2312" w:eastAsia="仿宋_GB2312"/>
                <w:sz w:val="21"/>
                <w:shd w:fill="FFFFFF" w:val="clear"/>
              </w:rPr>
              <w:t>GB 50300-2013）</w:t>
            </w:r>
          </w:p>
          <w:p>
            <w:pPr>
              <w:pStyle w:val="null3"/>
              <w:ind w:firstLine="480"/>
            </w:pPr>
            <w:r>
              <w:rPr>
                <w:rFonts w:ascii="仿宋_GB2312" w:hAnsi="仿宋_GB2312" w:cs="仿宋_GB2312" w:eastAsia="仿宋_GB2312"/>
                <w:sz w:val="24"/>
              </w:rPr>
              <w:t>以上规范如有变更以最新发布的为准。除以上所列规范、规程外，供应商还应遵守其他现行设计、施工、及验收规范或规程。供应商应综合考虑工程实际情况，检测工作须满足工程实际需要和采购人要求。</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、本次招标按照检测项目进行单价招标，内容如下：</w:t>
            </w:r>
          </w:p>
          <w:tbl>
            <w:tblPr>
              <w:tblBorders>
                <w:top w:val="none" w:color="000000" w:sz="4"/>
                <w:left w:val="none" w:color="000000" w:sz="4"/>
                <w:bottom w:val="none" w:color="000000" w:sz="4"/>
                <w:right w:val="none" w:color="000000" w:sz="4"/>
                <w:insideH w:val="none"/>
                <w:insideV w:val="none"/>
              </w:tblBorders>
            </w:tblPr>
            <w:tblGrid>
              <w:gridCol w:w="172"/>
              <w:gridCol w:w="272"/>
              <w:gridCol w:w="104"/>
              <w:gridCol w:w="104"/>
              <w:gridCol w:w="104"/>
              <w:gridCol w:w="104"/>
              <w:gridCol w:w="601"/>
              <w:gridCol w:w="461"/>
              <w:gridCol w:w="632"/>
            </w:tblGrid>
            <w:tr>
              <w:tc>
                <w:tcPr>
                  <w:tcW w:type="dxa" w:w="1461"/>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结构实体检测</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招标基准价（元）</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88"/>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砼强度</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回弹法</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88"/>
                  <w:gridSpan w:val="5"/>
                  <w:vMerge/>
                  <w:tcBorders>
                    <w:top w:val="none" w:color="000000" w:sz="4"/>
                    <w:left w:val="single" w:color="000000" w:sz="4"/>
                    <w:bottom w:val="single" w:color="000000" w:sz="4"/>
                    <w:right w:val="single" w:color="000000" w:sz="4"/>
                  </w:tcBorders>
                </w:tcP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钻芯法</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芯样</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钢筋保护层厚度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外墙面砖粘结强度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砂浆强度检测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砌体强度检测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楼板厚度检测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砼内部缺陷检测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混凝土预制构件力学性能检测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后置埋件</w:t>
                  </w:r>
                </w:p>
                <w:p>
                  <w:pPr>
                    <w:pStyle w:val="null3"/>
                    <w:jc w:val="center"/>
                  </w:pPr>
                  <w:r>
                    <w:rPr>
                      <w:rFonts w:ascii="仿宋_GB2312" w:hAnsi="仿宋_GB2312" w:cs="仿宋_GB2312" w:eastAsia="仿宋_GB2312"/>
                      <w:sz w:val="24"/>
                    </w:rPr>
                    <w:t>钢筋、螺栓</w:t>
                  </w: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Φ6-Φ10</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76"/>
                  <w:gridSpan w:val="2"/>
                  <w:vMerge/>
                  <w:tcBorders>
                    <w:top w:val="none" w:color="000000" w:sz="4"/>
                    <w:left w:val="single" w:color="000000" w:sz="4"/>
                    <w:bottom w:val="single" w:color="000000" w:sz="4"/>
                    <w:right w:val="single" w:color="000000" w:sz="4"/>
                  </w:tcBorders>
                </w:tcP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Φ12-Φ18</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76"/>
                  <w:gridSpan w:val="2"/>
                  <w:vMerge/>
                  <w:tcBorders>
                    <w:top w:val="none" w:color="000000" w:sz="4"/>
                    <w:left w:val="single" w:color="000000" w:sz="4"/>
                    <w:bottom w:val="single" w:color="000000" w:sz="4"/>
                    <w:right w:val="single" w:color="000000" w:sz="4"/>
                  </w:tcBorders>
                </w:tcP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Φ20</w:t>
                  </w:r>
                  <w:r>
                    <w:rPr>
                      <w:rFonts w:ascii="仿宋_GB2312" w:hAnsi="仿宋_GB2312" w:cs="仿宋_GB2312" w:eastAsia="仿宋_GB2312"/>
                      <w:sz w:val="24"/>
                    </w:rPr>
                    <w:t>以上</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46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钢结构实体检测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高强螺栓扭矩系数检验</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高强螺栓抗滑移系数检验</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80"/>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钢构件</w:t>
                  </w:r>
                </w:p>
                <w:p>
                  <w:pPr>
                    <w:pStyle w:val="null3"/>
                    <w:jc w:val="center"/>
                  </w:pPr>
                  <w:r>
                    <w:rPr>
                      <w:rFonts w:ascii="仿宋_GB2312" w:hAnsi="仿宋_GB2312" w:cs="仿宋_GB2312" w:eastAsia="仿宋_GB2312"/>
                      <w:sz w:val="24"/>
                    </w:rPr>
                    <w:t>焊缝探伤</w:t>
                  </w:r>
                </w:p>
              </w:tc>
              <w:tc>
                <w:tcPr>
                  <w:tcW w:type="dxa" w:w="80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一级焊缝</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80"/>
                  <w:gridSpan w:val="3"/>
                  <w:vMerge/>
                  <w:tcBorders>
                    <w:top w:val="none" w:color="000000" w:sz="4"/>
                    <w:left w:val="single" w:color="000000" w:sz="4"/>
                    <w:bottom w:val="single" w:color="000000" w:sz="4"/>
                    <w:right w:val="single" w:color="000000" w:sz="4"/>
                  </w:tcBorders>
                </w:tcPr>
                <w:p/>
              </w:tc>
              <w:tc>
                <w:tcPr>
                  <w:tcW w:type="dxa" w:w="80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二级焊缝</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钢柱垂直度、钢梁挠度检测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防火涂料涂层厚度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防腐涂层厚度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高强螺栓连接副施工扭矩力</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钢网架挠度检测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46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原材料</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水泥安定性、强度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普砖、多孔砖</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空心砖</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混凝土砌块</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钢筋原材</w:t>
                  </w:r>
                </w:p>
              </w:tc>
              <w:tc>
                <w:tcPr>
                  <w:tcW w:type="dxa" w:w="10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≤Φ20</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2"/>
                  <w:vMerge/>
                  <w:tcBorders>
                    <w:top w:val="none" w:color="000000" w:sz="4"/>
                    <w:left w:val="single" w:color="000000" w:sz="4"/>
                    <w:bottom w:val="single" w:color="000000" w:sz="4"/>
                    <w:right w:val="single" w:color="000000" w:sz="4"/>
                  </w:tcBorders>
                </w:tcPr>
                <w:p/>
              </w:tc>
              <w:tc>
                <w:tcPr>
                  <w:tcW w:type="dxa" w:w="10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Φ22</w:t>
                  </w:r>
                  <w:r>
                    <w:rPr>
                      <w:rFonts w:ascii="仿宋_GB2312" w:hAnsi="仿宋_GB2312" w:cs="仿宋_GB2312" w:eastAsia="仿宋_GB2312"/>
                      <w:sz w:val="24"/>
                    </w:rPr>
                    <w:t>～</w:t>
                  </w:r>
                  <w:r>
                    <w:rPr>
                      <w:rFonts w:ascii="仿宋_GB2312" w:hAnsi="仿宋_GB2312" w:cs="仿宋_GB2312" w:eastAsia="仿宋_GB2312"/>
                      <w:sz w:val="24"/>
                    </w:rPr>
                    <w:t>Φ32</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2"/>
                  <w:vMerge/>
                  <w:tcBorders>
                    <w:top w:val="none" w:color="000000" w:sz="4"/>
                    <w:left w:val="single" w:color="000000" w:sz="4"/>
                    <w:bottom w:val="single" w:color="000000" w:sz="4"/>
                    <w:right w:val="single" w:color="000000" w:sz="4"/>
                  </w:tcBorders>
                </w:tcPr>
                <w:p/>
              </w:tc>
              <w:tc>
                <w:tcPr>
                  <w:tcW w:type="dxa" w:w="10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Φ32</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焊接连接件</w:t>
                  </w:r>
                </w:p>
              </w:tc>
              <w:tc>
                <w:tcPr>
                  <w:tcW w:type="dxa" w:w="10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≤Φ20</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72"/>
                  <w:vMerge/>
                  <w:tcBorders>
                    <w:top w:val="none" w:color="000000" w:sz="4"/>
                    <w:left w:val="single" w:color="000000" w:sz="4"/>
                    <w:bottom w:val="single" w:color="000000" w:sz="4"/>
                    <w:right w:val="single" w:color="000000" w:sz="4"/>
                  </w:tcBorders>
                </w:tcPr>
                <w:p/>
              </w:tc>
              <w:tc>
                <w:tcPr>
                  <w:tcW w:type="dxa" w:w="10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Φ22</w:t>
                  </w:r>
                  <w:r>
                    <w:rPr>
                      <w:rFonts w:ascii="仿宋_GB2312" w:hAnsi="仿宋_GB2312" w:cs="仿宋_GB2312" w:eastAsia="仿宋_GB2312"/>
                      <w:sz w:val="24"/>
                    </w:rPr>
                    <w:t>～</w:t>
                  </w:r>
                  <w:r>
                    <w:rPr>
                      <w:rFonts w:ascii="仿宋_GB2312" w:hAnsi="仿宋_GB2312" w:cs="仿宋_GB2312" w:eastAsia="仿宋_GB2312"/>
                      <w:sz w:val="24"/>
                    </w:rPr>
                    <w:t>Φ28</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2"/>
                  <w:vMerge/>
                  <w:tcBorders>
                    <w:top w:val="none" w:color="000000" w:sz="4"/>
                    <w:left w:val="single" w:color="000000" w:sz="4"/>
                    <w:bottom w:val="single" w:color="000000" w:sz="4"/>
                    <w:right w:val="single" w:color="000000" w:sz="4"/>
                  </w:tcBorders>
                </w:tcPr>
                <w:p/>
              </w:tc>
              <w:tc>
                <w:tcPr>
                  <w:tcW w:type="dxa" w:w="10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Φ28</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各种型钢</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铝型材</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混凝土、砂浆试块抗压强度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混凝土、砂浆配合比</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混凝土抗水渗透性能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混凝土抗冻性能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次循环</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砂、石骨料</w:t>
                  </w:r>
                </w:p>
              </w:tc>
              <w:tc>
                <w:tcPr>
                  <w:tcW w:type="dxa" w:w="10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含泥量、颗粒级配、泥块含量等</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2"/>
                  <w:vMerge/>
                  <w:tcBorders>
                    <w:top w:val="none" w:color="000000" w:sz="4"/>
                    <w:left w:val="single" w:color="000000" w:sz="4"/>
                    <w:bottom w:val="single" w:color="000000" w:sz="4"/>
                    <w:right w:val="single" w:color="000000" w:sz="4"/>
                  </w:tcBorders>
                </w:tcPr>
                <w:p/>
              </w:tc>
              <w:tc>
                <w:tcPr>
                  <w:tcW w:type="dxa" w:w="10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坚固性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72"/>
                  <w:vMerge/>
                  <w:tcBorders>
                    <w:top w:val="none" w:color="000000" w:sz="4"/>
                    <w:left w:val="single" w:color="000000" w:sz="4"/>
                    <w:bottom w:val="single" w:color="000000" w:sz="4"/>
                    <w:right w:val="single" w:color="000000" w:sz="4"/>
                  </w:tcBorders>
                </w:tcPr>
                <w:p/>
              </w:tc>
              <w:tc>
                <w:tcPr>
                  <w:tcW w:type="dxa" w:w="10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碱活性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SBS\APP卷材</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高分子增强复合防水卷材</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聚氨酯防水涂料</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合成树脂乳液涂料</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墙地面瓷砖物理性能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石材物理性能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瓷砖粘合剂、嵌缝剂</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混凝土界面剂</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耐候胶、硅酮密封胶</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琉璃制品物理性能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木材物理力学性能</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膨胀珍珠岩制品</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玻璃棉、岩棉、矿渣棉</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保温板常规检测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37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保温板燃烧性能</w:t>
                  </w: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B1级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76"/>
                  <w:gridSpan w:val="2"/>
                  <w:vMerge/>
                  <w:tcBorders>
                    <w:top w:val="none" w:color="000000" w:sz="4"/>
                    <w:left w:val="single" w:color="000000" w:sz="4"/>
                    <w:bottom w:val="single" w:color="000000" w:sz="4"/>
                    <w:right w:val="single" w:color="000000" w:sz="4"/>
                  </w:tcBorders>
                </w:tcP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B2级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76"/>
                  <w:gridSpan w:val="2"/>
                  <w:vMerge/>
                  <w:tcBorders>
                    <w:top w:val="none" w:color="000000" w:sz="4"/>
                    <w:left w:val="single" w:color="000000" w:sz="4"/>
                    <w:bottom w:val="single" w:color="000000" w:sz="4"/>
                    <w:right w:val="single" w:color="000000" w:sz="4"/>
                  </w:tcBorders>
                </w:tcP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A1级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保温锚固件、镀锌电焊网</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耐碱网格布</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聚合物砂浆</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钢丝网架夹芯板</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保温系统构造钻芯检测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保温系统拉拔</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保温钉拉拔</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外墙瓷砖拉拔</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土工击实试验</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砂石级配</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灰土环刀取样</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砂石垫层取样</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电线</w:t>
                  </w:r>
                  <w:r>
                    <w:rPr>
                      <w:rFonts w:ascii="仿宋_GB2312" w:hAnsi="仿宋_GB2312" w:cs="仿宋_GB2312" w:eastAsia="仿宋_GB2312"/>
                      <w:sz w:val="24"/>
                    </w:rPr>
                    <w:t>/电缆</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800/1200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给水管、排水管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组（常规）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37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w:t>
                  </w: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气密性、水密性、抗风压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376"/>
                  <w:gridSpan w:val="2"/>
                  <w:vMerge/>
                  <w:tcBorders>
                    <w:top w:val="none" w:color="000000" w:sz="4"/>
                    <w:left w:val="single" w:color="000000" w:sz="4"/>
                    <w:bottom w:val="single" w:color="000000" w:sz="4"/>
                    <w:right w:val="single" w:color="000000" w:sz="4"/>
                  </w:tcBorders>
                </w:tcP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传热系数</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376"/>
                  <w:gridSpan w:val="2"/>
                  <w:vMerge/>
                  <w:tcBorders>
                    <w:top w:val="none" w:color="000000" w:sz="4"/>
                    <w:left w:val="single" w:color="000000" w:sz="4"/>
                    <w:bottom w:val="single" w:color="000000" w:sz="4"/>
                    <w:right w:val="single" w:color="000000" w:sz="4"/>
                  </w:tcBorders>
                </w:tcP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中空露点</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37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钢结构</w:t>
                  </w:r>
                </w:p>
                <w:p>
                  <w:pPr>
                    <w:pStyle w:val="null3"/>
                    <w:jc w:val="center"/>
                  </w:pPr>
                  <w:r>
                    <w:rPr>
                      <w:rFonts w:ascii="仿宋_GB2312" w:hAnsi="仿宋_GB2312" w:cs="仿宋_GB2312" w:eastAsia="仿宋_GB2312"/>
                      <w:sz w:val="24"/>
                    </w:rPr>
                    <w:t>材料</w:t>
                  </w: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高强螺栓抗扭</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376"/>
                  <w:gridSpan w:val="2"/>
                  <w:vMerge/>
                  <w:tcBorders>
                    <w:top w:val="none" w:color="000000" w:sz="4"/>
                    <w:left w:val="single" w:color="000000" w:sz="4"/>
                    <w:bottom w:val="single" w:color="000000" w:sz="4"/>
                    <w:right w:val="single" w:color="000000" w:sz="4"/>
                  </w:tcBorders>
                </w:tcP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高强螺栓硬度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376"/>
                  <w:gridSpan w:val="2"/>
                  <w:vMerge/>
                  <w:tcBorders>
                    <w:top w:val="none" w:color="000000" w:sz="4"/>
                    <w:left w:val="single" w:color="000000" w:sz="4"/>
                    <w:bottom w:val="single" w:color="000000" w:sz="4"/>
                    <w:right w:val="single" w:color="000000" w:sz="4"/>
                  </w:tcBorders>
                </w:tcPr>
                <w:p/>
              </w:tc>
              <w:tc>
                <w:tcPr>
                  <w:tcW w:type="dxa" w:w="91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抗滑移</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水性涂料、胶粘剂、处理剂</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游离甲醛</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挥发性有机物</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人造板</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甲醛含量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甲醛释放量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商混站原材料抽测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抽测参数</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61</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通用硅酸盐水泥</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62</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63</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64</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安定性</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65</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66</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烧失量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67</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68</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氧化镁含量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69</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三氧化硫含量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70</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建筑用卵石、碎石</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颗粒级配、泥块含量、含泥量、针片状颗粒含量、压碎指标</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71</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建筑用砂</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颗粒级配、含泥量、泥块含量、堆积密度、云母含量、氯化物含量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72</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混凝土配合比验证</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养护</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74</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抗压强度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75</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砂浆土配合比验证</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养护</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76</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77</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抗压强度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78</w:t>
                  </w:r>
                </w:p>
              </w:tc>
              <w:tc>
                <w:tcPr>
                  <w:tcW w:type="dxa" w:w="584"/>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混凝土外加剂</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79</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80</w:t>
                  </w:r>
                </w:p>
              </w:tc>
              <w:tc>
                <w:tcPr>
                  <w:tcW w:type="dxa" w:w="584"/>
                  <w:gridSpan w:val="4"/>
                  <w:vMerge/>
                  <w:tcBorders>
                    <w:top w:val="none" w:color="000000" w:sz="4"/>
                    <w:left w:val="single" w:color="000000" w:sz="4"/>
                    <w:bottom w:val="single" w:color="000000" w:sz="4"/>
                    <w:right w:val="single" w:color="000000" w:sz="4"/>
                  </w:tcBorders>
                </w:tcP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粉煤灰</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细度、吸水量比、烧失量、三氧化硫含量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82</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减水剂</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减水率、泌水率比、凝结时间差、坍落度</w:t>
                  </w:r>
                  <w:r>
                    <w:rPr>
                      <w:rFonts w:ascii="仿宋_GB2312" w:hAnsi="仿宋_GB2312" w:cs="仿宋_GB2312" w:eastAsia="仿宋_GB2312"/>
                      <w:sz w:val="24"/>
                    </w:rPr>
                    <w:t>1h经时变化量、抗压强度比</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83</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泵送剂</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减水率、泌水率比、凝结时间差、坍落度</w:t>
                  </w:r>
                  <w:r>
                    <w:rPr>
                      <w:rFonts w:ascii="仿宋_GB2312" w:hAnsi="仿宋_GB2312" w:cs="仿宋_GB2312" w:eastAsia="仿宋_GB2312"/>
                      <w:sz w:val="24"/>
                    </w:rPr>
                    <w:t>1h经时变化量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84</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混凝土膨胀剂</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凝结时间、抗压强度</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85</w:t>
                  </w:r>
                </w:p>
              </w:tc>
              <w:tc>
                <w:tcPr>
                  <w:tcW w:type="dxa" w:w="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矿渣粉</w:t>
                  </w:r>
                </w:p>
              </w:tc>
              <w:tc>
                <w:tcPr>
                  <w:tcW w:type="dxa" w:w="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烧失量、三氧化硫含量、氯离子含量、比表面积、活性指数、流动度比、初凝时间比、含水量</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r>
          </w:tbl>
          <w:p>
            <w:pPr>
              <w:pStyle w:val="null3"/>
              <w:jc w:val="both"/>
            </w:pPr>
            <w:r>
              <w:rPr>
                <w:rFonts w:ascii="仿宋_GB2312" w:hAnsi="仿宋_GB2312" w:cs="仿宋_GB2312" w:eastAsia="仿宋_GB2312"/>
                <w:sz w:val="24"/>
                <w:b/>
              </w:rPr>
              <w:t>六、成果交付期限：</w:t>
            </w:r>
            <w:r>
              <w:rPr>
                <w:rFonts w:ascii="仿宋_GB2312" w:hAnsi="仿宋_GB2312" w:cs="仿宋_GB2312" w:eastAsia="仿宋_GB2312"/>
                <w:sz w:val="24"/>
              </w:rPr>
              <w:t>接到采购人委托文件后</w:t>
            </w:r>
            <w:r>
              <w:rPr>
                <w:rFonts w:ascii="仿宋_GB2312" w:hAnsi="仿宋_GB2312" w:cs="仿宋_GB2312" w:eastAsia="仿宋_GB2312"/>
                <w:sz w:val="24"/>
              </w:rPr>
              <w:t>15 个工作日内提供具有法律效力的检测报告。</w:t>
            </w:r>
          </w:p>
          <w:p>
            <w:pPr>
              <w:pStyle w:val="null3"/>
              <w:jc w:val="both"/>
            </w:pPr>
            <w:r>
              <w:rPr>
                <w:rFonts w:ascii="仿宋_GB2312" w:hAnsi="仿宋_GB2312" w:cs="仿宋_GB2312" w:eastAsia="仿宋_GB2312"/>
                <w:sz w:val="24"/>
                <w:b/>
              </w:rPr>
              <w:t>七、交付标准和方法：</w:t>
            </w:r>
          </w:p>
          <w:p>
            <w:pPr>
              <w:pStyle w:val="null3"/>
              <w:ind w:firstLine="480"/>
              <w:jc w:val="both"/>
            </w:pPr>
            <w:r>
              <w:rPr>
                <w:rFonts w:ascii="仿宋_GB2312" w:hAnsi="仿宋_GB2312" w:cs="仿宋_GB2312" w:eastAsia="仿宋_GB2312"/>
                <w:sz w:val="24"/>
              </w:rPr>
              <w:t>1.交付质量需</w:t>
            </w:r>
            <w:r>
              <w:rPr>
                <w:rFonts w:ascii="仿宋_GB2312" w:hAnsi="仿宋_GB2312" w:cs="仿宋_GB2312" w:eastAsia="仿宋_GB2312"/>
                <w:sz w:val="24"/>
              </w:rPr>
              <w:t>符合国家法律法规规定的标准、</w:t>
            </w:r>
            <w:r>
              <w:rPr>
                <w:rFonts w:ascii="仿宋_GB2312" w:hAnsi="仿宋_GB2312" w:cs="仿宋_GB2312" w:eastAsia="仿宋_GB2312"/>
                <w:sz w:val="24"/>
              </w:rPr>
              <w:t>招标文件</w:t>
            </w:r>
            <w:r>
              <w:rPr>
                <w:rFonts w:ascii="仿宋_GB2312" w:hAnsi="仿宋_GB2312" w:cs="仿宋_GB2312" w:eastAsia="仿宋_GB2312"/>
                <w:sz w:val="24"/>
              </w:rPr>
              <w:t>和</w:t>
            </w:r>
            <w:r>
              <w:rPr>
                <w:rFonts w:ascii="仿宋_GB2312" w:hAnsi="仿宋_GB2312" w:cs="仿宋_GB2312" w:eastAsia="仿宋_GB2312"/>
                <w:sz w:val="24"/>
              </w:rPr>
              <w:t>供应商投标文件</w:t>
            </w:r>
            <w:r>
              <w:rPr>
                <w:rFonts w:ascii="仿宋_GB2312" w:hAnsi="仿宋_GB2312" w:cs="仿宋_GB2312" w:eastAsia="仿宋_GB2312"/>
                <w:sz w:val="24"/>
              </w:rPr>
              <w:t>所</w:t>
            </w:r>
            <w:r>
              <w:rPr>
                <w:rFonts w:ascii="仿宋_GB2312" w:hAnsi="仿宋_GB2312" w:cs="仿宋_GB2312" w:eastAsia="仿宋_GB2312"/>
                <w:sz w:val="24"/>
              </w:rPr>
              <w:t>响应</w:t>
            </w:r>
            <w:r>
              <w:rPr>
                <w:rFonts w:ascii="仿宋_GB2312" w:hAnsi="仿宋_GB2312" w:cs="仿宋_GB2312" w:eastAsia="仿宋_GB2312"/>
                <w:sz w:val="24"/>
              </w:rPr>
              <w:t>的技术标准。</w:t>
            </w:r>
            <w:r>
              <w:rPr>
                <w:rFonts w:ascii="仿宋_GB2312" w:hAnsi="仿宋_GB2312" w:cs="仿宋_GB2312" w:eastAsia="仿宋_GB2312"/>
                <w:sz w:val="24"/>
              </w:rPr>
              <w:t>检测完成后，供应商须向采购人提交纸质版的正式检测报告及报告电子版（</w:t>
            </w:r>
            <w:r>
              <w:rPr>
                <w:rFonts w:ascii="仿宋_GB2312" w:hAnsi="仿宋_GB2312" w:cs="仿宋_GB2312" w:eastAsia="仿宋_GB2312"/>
                <w:sz w:val="24"/>
              </w:rPr>
              <w:t>PDF格式），报告具体份数根据采购人要求提供。</w:t>
            </w:r>
          </w:p>
          <w:p>
            <w:pPr>
              <w:pStyle w:val="null3"/>
              <w:ind w:firstLine="480"/>
              <w:jc w:val="both"/>
            </w:pPr>
            <w:r>
              <w:rPr>
                <w:rFonts w:ascii="仿宋_GB2312" w:hAnsi="仿宋_GB2312" w:cs="仿宋_GB2312" w:eastAsia="仿宋_GB2312"/>
                <w:sz w:val="24"/>
              </w:rPr>
              <w:t>2.保证报告所出具的数据及结论的真实性。</w:t>
            </w:r>
          </w:p>
          <w:p>
            <w:pPr>
              <w:pStyle w:val="null3"/>
              <w:jc w:val="both"/>
            </w:pPr>
            <w:r>
              <w:rPr>
                <w:rFonts w:ascii="仿宋_GB2312" w:hAnsi="仿宋_GB2312" w:cs="仿宋_GB2312" w:eastAsia="仿宋_GB2312"/>
                <w:sz w:val="24"/>
                <w:b/>
              </w:rPr>
              <w:t>八、</w:t>
            </w:r>
            <w:r>
              <w:rPr>
                <w:rFonts w:ascii="仿宋_GB2312" w:hAnsi="仿宋_GB2312" w:cs="仿宋_GB2312" w:eastAsia="仿宋_GB2312"/>
                <w:sz w:val="24"/>
                <w:b/>
              </w:rPr>
              <w:t>报价及合同签订</w:t>
            </w:r>
            <w:r>
              <w:rPr>
                <w:rFonts w:ascii="仿宋_GB2312" w:hAnsi="仿宋_GB2312" w:cs="仿宋_GB2312" w:eastAsia="仿宋_GB2312"/>
                <w:sz w:val="24"/>
                <w:b/>
              </w:rPr>
              <w:t>:</w:t>
            </w:r>
          </w:p>
          <w:p>
            <w:pPr>
              <w:pStyle w:val="null3"/>
            </w:pPr>
            <w:r>
              <w:rPr>
                <w:rFonts w:ascii="仿宋_GB2312" w:hAnsi="仿宋_GB2312" w:cs="仿宋_GB2312" w:eastAsia="仿宋_GB2312"/>
                <w:sz w:val="24"/>
              </w:rPr>
              <w:t>供应商只报折扣，以中标折扣折算单价签订单价合同。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根据项目要求配置人员。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根据项目要求配置人员。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配备科学合理的检测仪器设备，确保检测数据的真实性、可靠性，保证项目按期完成并通过组织验收。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配备科学合理的检测仪器设备，确保检测数据的真实性、可靠性，保证项目按期完成并通过组织验收。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报价采取固定折扣形式，投标报价为完成本项目招标文件中所提出的工作范围及要求的全部内容，并达到国家及采购人验收标准而产生的所有费用，包括但不限于完成检测任务并按要求出具相应数量成果所需要的全部费用，完成本项目的直接费和间接费、税金等一切费用。任何错报、漏报由供应商自行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报价采取固定折扣形式，投标报价为完成本项目招标文件中所提出的工作范围及要求的全部内容，并达到国家及采购人验收标准而产生的所有费用，包括但不限于完成检测任务并按要求出具相应数量成果所需要的全部费用，完成本项目的直接费和间接费、税金等一切费用。任何错报、漏报由供应商自行负责。</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国家的检测验收有关规定，向采购人提供验收资料，由采购人组织验收，并在验收后给予认可或提出整改意见，如需整改，供应商应按要求整改并承担由自身原因造成整改的费用，验收日期（不需整改的合格工作）为供应商提交检测报告之日；需整改后方能达到验收要求的，应为供应商整改后提请采购人验收的日期。 2、验收依据：合同文本、采购文件和投标文件、中标供应商报送的资料。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按照国家的检测验收有关规定，向采购人提供验收资料，由采购人组织验收，并在验收后给予认可或提出整改意见，如需整改，供应商应按要求整改并承担由自身原因造成整改的费用，验收日期（不需整改的合格工作）为供应商提交检测报告之日；需整改后方能达到验收要求的，应为供应商整改后提请采购人验收的日期。 2、验收依据：合同文本、采购文件和投标文件、中标供应商报送的资料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结算一次，每次根据实际检测数量进行结算。结算金额=招标基准价*折扣*检测数量。按照采购人委托文件进行项目次检测，出具具有法律效力的检测报告并提供正式发票后支付检测费用，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半年结算一次，每次根据实际检测数量进行结算。结算金额=招标基准价*折扣*检测数量。按照采购人委托文件进行项目次检测，出具具有法律效力的检测报告并提供正式发票后支付检测费用，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结算一次，每次根据实际检测数量进行结算。结算金额=招标基准价*折扣*检测数量。按照采购人委托文件进行项目次检测，出具具有法律效力的检测报告并提供正式发票后支付检测费用，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半年结算一次，每次根据实际检测数量进行结算。结算金额=招标基准价*折扣*检测数量。按照采购人委托文件进行项目次检测，出具具有法律效力的检测报告并提供正式发票后支付检测费用，达到付款条件起30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1）按照《中华人民共和国民法典》中的相关条款执行。2）双方在合同生效后，如果任意一方未经协商或不以合同为依据而单方面擅自解除合同。若采购人违约，在此过程中供应商所产生的服务费用由采购人承担，并支付合同价款5%违约金给供应商;若供应商违约，则需向采购人退还所有服务费用，并支付合同价款5%违约金给采购人。3）任何一方违反本合同的约定，应承担由此引起的一切经济损失及法律责任(包括但不限于守约方的经济损失、律师费、诉讼费等为实现债权产生的一切费用)。4）供应商履约延误。如供应商事先未征得采购人同意并得到采购人的谅解而单方面延迟服务或退出本项目，将按违约终止合同。5）违约终止合同:未按合同要求提供服务不能满足检测要求，采购人会同监督机构有权终止合同，对供应商违约行为进行追究，同时按政府采购法的有关规定进行相应的处罚。 2.解决争议的方法： 双方就本合同条款发生纠纷时，友好协商解决，协商不成时任何一方均可选择向采购人所在地人民法院诉讼解决。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1）按照《中华人民共和国民法典》中的相关条款执行。2）双方在合同生效后，如果任意一方未经协商或不以合同为依据而单方面擅自解除合同。若采购人违约，在此过程中供应商所产生的服务费用由采购人承担，并支付合同价款5%违约金给供应商;若供应商违约，则需向采购人退还所有服务费用，并支付合同价款5%违约金给采购人。3）任何一方违反本合同的约定，应承担由此引起的一切经济损失及法律责任(包括但不限于守约方的经济损失、律师费、诉讼费等为实现债权产生的一切费用)。4）供应商履约延误。如供应商事先未征得采购人同意并得到采购人的谅解而单方面延迟服务或退出本项目，将按违约终止合同。5）违约终止合同:未按合同要求提供服务不能满足检测要求，采购人会同监督机构有权终止合同，对供应商违约行为进行追究，同时按政府采购法的有关规定进行相应的处罚。 2.解决争议的方法： 双方就本合同条款发生纠纷时，友好协商解决，协商不成时任何一方均可选择向采购人所在地人民法院诉讼解决。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1.中标人领取中标通知书时须向代理机构提交纸质版投标文件：正本壹份、副本贰份、电子版（U盘）贰份。 2.允许供应商参与多个标包的投标活动，但最终供应商只能获取一个标包（序号靠前标包）的中标资格。如同一供应商同时成为一包、二包的第一中标候选人，按照一包、二包的顺序只能成为序号靠前标包的中标供应商，其他标包按照推荐的中标候选人顺序顺延至下一名供应商。 3.采购标的对应的中小企业划分标准所属行业：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 4.供应商在各类公开平台被政府或相关部门通报或者在检测活动中存在违法违规行为的,不得参与该项目的投标活动。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有行政主管部门颁发的合格有效的建设工程质量检测机构综合资质或建设工程质量检测机构专项资质(建筑材料及构配件、主体结构及装饰装修、钢结构、建筑节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CMA计量认证证书</w:t>
            </w:r>
          </w:p>
        </w:tc>
        <w:tc>
          <w:tcPr>
            <w:tcW w:type="dxa" w:w="3322"/>
          </w:tcPr>
          <w:p>
            <w:pPr>
              <w:pStyle w:val="null3"/>
            </w:pPr>
            <w:r>
              <w:rPr>
                <w:rFonts w:ascii="仿宋_GB2312" w:hAnsi="仿宋_GB2312" w:cs="仿宋_GB2312" w:eastAsia="仿宋_GB2312"/>
              </w:rPr>
              <w:t>供应商应具有省级及以上质量技术监督部门颁发的有效期内的CMA计量认证证书。供应商需在项目电子化交易系统中按要求上传相应证明文件并进行电子签章。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有行政主管部门颁发的合格有效的建设工程质量检测机构综合资质或建设工程质量检测机构专项资质(建筑材料及构配件、主体结构及装饰装修、钢结构、建筑节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CMA计量认证证书</w:t>
            </w:r>
          </w:p>
        </w:tc>
        <w:tc>
          <w:tcPr>
            <w:tcW w:type="dxa" w:w="3322"/>
          </w:tcPr>
          <w:p>
            <w:pPr>
              <w:pStyle w:val="null3"/>
            </w:pPr>
            <w:r>
              <w:rPr>
                <w:rFonts w:ascii="仿宋_GB2312" w:hAnsi="仿宋_GB2312" w:cs="仿宋_GB2312" w:eastAsia="仿宋_GB2312"/>
              </w:rPr>
              <w:t>供应商应具有省级及以上质量技术监督部门颁发的有效期内的CMA计量认证证书。供应商需在项目电子化交易系统中按要求上传相应证明文件并进行电子签章。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详见评分标准 异常低价审查</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资格证明文件 投标函 中小企业声明函 残疾人福利性单位声明函 商务应答表 承诺书 业绩证明文件及投标方案说明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供应商针对同一服务未递交两份或多份内容不同的投标文件，未出现选择性报价；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开标一览表 资格证明文件 投标函 中小企业声明函 残疾人福利性单位声明函 商务应答表 承诺书 业绩证明文件及投标方案说明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资格证明文件 投标函 中小企业声明函 残疾人福利性单位声明函 商务应答表 承诺书 业绩证明文件及投标方案说明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资格证明文件 投标函 中小企业声明函 残疾人福利性单位声明函 商务应答表 承诺书 业绩证明文件及投标方案说明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详见评分标准 异常低价审查</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资格证明文件 投标函 中小企业声明函 残疾人福利性单位声明函 商务应答表 承诺书 业绩证明文件及投标方案说明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供应商针对同一服务未递交两份或多份内容不同的投标文件，未出现选择性报价；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开标一览表 资格证明文件 投标函 中小企业声明函 残疾人福利性单位声明函 商务应答表 承诺书 业绩证明文件及投标方案说明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资格证明文件 投标函 中小企业声明函 残疾人福利性单位声明函 商务应答表 承诺书 业绩证明文件及投标方案说明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资格证明文件 投标函 中小企业声明函 残疾人福利性单位声明函 商务应答表 承诺书 业绩证明文件及投标方案说明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资格证明文件 投标函 中小企业声明函 残疾人福利性单位声明函 商务应答表 承诺书 业绩证明文件及投标方案说明 服务内容及服务要求应答表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提供2023年以来类似项目业绩合同（以合同签订时间为准），每份计2分，满分10分。（注：以上证明文件在投标文件中附业绩合同扫描件并加盖公司公章。）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检测实施方案</w:t>
            </w:r>
          </w:p>
        </w:tc>
        <w:tc>
          <w:tcPr>
            <w:tcW w:type="dxa" w:w="2492"/>
          </w:tcPr>
          <w:p>
            <w:pPr>
              <w:pStyle w:val="null3"/>
            </w:pPr>
            <w:r>
              <w:rPr>
                <w:rFonts w:ascii="仿宋_GB2312" w:hAnsi="仿宋_GB2312" w:cs="仿宋_GB2312" w:eastAsia="仿宋_GB2312"/>
              </w:rPr>
              <w:t>一、评审内容 针对本项目有具体可行的检测实施方案，评审内容点如下：①检测方案概述；②检测范围和服务内容，检测依据；③实施标准；④检测工作方法⑤服务重点、难点分析及解决 二、评审标准 1、完整性：方案须全面，对评审内容中的各项要求有详细描述； 2、可实施性：切合本项目实际情况，实施步骤清晰、合理； 3、针对性：方案能够紧扣项目实际情况，内容科学合理。 三、赋分标准 ①检测方案概述：每完全满足一项评审标准计1分，满分3分。 ②检测范围和服务内容，检测依据：每完全满足一项评审标准计1分，满分3分。 ③实施标准：每完全满足一项评审标准计1分，满分3分。 ④检测工作方法：每完全满足一项评审标准计1分，满分3分。 ⑤服务重点、难点分析及解决：每完全满足一项评审标准计1分，满分3分。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①项目负责人具备高级及以上职称得3分，中级得1分，其余不得分。（注：以上证明文件在投标文件中附职称证扫描件并加盖公司公章。） ②项目负责人具有2023年以来类似项目业绩合同得3分，业绩须体现项目负责人姓名，否则不得分。本项满分3分（注：以上证明文件在投标文件中附业绩合同扫描件并加盖公司公章。）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项目团队人员配置方案</w:t>
            </w:r>
          </w:p>
        </w:tc>
        <w:tc>
          <w:tcPr>
            <w:tcW w:type="dxa" w:w="2492"/>
          </w:tcPr>
          <w:p>
            <w:pPr>
              <w:pStyle w:val="null3"/>
            </w:pPr>
            <w:r>
              <w:rPr>
                <w:rFonts w:ascii="仿宋_GB2312" w:hAnsi="仿宋_GB2312" w:cs="仿宋_GB2312" w:eastAsia="仿宋_GB2312"/>
              </w:rPr>
              <w:t>①机构设置：机构设置含项目负责人、技术负责人、质量负责人、检测组组长、检测员、报告编制岗位、档案管理员等架构，满足项目全流程工作需求计3分，未按照此设置不得分。本项满分3分 ②组成人员情况中，每投入1人得1分，最高得10分，需至少提供人员近六个月内任意一个月社保缴纳证明、学历证、身份证等资料，需同时提供每个人员的完整资料，缺少任意一项资料不得分。本项满分10分。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进度保证措施，评审内容点如下：①明确各项工作任务完成期限、时间节点；②任务进度跟踪与管控；③任务进度偏差调整预案。 二、评审标准 1、完整性：措施须全面，对评审内容中的各项要求有详细描述； 2、可实施性：切合本项目实际情况，实施步骤清晰、合理； 3、针对性：措施能够紧扣项目实际情况，内容科学合理。 三、赋分标准 ①明确各项工作任务完成期限、时间节点：每完全满足一项评审标准计0.5分，满分1.5分。 ②任务进度跟踪与管控：每完全满足一项评审标准计0.5分，满分1.5分。 ③任务进度偏差调整预案：每完全满足一项评审标准计0.5分，满分1.5分。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质量管理制度及保障措施</w:t>
            </w:r>
          </w:p>
        </w:tc>
        <w:tc>
          <w:tcPr>
            <w:tcW w:type="dxa" w:w="2492"/>
          </w:tcPr>
          <w:p>
            <w:pPr>
              <w:pStyle w:val="null3"/>
            </w:pPr>
            <w:r>
              <w:rPr>
                <w:rFonts w:ascii="仿宋_GB2312" w:hAnsi="仿宋_GB2312" w:cs="仿宋_GB2312" w:eastAsia="仿宋_GB2312"/>
              </w:rPr>
              <w:t>一、评审内容 具有针对本项目质量管理制度及保障措施，评审内容点如下：①质量目标及责任制度；②成果报告质量控制要点；③人员能力培训及提升。 二、评审标准 1、完整性：措施须全面，对评审内容中的各项要求有详细描述； 2、可实施性：切合本项目实际情况，实施步骤清晰、合理； 3、针对性：措施能够紧扣项目实际情况，内容科学合理。 三、赋分标准 ①质量目标及责任制度：每完全满足一项评审标准计0.5分，满分1.5分。 ②成果报告质量控制要点：每完全满足一项评审标准计0.5分，满分1.5分。 ③人员能力培训及提升：每完全满足一项评审标准计0.5分，满分1.5分。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拟投入本项目的检测仪器设备</w:t>
            </w:r>
          </w:p>
        </w:tc>
        <w:tc>
          <w:tcPr>
            <w:tcW w:type="dxa" w:w="2492"/>
          </w:tcPr>
          <w:p>
            <w:pPr>
              <w:pStyle w:val="null3"/>
            </w:pPr>
            <w:r>
              <w:rPr>
                <w:rFonts w:ascii="仿宋_GB2312" w:hAnsi="仿宋_GB2312" w:cs="仿宋_GB2312" w:eastAsia="仿宋_GB2312"/>
              </w:rPr>
              <w:t>对供应商拟投入本项目的检测仪器设备数量、设备先进性和设备与项目内容配备性进行评审(需提供检定/校准证书或购置发票或采购合同或租赁合同)，提供12（台/个）(含)以上得12分，7（台/个）(含)以上得6分，2（台/个）（含）以上得2分，2（台/个）（不含）以下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保密措施及档案管理制度</w:t>
            </w:r>
          </w:p>
        </w:tc>
        <w:tc>
          <w:tcPr>
            <w:tcW w:type="dxa" w:w="2492"/>
          </w:tcPr>
          <w:p>
            <w:pPr>
              <w:pStyle w:val="null3"/>
            </w:pPr>
            <w:r>
              <w:rPr>
                <w:rFonts w:ascii="仿宋_GB2312" w:hAnsi="仿宋_GB2312" w:cs="仿宋_GB2312" w:eastAsia="仿宋_GB2312"/>
              </w:rPr>
              <w:t>一、评审内容 具有针对本项目保密措施及档案管理制度。 二、评审标准 1、完整性：措施须全面，对评审内容中的各项要求有详细描述； 2、可实施性：切合本项目实际情况，实施步骤清晰、合理； 3、针对性：措施能够紧扣项目实际情况，内容科学合理。 三、赋分标准 针对本项目保密措施及档案管理制度：每完全满足一项评审标准计1分，满分3分。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一、评审内容①应急组织机构；②应急响应时间；③应急保障措施。 二、评审标准 1、完整性：措施须全面，对评审内容中的各项要求有详细描述； 2、可实施性：切合本项目实际情况，实施步骤清晰、合理； 3、针对性：措施能够紧扣项目实际情况，内容科学合理。 三、赋分标准 ①应急组织机构：每完全满足一项评审标准计0.5分，满分1.5分。②应急响应时间：每完全满足一项评审标准计0.5分，满分1.5分。③应急保障措施：每完全满足一项评审标准计0.5分，满分1.5分。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服务承诺及建议</w:t>
            </w:r>
          </w:p>
        </w:tc>
        <w:tc>
          <w:tcPr>
            <w:tcW w:type="dxa" w:w="2492"/>
          </w:tcPr>
          <w:p>
            <w:pPr>
              <w:pStyle w:val="null3"/>
            </w:pPr>
            <w:r>
              <w:rPr>
                <w:rFonts w:ascii="仿宋_GB2312" w:hAnsi="仿宋_GB2312" w:cs="仿宋_GB2312" w:eastAsia="仿宋_GB2312"/>
              </w:rPr>
              <w:t>一、评审内容 服务承诺评审内容点如下：①承诺完全响应招标文件和合同条款的要求；②人员配备响应承诺；③服务质量承诺及进度保证；④承诺在合同履行中采购人若提出意见，供应商全力配合整改；⑤合理化建议。 二、评审标准 1、完整性：措施须全面，对评审内容中的各项要求有详细描述； 2、可实施性：切合本项目实际情况，实施步骤清晰、合理； 3、针对性：措施能够紧扣项目实际情况，内容科学合理。 三、赋分标准 ①承诺完全响应招标文件和合同条款的要求：每完全满足一项评审标准计0.5分，满分1.5分。 ②人员配备响应承诺：每完全满足一项评审标准计0.5分，满分1.5分。 ③服务质量承诺及进度保证：每完全满足一项评审标准计0.5分，满分1.5分。 ④承诺在合同履行中采购人若提出意见，供应商全力配合整改：每完全满足一项评审标准计0.5分，满分1.5分。 ⑤合理化建议：每完全满足一项评审标准计0.5分，满分1.5分。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供应商的价格为评标基准价，其价格分为满分。其他供应商的价格分统一按照下列公式计算：投标报价得分=（评标基准价/投标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及《关于进一步加大政府采购支持中小企业力度的通知》（财库〔2022〕19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2.采购标的对应的所属行业：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提供2023年以来类似项目业绩合同（以合同签订时间为准），每份计2分，满分10分。（注：以上证明文件在投标文件中附业绩合同扫描件并加盖公司公章。）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检测实施方案</w:t>
            </w:r>
          </w:p>
        </w:tc>
        <w:tc>
          <w:tcPr>
            <w:tcW w:type="dxa" w:w="2492"/>
          </w:tcPr>
          <w:p>
            <w:pPr>
              <w:pStyle w:val="null3"/>
            </w:pPr>
            <w:r>
              <w:rPr>
                <w:rFonts w:ascii="仿宋_GB2312" w:hAnsi="仿宋_GB2312" w:cs="仿宋_GB2312" w:eastAsia="仿宋_GB2312"/>
              </w:rPr>
              <w:t>一、评审内容 针对本项目有具体可行的检测实施方案，评审内容点如下：①检测方案概述；②检测范围和服务内容，检测依据；③实施标准；④检测工作方法⑤服务重点、难点分析及解决 二、评审标准 1、完整性：方案须全面，对评审内容中的各项要求有详细描述； 2、可实施性：切合本项目实际情况，实施步骤清晰、合理； 3、针对性：方案能够紧扣项目实际情况，内容科学合理。 三、赋分标准 ①检测方案概述：每完全满足一项评审标准计1分，满分3分。 ②检测范围和服务内容，检测依据：每完全满足一项评审标准计1分，满分3分。 ③实施标准：每完全满足一项评审标准计1分，满分3分。 ④检测工作方法：每完全满足一项评审标准计1分，满分3分。 ⑤服务重点、难点分析及解决：每完全满足一项评审标准计1分，满分3分。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①项目负责人具备高级及以上职称得3分，中级得1分，其余不得分。（注：以上证明文件在投标文件中附职称证扫描件并加盖公司公章。） ②项目负责人具有2023年以来类似项目业绩合同得3分，业绩须体现项目负责人姓名，否则不得分。本项满分3分（注：以上证明文件在投标文件中附业绩合同扫描件并加盖公司公章。）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项目团队人员配置方案</w:t>
            </w:r>
          </w:p>
        </w:tc>
        <w:tc>
          <w:tcPr>
            <w:tcW w:type="dxa" w:w="2492"/>
          </w:tcPr>
          <w:p>
            <w:pPr>
              <w:pStyle w:val="null3"/>
            </w:pPr>
            <w:r>
              <w:rPr>
                <w:rFonts w:ascii="仿宋_GB2312" w:hAnsi="仿宋_GB2312" w:cs="仿宋_GB2312" w:eastAsia="仿宋_GB2312"/>
              </w:rPr>
              <w:t>①机构设置：机构设置含项目负责人、技术负责人、质量负责人、检测组组长、检测员、报告编制岗位、档案管理员等架构，满足项目全流程工作需求计3分，未按照此设置不得分。本项满分3分 ②组成人员情况中，每投入1人得1分，最高得10分，需至少提供人员近六个月内任意一个月社保缴纳证明、学历证、身份证等资料，需同时提供每个人员的完整资料，缺少任意一项资料不得分。本项满分10分。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进度保证措施，评审内容点如下：①明确各项工作任务完成期限、时间节点；②任务进度跟踪与管控；③任务进度偏差调整预案。 二、评审标准 1、完整性：措施须全面，对评审内容中的各项要求有详细描述； 2、可实施性：切合本项目实际情况，实施步骤清晰、合理； 3、针对性：措施能够紧扣项目实际情况，内容科学合理。 三、赋分标准 ①明确各项工作任务完成期限、时间节点：每完全满足一项评审标准计0.5分，满分1.5分。 ②任务进度跟踪与管控：每完全满足一项评审标准计0.5分，满分1.5分。 ③任务进度偏差调整预案：每完全满足一项评审标准计0.5分，满分1.5分。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质量管理制度及保障措施</w:t>
            </w:r>
          </w:p>
        </w:tc>
        <w:tc>
          <w:tcPr>
            <w:tcW w:type="dxa" w:w="2492"/>
          </w:tcPr>
          <w:p>
            <w:pPr>
              <w:pStyle w:val="null3"/>
            </w:pPr>
            <w:r>
              <w:rPr>
                <w:rFonts w:ascii="仿宋_GB2312" w:hAnsi="仿宋_GB2312" w:cs="仿宋_GB2312" w:eastAsia="仿宋_GB2312"/>
              </w:rPr>
              <w:t>一、评审内容 具有针对本项目质量管理制度及保障措施，评审内容点如下：①质量目标及责任制度；②成果报告质量控制要点；③人员能力培训及提升。 二、评审标准 1、完整性：措施须全面，对评审内容中的各项要求有详细描述； 2、可实施性：切合本项目实际情况，实施步骤清晰、合理； 3、针对性：措施能够紧扣项目实际情况，内容科学合理。 三、赋分标准 ①质量目标及责任制度：每完全满足一项评审标准计0.5分，满分1.5分。 ②成果报告质量控制要点：每完全满足一项评审标准计0.5分，满分1.5分。 ③人员能力培训及提升：每完全满足一项评审标准计0.5分，满分1.5分。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拟投入本项目的检测仪器设备</w:t>
            </w:r>
          </w:p>
        </w:tc>
        <w:tc>
          <w:tcPr>
            <w:tcW w:type="dxa" w:w="2492"/>
          </w:tcPr>
          <w:p>
            <w:pPr>
              <w:pStyle w:val="null3"/>
            </w:pPr>
            <w:r>
              <w:rPr>
                <w:rFonts w:ascii="仿宋_GB2312" w:hAnsi="仿宋_GB2312" w:cs="仿宋_GB2312" w:eastAsia="仿宋_GB2312"/>
              </w:rPr>
              <w:t>对供应商拟投入本项目的检测仪器设备数量、设备先进性和设备与项目内容配备性进行评审(需提供检定/校准证书或购置发票或采购合同或租赁合同)，提供12（台/个）(含)以上得12分，7（台/个）(含)以上得6分，2（台/个）（含）以上得2分，2（台/个）（不含）以下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保密措施及档案管理制度</w:t>
            </w:r>
          </w:p>
        </w:tc>
        <w:tc>
          <w:tcPr>
            <w:tcW w:type="dxa" w:w="2492"/>
          </w:tcPr>
          <w:p>
            <w:pPr>
              <w:pStyle w:val="null3"/>
            </w:pPr>
            <w:r>
              <w:rPr>
                <w:rFonts w:ascii="仿宋_GB2312" w:hAnsi="仿宋_GB2312" w:cs="仿宋_GB2312" w:eastAsia="仿宋_GB2312"/>
              </w:rPr>
              <w:t>一、评审内容 具有针对本项目保密措施及档案管理制度。 二、评审标准 1、完整性：措施须全面，对评审内容中的各项要求有详细描述； 2、可实施性：切合本项目实际情况，实施步骤清晰、合理； 3、针对性：措施能够紧扣项目实际情况，内容科学合理。 三、赋分标准 针对本项目保密措施及档案管理制度：每完全满足一项评审标准计1分，满分3分。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二、评审内容①应急组织机构；②应急响应时间；③应急保障措施。 二、评审标准 1、完整性：措施须全面，对评审内容中的各项要求有详细描述； 2、可实施性：切合本项目实际情况，实施步骤清晰、合理； 3、针对性：措施能够紧扣项目实际情况，内容科学合理。 三、赋分标准 ①应急组织机构：每完全满足一项评审标准计0.5分，满分1.5分。②应急响应时间：每完全满足一项评审标准计0.5分，满分1.5分。③应急保障措施：每完全满足一项评审标准计0.5分，满分1.5分。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服务承诺及建议</w:t>
            </w:r>
          </w:p>
        </w:tc>
        <w:tc>
          <w:tcPr>
            <w:tcW w:type="dxa" w:w="2492"/>
          </w:tcPr>
          <w:p>
            <w:pPr>
              <w:pStyle w:val="null3"/>
            </w:pPr>
            <w:r>
              <w:rPr>
                <w:rFonts w:ascii="仿宋_GB2312" w:hAnsi="仿宋_GB2312" w:cs="仿宋_GB2312" w:eastAsia="仿宋_GB2312"/>
              </w:rPr>
              <w:t>一、评审内容 服务承诺评审内容点如下：①承诺完全响应招标文件和合同条款的要求；②人员配备响应承诺；③服务质量承诺及进度保证；④承诺在合同履行中采购人若提出意见，供应商全力配合整改；⑤合理化建议。 二、评审标准 1、完整性：措施须全面，对评审内容中的各项要求有详细描述； 2、可实施性：切合本项目实际情况，实施步骤清晰、合理； 3、针对性：措施能够紧扣项目实际情况，内容科学合理。 三、赋分标准 ①承诺完全响应招标文件和合同条款的要求：每完全满足一项评审标准计0.5分，满分1.5分。 ②人员配备响应承诺：每完全满足一项评审标准计0.5分，满分1.5分。 ③服务质量承诺及进度保证：每完全满足一项评审标准计0.5分，满分1.5分。 ④承诺在合同履行中采购人若提出意见，供应商全力配合整改：每完全满足一项评审标准计0.5分，满分1.5分。 ⑤合理化建议：每完全满足一项评审标准计0.5分，满分1.5分。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供应商的价格为评标基准价，其价格分为满分。其他供应商的价格分统一按照下列公式计算：投标报价得分=（评标基准价/投标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及《关于进一步加大政府采购支持中小企业力度的通知》（财库〔2022〕19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2.采购标的对应的所属行业：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