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1CBD2">
      <w:pPr>
        <w:pStyle w:val="8"/>
        <w:jc w:val="center"/>
        <w:outlineLvl w:val="1"/>
        <w:rPr>
          <w:color w:val="auto"/>
          <w:highlight w:val="none"/>
        </w:rPr>
      </w:pPr>
      <w:r>
        <w:rPr>
          <w:rFonts w:ascii="仿宋_GB2312" w:hAnsi="仿宋_GB2312" w:eastAsia="仿宋_GB2312" w:cs="仿宋_GB2312"/>
          <w:b/>
          <w:color w:val="auto"/>
          <w:sz w:val="36"/>
          <w:highlight w:val="none"/>
        </w:rPr>
        <w:t>第</w:t>
      </w:r>
      <w:r>
        <w:rPr>
          <w:rFonts w:hint="eastAsia" w:ascii="仿宋_GB2312" w:hAnsi="仿宋_GB2312" w:eastAsia="仿宋_GB2312" w:cs="仿宋_GB2312"/>
          <w:b/>
          <w:color w:val="auto"/>
          <w:sz w:val="36"/>
          <w:highlight w:val="none"/>
          <w:lang w:val="en-US" w:eastAsia="zh-CN"/>
        </w:rPr>
        <w:t>七</w:t>
      </w:r>
      <w:r>
        <w:rPr>
          <w:rFonts w:ascii="仿宋_GB2312" w:hAnsi="仿宋_GB2312" w:eastAsia="仿宋_GB2312" w:cs="仿宋_GB2312"/>
          <w:b/>
          <w:color w:val="auto"/>
          <w:sz w:val="36"/>
          <w:highlight w:val="none"/>
        </w:rPr>
        <w:t>章 拟签订采购合同文本</w:t>
      </w:r>
    </w:p>
    <w:p w14:paraId="706A5E87">
      <w:pPr>
        <w:spacing w:line="360" w:lineRule="auto"/>
        <w:jc w:val="both"/>
        <w:rPr>
          <w:rFonts w:hint="eastAsia" w:ascii="仿宋" w:hAnsi="仿宋" w:eastAsia="仿宋" w:cs="仿宋"/>
          <w:b/>
          <w:color w:val="auto"/>
          <w:sz w:val="56"/>
          <w:szCs w:val="72"/>
          <w:highlight w:val="none"/>
        </w:rPr>
      </w:pPr>
    </w:p>
    <w:p w14:paraId="386EC93D">
      <w:pPr>
        <w:spacing w:line="360" w:lineRule="auto"/>
        <w:jc w:val="center"/>
        <w:rPr>
          <w:rFonts w:hint="eastAsia" w:ascii="仿宋" w:hAnsi="仿宋" w:eastAsia="仿宋" w:cs="仿宋"/>
          <w:b/>
          <w:color w:val="auto"/>
          <w:sz w:val="48"/>
          <w:szCs w:val="56"/>
          <w:highlight w:val="none"/>
        </w:rPr>
      </w:pPr>
      <w:r>
        <w:rPr>
          <w:rFonts w:hint="eastAsia" w:ascii="仿宋" w:hAnsi="仿宋" w:eastAsia="仿宋" w:cs="仿宋"/>
          <w:b/>
          <w:color w:val="auto"/>
          <w:sz w:val="48"/>
          <w:szCs w:val="56"/>
          <w:highlight w:val="none"/>
          <w:lang w:eastAsia="zh-CN"/>
        </w:rPr>
        <w:t>西安高新区2026年度房建工程质量抽测检测服务项目</w:t>
      </w:r>
    </w:p>
    <w:p w14:paraId="37342789">
      <w:pPr>
        <w:spacing w:line="360" w:lineRule="auto"/>
        <w:jc w:val="center"/>
        <w:rPr>
          <w:rFonts w:hint="eastAsia" w:ascii="仿宋" w:hAnsi="仿宋" w:eastAsia="仿宋" w:cs="仿宋"/>
          <w:b/>
          <w:color w:val="auto"/>
          <w:sz w:val="48"/>
          <w:szCs w:val="56"/>
          <w:highlight w:val="none"/>
        </w:rPr>
      </w:pPr>
      <w:r>
        <w:rPr>
          <w:rFonts w:hint="eastAsia" w:ascii="仿宋" w:hAnsi="仿宋" w:eastAsia="仿宋" w:cs="仿宋"/>
          <w:b/>
          <w:color w:val="auto"/>
          <w:sz w:val="48"/>
          <w:szCs w:val="56"/>
          <w:highlight w:val="none"/>
        </w:rPr>
        <w:t>（一包/二包）</w:t>
      </w:r>
    </w:p>
    <w:p w14:paraId="19520A4A">
      <w:pPr>
        <w:jc w:val="center"/>
        <w:rPr>
          <w:rFonts w:hint="eastAsia" w:ascii="仿宋" w:hAnsi="仿宋" w:eastAsia="仿宋" w:cs="仿宋"/>
          <w:b/>
          <w:color w:val="auto"/>
          <w:sz w:val="36"/>
          <w:szCs w:val="36"/>
          <w:highlight w:val="none"/>
        </w:rPr>
      </w:pPr>
      <w:bookmarkStart w:id="5" w:name="_GoBack"/>
      <w:bookmarkEnd w:id="5"/>
    </w:p>
    <w:p w14:paraId="5F4CC5C2">
      <w:pPr>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 条 款</w:t>
      </w:r>
    </w:p>
    <w:p w14:paraId="1DD407D9">
      <w:pPr>
        <w:pStyle w:val="4"/>
        <w:ind w:left="0" w:leftChars="0" w:firstLine="0" w:firstLineChars="0"/>
        <w:jc w:val="center"/>
        <w:rPr>
          <w:rFonts w:hint="eastAsia"/>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7D433C9C">
      <w:pPr>
        <w:jc w:val="center"/>
        <w:rPr>
          <w:rFonts w:hint="eastAsia" w:ascii="仿宋" w:hAnsi="仿宋" w:eastAsia="仿宋" w:cs="仿宋"/>
          <w:b/>
          <w:color w:val="auto"/>
          <w:sz w:val="48"/>
          <w:szCs w:val="48"/>
          <w:highlight w:val="none"/>
        </w:rPr>
      </w:pPr>
    </w:p>
    <w:p w14:paraId="4BC5D86D">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6A9CFED1">
      <w:pPr>
        <w:rPr>
          <w:rFonts w:hint="eastAsia" w:ascii="仿宋" w:hAnsi="仿宋" w:eastAsia="仿宋" w:cs="仿宋"/>
          <w:b/>
          <w:color w:val="auto"/>
          <w:highlight w:val="none"/>
        </w:rPr>
      </w:pPr>
    </w:p>
    <w:p w14:paraId="7DF4CE6C">
      <w:pPr>
        <w:rPr>
          <w:rFonts w:hint="eastAsia" w:ascii="仿宋" w:hAnsi="仿宋" w:eastAsia="仿宋" w:cs="仿宋"/>
          <w:b/>
          <w:color w:val="auto"/>
          <w:highlight w:val="none"/>
        </w:rPr>
      </w:pPr>
    </w:p>
    <w:p w14:paraId="081FD492">
      <w:pPr>
        <w:pStyle w:val="3"/>
        <w:rPr>
          <w:rFonts w:hint="eastAsia"/>
          <w:color w:val="auto"/>
          <w:highlight w:val="none"/>
        </w:rPr>
      </w:pPr>
    </w:p>
    <w:p w14:paraId="73B20812">
      <w:pPr>
        <w:rPr>
          <w:rFonts w:hint="eastAsia"/>
          <w:color w:val="auto"/>
          <w:highlight w:val="none"/>
        </w:rPr>
      </w:pPr>
    </w:p>
    <w:p w14:paraId="67F14797">
      <w:pPr>
        <w:rPr>
          <w:rFonts w:hint="eastAsia"/>
          <w:color w:val="auto"/>
          <w:highlight w:val="none"/>
        </w:rPr>
      </w:pPr>
    </w:p>
    <w:p w14:paraId="153B4B4B">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74F45C45">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41C7CC2C">
      <w:pPr>
        <w:spacing w:line="500" w:lineRule="atLeast"/>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FC88BD0">
      <w:pPr>
        <w:widowControl/>
        <w:spacing w:line="560" w:lineRule="exact"/>
        <w:jc w:val="left"/>
        <w:rPr>
          <w:rFonts w:hint="eastAsia" w:ascii="仿宋" w:hAnsi="仿宋" w:eastAsia="仿宋" w:cs="仿宋"/>
          <w:bCs/>
          <w:color w:val="auto"/>
          <w:sz w:val="28"/>
          <w:szCs w:val="28"/>
          <w:highlight w:val="none"/>
          <w:lang w:bidi="ar"/>
        </w:rPr>
      </w:pPr>
    </w:p>
    <w:p w14:paraId="7E4297B6">
      <w:pPr>
        <w:widowControl/>
        <w:spacing w:line="560" w:lineRule="exact"/>
        <w:jc w:val="left"/>
        <w:rPr>
          <w:rFonts w:hint="eastAsia" w:ascii="仿宋" w:hAnsi="仿宋" w:eastAsia="仿宋" w:cs="仿宋"/>
          <w:bCs/>
          <w:color w:val="auto"/>
          <w:sz w:val="28"/>
          <w:szCs w:val="28"/>
          <w:highlight w:val="none"/>
          <w:lang w:bidi="ar"/>
        </w:rPr>
      </w:pPr>
    </w:p>
    <w:p w14:paraId="03BAFC59">
      <w:pPr>
        <w:widowControl/>
        <w:spacing w:line="560" w:lineRule="exact"/>
        <w:jc w:val="left"/>
        <w:rPr>
          <w:rFonts w:hint="eastAsia" w:ascii="仿宋" w:hAnsi="仿宋" w:eastAsia="仿宋" w:cs="仿宋"/>
          <w:bCs/>
          <w:color w:val="auto"/>
          <w:sz w:val="28"/>
          <w:szCs w:val="28"/>
          <w:highlight w:val="none"/>
          <w:lang w:bidi="ar"/>
        </w:rPr>
      </w:pPr>
    </w:p>
    <w:p w14:paraId="29B72A10">
      <w:pPr>
        <w:widowControl/>
        <w:spacing w:line="560" w:lineRule="exact"/>
        <w:jc w:val="left"/>
        <w:rPr>
          <w:rFonts w:hint="eastAsia" w:ascii="仿宋" w:hAnsi="仿宋" w:eastAsia="仿宋" w:cs="仿宋"/>
          <w:bCs/>
          <w:color w:val="auto"/>
          <w:sz w:val="28"/>
          <w:szCs w:val="28"/>
          <w:highlight w:val="none"/>
          <w:lang w:bidi="ar"/>
        </w:rPr>
      </w:pPr>
    </w:p>
    <w:p w14:paraId="44543FAC">
      <w:pPr>
        <w:widowControl/>
        <w:spacing w:line="560" w:lineRule="exact"/>
        <w:jc w:val="left"/>
        <w:rPr>
          <w:rFonts w:hint="eastAsia" w:ascii="仿宋" w:hAnsi="仿宋" w:eastAsia="仿宋" w:cs="仿宋"/>
          <w:bCs/>
          <w:color w:val="auto"/>
          <w:sz w:val="28"/>
          <w:szCs w:val="28"/>
          <w:highlight w:val="none"/>
          <w:lang w:bidi="ar"/>
        </w:rPr>
      </w:pPr>
    </w:p>
    <w:p w14:paraId="20E06120">
      <w:pPr>
        <w:widowControl/>
        <w:spacing w:line="560" w:lineRule="exact"/>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p>
    <w:p w14:paraId="32C51DD4">
      <w:pPr>
        <w:widowControl/>
        <w:spacing w:line="560" w:lineRule="exact"/>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p>
    <w:p w14:paraId="00591DB1">
      <w:pPr>
        <w:widowControl/>
        <w:spacing w:line="560" w:lineRule="exact"/>
        <w:ind w:firstLine="560" w:firstLineChars="200"/>
        <w:jc w:val="left"/>
        <w:rPr>
          <w:rFonts w:hint="eastAsia" w:ascii="仿宋" w:hAnsi="仿宋" w:eastAsia="仿宋" w:cs="仿宋"/>
          <w:color w:val="auto"/>
          <w:kern w:val="0"/>
          <w:sz w:val="28"/>
          <w:szCs w:val="28"/>
          <w:highlight w:val="none"/>
        </w:rPr>
      </w:pPr>
      <w:bookmarkStart w:id="0" w:name="_Toc21005"/>
      <w:bookmarkStart w:id="1" w:name="_Toc27361"/>
      <w:r>
        <w:rPr>
          <w:rFonts w:hint="eastAsia" w:ascii="仿宋" w:hAnsi="仿宋" w:eastAsia="仿宋" w:cs="仿宋"/>
          <w:color w:val="auto"/>
          <w:kern w:val="0"/>
          <w:sz w:val="28"/>
          <w:szCs w:val="28"/>
          <w:highlight w:val="none"/>
        </w:rPr>
        <w:t>依据《中华人民共和国民法典》、《中华人民共和国政府采购法》及依法采取招投标程序及有关规定，甲、乙双方在平等互利、友好协商的基础上，就委托乙方对高新区</w:t>
      </w:r>
      <w:r>
        <w:rPr>
          <w:rFonts w:hint="eastAsia" w:ascii="仿宋" w:hAnsi="仿宋" w:eastAsia="仿宋" w:cs="仿宋"/>
          <w:color w:val="auto"/>
          <w:kern w:val="0"/>
          <w:sz w:val="28"/>
          <w:szCs w:val="28"/>
          <w:highlight w:val="none"/>
          <w:lang w:val="en-US" w:eastAsia="zh-CN"/>
        </w:rPr>
        <w:t>2026年度</w:t>
      </w:r>
      <w:r>
        <w:rPr>
          <w:rFonts w:hint="eastAsia" w:ascii="仿宋" w:hAnsi="仿宋" w:eastAsia="仿宋" w:cs="仿宋"/>
          <w:color w:val="auto"/>
          <w:kern w:val="0"/>
          <w:sz w:val="28"/>
          <w:szCs w:val="28"/>
          <w:highlight w:val="none"/>
        </w:rPr>
        <w:t>房建工程质量进行抽测检测第三方服务工作，达成如下协议:</w:t>
      </w:r>
    </w:p>
    <w:bookmarkEnd w:id="0"/>
    <w:bookmarkEnd w:id="1"/>
    <w:p w14:paraId="3095BA93">
      <w:pPr>
        <w:pStyle w:val="9"/>
        <w:widowControl/>
        <w:spacing w:line="560" w:lineRule="exact"/>
        <w:ind w:firstLine="0" w:firstLineChars="0"/>
        <w:rPr>
          <w:rFonts w:ascii="仿宋_GB2312" w:hAnsi="仿宋_GB2312" w:eastAsia="仿宋_GB2312" w:cs="仿宋_GB2312"/>
          <w:b/>
          <w:bCs/>
          <w:color w:val="auto"/>
          <w:szCs w:val="28"/>
          <w:highlight w:val="none"/>
        </w:rPr>
      </w:pPr>
      <w:r>
        <w:rPr>
          <w:rFonts w:ascii="仿宋" w:hAnsi="仿宋" w:cs="仿宋"/>
          <w:b/>
          <w:bCs/>
          <w:color w:val="auto"/>
          <w:szCs w:val="28"/>
          <w:highlight w:val="none"/>
        </w:rPr>
        <w:t>一、服务期限</w:t>
      </w:r>
    </w:p>
    <w:p w14:paraId="0CD63B4F">
      <w:pPr>
        <w:pStyle w:val="9"/>
        <w:widowControl/>
        <w:spacing w:line="560" w:lineRule="exact"/>
        <w:ind w:firstLine="560"/>
        <w:rPr>
          <w:rFonts w:ascii="仿宋" w:hAnsi="仿宋" w:cs="仿宋"/>
          <w:color w:val="auto"/>
          <w:szCs w:val="28"/>
          <w:highlight w:val="none"/>
        </w:rPr>
      </w:pPr>
      <w:r>
        <w:rPr>
          <w:rFonts w:ascii="仿宋" w:hAnsi="仿宋" w:cs="仿宋"/>
          <w:color w:val="auto"/>
          <w:szCs w:val="28"/>
          <w:highlight w:val="none"/>
        </w:rPr>
        <w:t>合同包1：</w:t>
      </w:r>
      <w:r>
        <w:rPr>
          <w:rFonts w:hint="eastAsia" w:ascii="仿宋" w:hAnsi="仿宋" w:cs="仿宋"/>
          <w:color w:val="auto"/>
          <w:szCs w:val="28"/>
          <w:highlight w:val="none"/>
          <w:lang w:eastAsia="zh-CN"/>
        </w:rPr>
        <w:t>自合同签订之日起一年</w:t>
      </w:r>
      <w:r>
        <w:rPr>
          <w:rFonts w:ascii="仿宋" w:hAnsi="仿宋" w:cs="仿宋"/>
          <w:color w:val="auto"/>
          <w:szCs w:val="28"/>
          <w:highlight w:val="none"/>
        </w:rPr>
        <w:t>。</w:t>
      </w:r>
      <w:bookmarkStart w:id="2" w:name="_Toc12684"/>
    </w:p>
    <w:p w14:paraId="6E3A4A9B">
      <w:pPr>
        <w:pStyle w:val="9"/>
        <w:widowControl/>
        <w:spacing w:line="560" w:lineRule="exact"/>
        <w:ind w:firstLine="560"/>
        <w:rPr>
          <w:rFonts w:ascii="仿宋" w:hAnsi="仿宋" w:cs="仿宋"/>
          <w:color w:val="auto"/>
          <w:szCs w:val="28"/>
          <w:highlight w:val="none"/>
        </w:rPr>
      </w:pPr>
      <w:r>
        <w:rPr>
          <w:rFonts w:ascii="仿宋" w:hAnsi="仿宋" w:cs="仿宋"/>
          <w:color w:val="auto"/>
          <w:szCs w:val="28"/>
          <w:highlight w:val="none"/>
        </w:rPr>
        <w:t>合同包2：</w:t>
      </w:r>
      <w:r>
        <w:rPr>
          <w:rFonts w:hint="eastAsia" w:ascii="仿宋" w:hAnsi="仿宋" w:cs="仿宋"/>
          <w:color w:val="auto"/>
          <w:szCs w:val="28"/>
          <w:highlight w:val="none"/>
          <w:lang w:eastAsia="zh-CN"/>
        </w:rPr>
        <w:t>自合同签订之日起一年</w:t>
      </w:r>
      <w:r>
        <w:rPr>
          <w:rFonts w:ascii="仿宋" w:hAnsi="仿宋" w:cs="仿宋"/>
          <w:color w:val="auto"/>
          <w:szCs w:val="28"/>
          <w:highlight w:val="none"/>
        </w:rPr>
        <w:t>。</w:t>
      </w:r>
    </w:p>
    <w:p w14:paraId="5488BDA5">
      <w:pPr>
        <w:pStyle w:val="9"/>
        <w:widowControl/>
        <w:spacing w:line="560" w:lineRule="exact"/>
        <w:ind w:firstLine="0" w:firstLineChars="0"/>
        <w:rPr>
          <w:rFonts w:ascii="仿宋_GB2312" w:hAnsi="仿宋_GB2312" w:eastAsia="仿宋_GB2312" w:cs="仿宋_GB2312"/>
          <w:b/>
          <w:bCs/>
          <w:color w:val="auto"/>
          <w:szCs w:val="28"/>
          <w:highlight w:val="none"/>
        </w:rPr>
      </w:pPr>
      <w:r>
        <w:rPr>
          <w:rFonts w:ascii="仿宋_GB2312" w:hAnsi="仿宋_GB2312" w:eastAsia="仿宋_GB2312" w:cs="仿宋_GB2312"/>
          <w:b/>
          <w:bCs/>
          <w:color w:val="auto"/>
          <w:szCs w:val="28"/>
          <w:highlight w:val="none"/>
        </w:rPr>
        <w:t>二、合同</w:t>
      </w:r>
      <w:bookmarkEnd w:id="2"/>
      <w:r>
        <w:rPr>
          <w:rFonts w:ascii="仿宋_GB2312" w:hAnsi="仿宋_GB2312" w:eastAsia="仿宋_GB2312" w:cs="仿宋_GB2312"/>
          <w:b/>
          <w:bCs/>
          <w:color w:val="auto"/>
          <w:szCs w:val="28"/>
          <w:highlight w:val="none"/>
        </w:rPr>
        <w:t>内容</w:t>
      </w:r>
    </w:p>
    <w:p w14:paraId="322F5934">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根据甲方委托，对高新区</w:t>
      </w:r>
      <w:r>
        <w:rPr>
          <w:rFonts w:hint="eastAsia" w:ascii="仿宋" w:hAnsi="仿宋" w:eastAsia="仿宋" w:cs="仿宋"/>
          <w:color w:val="auto"/>
          <w:kern w:val="0"/>
          <w:sz w:val="28"/>
          <w:szCs w:val="28"/>
          <w:highlight w:val="none"/>
          <w:lang w:val="en-US" w:eastAsia="zh-CN"/>
        </w:rPr>
        <w:t>2026年度</w:t>
      </w:r>
      <w:r>
        <w:rPr>
          <w:rFonts w:hint="eastAsia" w:ascii="仿宋" w:hAnsi="仿宋" w:eastAsia="仿宋" w:cs="仿宋"/>
          <w:color w:val="auto"/>
          <w:kern w:val="0"/>
          <w:sz w:val="28"/>
          <w:szCs w:val="28"/>
          <w:highlight w:val="none"/>
        </w:rPr>
        <w:t>房建工程质量进行抽测检测，并出具具有法律效力的检测报告。</w:t>
      </w:r>
      <w:r>
        <w:rPr>
          <w:rFonts w:hint="eastAsia" w:ascii="仿宋" w:hAnsi="仿宋" w:eastAsia="仿宋" w:cs="仿宋"/>
          <w:color w:val="auto"/>
          <w:spacing w:val="-6"/>
          <w:sz w:val="28"/>
          <w:szCs w:val="28"/>
          <w:highlight w:val="none"/>
        </w:rPr>
        <w:t>其中合同包1：西部大道以北区域</w:t>
      </w:r>
      <w:r>
        <w:rPr>
          <w:rFonts w:hint="eastAsia" w:ascii="仿宋" w:hAnsi="仿宋" w:eastAsia="仿宋" w:cs="仿宋"/>
          <w:color w:val="auto"/>
          <w:spacing w:val="-6"/>
          <w:sz w:val="28"/>
          <w:szCs w:val="28"/>
          <w:highlight w:val="none"/>
          <w:lang w:val="en-US" w:eastAsia="zh-CN"/>
        </w:rPr>
        <w:t>2026年度</w:t>
      </w:r>
      <w:r>
        <w:rPr>
          <w:rFonts w:hint="eastAsia" w:ascii="仿宋" w:hAnsi="仿宋" w:eastAsia="仿宋" w:cs="仿宋"/>
          <w:color w:val="auto"/>
          <w:spacing w:val="-6"/>
          <w:sz w:val="28"/>
          <w:szCs w:val="28"/>
          <w:highlight w:val="none"/>
        </w:rPr>
        <w:t>建设项目；合同包2：西部大道以南区域</w:t>
      </w:r>
      <w:r>
        <w:rPr>
          <w:rFonts w:hint="eastAsia" w:ascii="仿宋" w:hAnsi="仿宋" w:eastAsia="仿宋" w:cs="仿宋"/>
          <w:color w:val="auto"/>
          <w:spacing w:val="-6"/>
          <w:sz w:val="28"/>
          <w:szCs w:val="28"/>
          <w:highlight w:val="none"/>
          <w:lang w:val="en-US" w:eastAsia="zh-CN"/>
        </w:rPr>
        <w:t>2026年度</w:t>
      </w:r>
      <w:r>
        <w:rPr>
          <w:rFonts w:hint="eastAsia" w:ascii="仿宋" w:hAnsi="仿宋" w:eastAsia="仿宋" w:cs="仿宋"/>
          <w:color w:val="auto"/>
          <w:spacing w:val="-6"/>
          <w:sz w:val="28"/>
          <w:szCs w:val="28"/>
          <w:highlight w:val="none"/>
        </w:rPr>
        <w:t>建设项目。</w:t>
      </w:r>
    </w:p>
    <w:p w14:paraId="5F2B145C">
      <w:pPr>
        <w:pStyle w:val="4"/>
        <w:spacing w:line="560" w:lineRule="exact"/>
        <w:ind w:firstLine="0"/>
        <w:rPr>
          <w:rFonts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三、合同价款</w:t>
      </w:r>
    </w:p>
    <w:p w14:paraId="08AAB152">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1、合同金额（暂定）（含税）：人民币（大写）：</w:t>
      </w:r>
      <w:r>
        <w:rPr>
          <w:rFonts w:hint="eastAsia" w:ascii="仿宋" w:hAnsi="仿宋" w:eastAsia="仿宋" w:cs="仿宋"/>
          <w:color w:val="auto"/>
          <w:kern w:val="0"/>
          <w:sz w:val="28"/>
          <w:szCs w:val="28"/>
          <w:highlight w:val="none"/>
          <w:u w:val="single"/>
        </w:rPr>
        <w:t xml:space="preserve">               </w:t>
      </w:r>
    </w:p>
    <w:p w14:paraId="2E4241A8">
      <w:pPr>
        <w:pStyle w:val="9"/>
        <w:widowControl/>
        <w:spacing w:line="560" w:lineRule="exact"/>
        <w:rPr>
          <w:rFonts w:ascii="仿宋" w:hAnsi="仿宋" w:cs="仿宋"/>
          <w:color w:val="auto"/>
          <w:szCs w:val="28"/>
          <w:highlight w:val="none"/>
        </w:rPr>
      </w:pPr>
      <w:r>
        <w:rPr>
          <w:rFonts w:ascii="仿宋" w:hAnsi="仿宋" w:cs="仿宋"/>
          <w:color w:val="auto"/>
          <w:szCs w:val="28"/>
          <w:highlight w:val="none"/>
        </w:rPr>
        <w:t>（小写）：¥</w:t>
      </w:r>
      <w:r>
        <w:rPr>
          <w:rFonts w:ascii="仿宋" w:hAnsi="仿宋" w:cs="仿宋"/>
          <w:color w:val="auto"/>
          <w:szCs w:val="28"/>
          <w:highlight w:val="none"/>
          <w:u w:val="single"/>
        </w:rPr>
        <w:t xml:space="preserve">            </w:t>
      </w:r>
      <w:r>
        <w:rPr>
          <w:rFonts w:ascii="仿宋" w:hAnsi="仿宋" w:cs="仿宋"/>
          <w:color w:val="auto"/>
          <w:szCs w:val="28"/>
          <w:highlight w:val="none"/>
        </w:rPr>
        <w:t>元</w:t>
      </w:r>
      <w:r>
        <w:rPr>
          <w:rFonts w:hint="eastAsia" w:ascii="仿宋" w:hAnsi="仿宋" w:cs="仿宋"/>
          <w:color w:val="auto"/>
          <w:szCs w:val="28"/>
          <w:highlight w:val="none"/>
          <w:lang w:eastAsia="zh-CN"/>
        </w:rPr>
        <w:t>；</w:t>
      </w:r>
      <w:r>
        <w:rPr>
          <w:color w:val="auto"/>
          <w:highlight w:val="none"/>
        </w:rPr>
        <w:t>其中中标折扣</w:t>
      </w:r>
      <w:r>
        <w:rPr>
          <w:rFonts w:hint="eastAsia"/>
          <w:color w:val="auto"/>
          <w:highlight w:val="none"/>
          <w:lang w:val="en-US" w:eastAsia="zh-CN"/>
        </w:rPr>
        <w:t>为</w:t>
      </w:r>
      <w:r>
        <w:rPr>
          <w:color w:val="auto"/>
          <w:highlight w:val="none"/>
          <w:u w:val="single"/>
        </w:rPr>
        <w:t xml:space="preserve">          </w:t>
      </w:r>
      <w:r>
        <w:rPr>
          <w:color w:val="auto"/>
          <w:highlight w:val="none"/>
        </w:rPr>
        <w:t>%。</w:t>
      </w:r>
    </w:p>
    <w:p w14:paraId="447F9553">
      <w:pPr>
        <w:pStyle w:val="9"/>
        <w:widowControl/>
        <w:numPr>
          <w:ilvl w:val="0"/>
          <w:numId w:val="1"/>
        </w:numPr>
        <w:spacing w:line="560" w:lineRule="exact"/>
        <w:ind w:firstLine="560"/>
        <w:rPr>
          <w:rFonts w:hint="default" w:ascii="仿宋" w:hAnsi="仿宋" w:cs="仿宋"/>
          <w:color w:val="auto"/>
          <w:szCs w:val="28"/>
          <w:highlight w:val="none"/>
        </w:rPr>
      </w:pPr>
      <w:r>
        <w:rPr>
          <w:rFonts w:ascii="仿宋" w:hAnsi="仿宋" w:cs="仿宋"/>
          <w:color w:val="auto"/>
          <w:szCs w:val="28"/>
          <w:highlight w:val="none"/>
        </w:rPr>
        <w:t>检测费用依照下表单价进行计费结算。</w:t>
      </w:r>
    </w:p>
    <w:tbl>
      <w:tblPr>
        <w:tblStyle w:val="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8"/>
        <w:gridCol w:w="907"/>
        <w:gridCol w:w="784"/>
        <w:gridCol w:w="82"/>
        <w:gridCol w:w="7"/>
        <w:gridCol w:w="511"/>
        <w:gridCol w:w="2013"/>
        <w:gridCol w:w="1539"/>
        <w:gridCol w:w="2108"/>
      </w:tblGrid>
      <w:tr w14:paraId="33F7A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59" w:type="pct"/>
            <w:gridSpan w:val="7"/>
            <w:noWrap w:val="0"/>
            <w:vAlign w:val="center"/>
          </w:tcPr>
          <w:p w14:paraId="3C2F4439">
            <w:pPr>
              <w:spacing w:line="560" w:lineRule="exact"/>
              <w:jc w:val="center"/>
              <w:rPr>
                <w:rFonts w:ascii="仿宋_GB2312" w:eastAsia="仿宋_GB2312"/>
                <w:b/>
                <w:color w:val="auto"/>
                <w:sz w:val="24"/>
                <w:highlight w:val="none"/>
              </w:rPr>
            </w:pPr>
            <w:r>
              <w:rPr>
                <w:rFonts w:hint="eastAsia" w:ascii="仿宋_GB2312" w:hAnsi="宋体" w:eastAsia="仿宋_GB2312"/>
                <w:b/>
                <w:color w:val="auto"/>
                <w:sz w:val="24"/>
                <w:highlight w:val="none"/>
              </w:rPr>
              <w:t>结构实体检测</w:t>
            </w:r>
          </w:p>
        </w:tc>
        <w:tc>
          <w:tcPr>
            <w:tcW w:w="903" w:type="pct"/>
            <w:noWrap w:val="0"/>
            <w:vAlign w:val="center"/>
          </w:tcPr>
          <w:p w14:paraId="13D7257B">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单位</w:t>
            </w:r>
          </w:p>
        </w:tc>
        <w:tc>
          <w:tcPr>
            <w:tcW w:w="1237" w:type="pct"/>
            <w:noWrap w:val="0"/>
            <w:vAlign w:val="center"/>
          </w:tcPr>
          <w:p w14:paraId="232B72B1">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单价（元）</w:t>
            </w:r>
          </w:p>
        </w:tc>
      </w:tr>
      <w:tr w14:paraId="26C20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115A76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w:t>
            </w:r>
          </w:p>
        </w:tc>
        <w:tc>
          <w:tcPr>
            <w:tcW w:w="1344" w:type="pct"/>
            <w:gridSpan w:val="5"/>
            <w:vMerge w:val="restart"/>
            <w:noWrap w:val="0"/>
            <w:vAlign w:val="center"/>
          </w:tcPr>
          <w:p w14:paraId="62C04E5F">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砼强度</w:t>
            </w:r>
          </w:p>
        </w:tc>
        <w:tc>
          <w:tcPr>
            <w:tcW w:w="1180" w:type="pct"/>
            <w:noWrap w:val="0"/>
            <w:vAlign w:val="center"/>
          </w:tcPr>
          <w:p w14:paraId="0EA62C9F">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回弹法</w:t>
            </w:r>
          </w:p>
        </w:tc>
        <w:tc>
          <w:tcPr>
            <w:tcW w:w="903" w:type="pct"/>
            <w:noWrap w:val="0"/>
            <w:vAlign w:val="center"/>
          </w:tcPr>
          <w:p w14:paraId="23130A5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1D834603">
            <w:pPr>
              <w:adjustRightInd w:val="0"/>
              <w:snapToGrid w:val="0"/>
              <w:spacing w:line="560" w:lineRule="exact"/>
              <w:jc w:val="center"/>
              <w:rPr>
                <w:rFonts w:ascii="仿宋_GB2312" w:eastAsia="仿宋_GB2312"/>
                <w:color w:val="auto"/>
                <w:sz w:val="24"/>
                <w:highlight w:val="none"/>
              </w:rPr>
            </w:pPr>
          </w:p>
        </w:tc>
      </w:tr>
      <w:tr w14:paraId="32B2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5563FF9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w:t>
            </w:r>
          </w:p>
        </w:tc>
        <w:tc>
          <w:tcPr>
            <w:tcW w:w="1344" w:type="pct"/>
            <w:gridSpan w:val="5"/>
            <w:vMerge w:val="continue"/>
            <w:noWrap w:val="0"/>
            <w:vAlign w:val="center"/>
          </w:tcPr>
          <w:p w14:paraId="361D4F0C">
            <w:pPr>
              <w:adjustRightInd w:val="0"/>
              <w:snapToGrid w:val="0"/>
              <w:spacing w:line="560" w:lineRule="exact"/>
              <w:jc w:val="center"/>
              <w:rPr>
                <w:rFonts w:ascii="仿宋_GB2312" w:eastAsia="仿宋_GB2312"/>
                <w:color w:val="auto"/>
                <w:sz w:val="24"/>
                <w:highlight w:val="none"/>
              </w:rPr>
            </w:pPr>
          </w:p>
        </w:tc>
        <w:tc>
          <w:tcPr>
            <w:tcW w:w="1180" w:type="pct"/>
            <w:noWrap w:val="0"/>
            <w:vAlign w:val="center"/>
          </w:tcPr>
          <w:p w14:paraId="51A01EF8">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钻芯法</w:t>
            </w:r>
          </w:p>
        </w:tc>
        <w:tc>
          <w:tcPr>
            <w:tcW w:w="903" w:type="pct"/>
            <w:noWrap w:val="0"/>
            <w:vAlign w:val="center"/>
          </w:tcPr>
          <w:p w14:paraId="39ED9E92">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芯样</w:t>
            </w:r>
          </w:p>
        </w:tc>
        <w:tc>
          <w:tcPr>
            <w:tcW w:w="1237" w:type="pct"/>
            <w:noWrap w:val="0"/>
            <w:vAlign w:val="center"/>
          </w:tcPr>
          <w:p w14:paraId="6B9AE599">
            <w:pPr>
              <w:adjustRightInd w:val="0"/>
              <w:snapToGrid w:val="0"/>
              <w:spacing w:line="560" w:lineRule="exact"/>
              <w:jc w:val="center"/>
              <w:rPr>
                <w:rFonts w:ascii="仿宋_GB2312" w:eastAsia="仿宋_GB2312"/>
                <w:color w:val="auto"/>
                <w:sz w:val="24"/>
                <w:highlight w:val="none"/>
              </w:rPr>
            </w:pPr>
          </w:p>
        </w:tc>
      </w:tr>
      <w:tr w14:paraId="4685A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A447B7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w:t>
            </w:r>
          </w:p>
        </w:tc>
        <w:tc>
          <w:tcPr>
            <w:tcW w:w="2524" w:type="pct"/>
            <w:gridSpan w:val="6"/>
            <w:noWrap w:val="0"/>
            <w:vAlign w:val="center"/>
          </w:tcPr>
          <w:p w14:paraId="3D697228">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钢筋保护层厚度</w:t>
            </w:r>
          </w:p>
        </w:tc>
        <w:tc>
          <w:tcPr>
            <w:tcW w:w="903" w:type="pct"/>
            <w:noWrap w:val="0"/>
            <w:vAlign w:val="center"/>
          </w:tcPr>
          <w:p w14:paraId="0814E171">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00DADB2D">
            <w:pPr>
              <w:adjustRightInd w:val="0"/>
              <w:snapToGrid w:val="0"/>
              <w:spacing w:line="560" w:lineRule="exact"/>
              <w:jc w:val="center"/>
              <w:rPr>
                <w:rFonts w:ascii="仿宋_GB2312" w:eastAsia="仿宋_GB2312"/>
                <w:color w:val="auto"/>
                <w:sz w:val="24"/>
                <w:highlight w:val="none"/>
              </w:rPr>
            </w:pPr>
          </w:p>
        </w:tc>
      </w:tr>
      <w:tr w14:paraId="10BF8B8F">
        <w:tblPrEx>
          <w:tblCellMar>
            <w:top w:w="0" w:type="dxa"/>
            <w:left w:w="108" w:type="dxa"/>
            <w:bottom w:w="0" w:type="dxa"/>
            <w:right w:w="108" w:type="dxa"/>
          </w:tblCellMar>
        </w:tblPrEx>
        <w:trPr>
          <w:trHeight w:val="437" w:hRule="atLeast"/>
          <w:jc w:val="center"/>
        </w:trPr>
        <w:tc>
          <w:tcPr>
            <w:tcW w:w="334" w:type="pct"/>
            <w:noWrap w:val="0"/>
            <w:vAlign w:val="center"/>
          </w:tcPr>
          <w:p w14:paraId="3E0EAD5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w:t>
            </w:r>
          </w:p>
        </w:tc>
        <w:tc>
          <w:tcPr>
            <w:tcW w:w="2524" w:type="pct"/>
            <w:gridSpan w:val="6"/>
            <w:noWrap w:val="0"/>
            <w:vAlign w:val="center"/>
          </w:tcPr>
          <w:p w14:paraId="4091ADA1">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外墙面砖粘结强度</w:t>
            </w:r>
          </w:p>
        </w:tc>
        <w:tc>
          <w:tcPr>
            <w:tcW w:w="903" w:type="pct"/>
            <w:noWrap w:val="0"/>
            <w:vAlign w:val="center"/>
          </w:tcPr>
          <w:p w14:paraId="6A368D9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2D2F9F90">
            <w:pPr>
              <w:adjustRightInd w:val="0"/>
              <w:snapToGrid w:val="0"/>
              <w:spacing w:line="560" w:lineRule="exact"/>
              <w:jc w:val="center"/>
              <w:rPr>
                <w:rFonts w:ascii="仿宋_GB2312" w:eastAsia="仿宋_GB2312"/>
                <w:color w:val="auto"/>
                <w:sz w:val="24"/>
                <w:highlight w:val="none"/>
              </w:rPr>
            </w:pPr>
          </w:p>
        </w:tc>
      </w:tr>
      <w:tr w14:paraId="5D3C2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055DE52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w:t>
            </w:r>
          </w:p>
        </w:tc>
        <w:tc>
          <w:tcPr>
            <w:tcW w:w="2524" w:type="pct"/>
            <w:gridSpan w:val="6"/>
            <w:noWrap w:val="0"/>
            <w:vAlign w:val="center"/>
          </w:tcPr>
          <w:p w14:paraId="28DB3602">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砂浆强度检测</w:t>
            </w:r>
          </w:p>
        </w:tc>
        <w:tc>
          <w:tcPr>
            <w:tcW w:w="903" w:type="pct"/>
            <w:noWrap w:val="0"/>
            <w:vAlign w:val="center"/>
          </w:tcPr>
          <w:p w14:paraId="42FC813E">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4B815612">
            <w:pPr>
              <w:adjustRightInd w:val="0"/>
              <w:snapToGrid w:val="0"/>
              <w:spacing w:line="560" w:lineRule="exact"/>
              <w:jc w:val="center"/>
              <w:rPr>
                <w:rFonts w:ascii="仿宋_GB2312" w:eastAsia="仿宋_GB2312"/>
                <w:color w:val="auto"/>
                <w:sz w:val="24"/>
                <w:highlight w:val="none"/>
              </w:rPr>
            </w:pPr>
          </w:p>
        </w:tc>
      </w:tr>
      <w:tr w14:paraId="60408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3B664A1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6</w:t>
            </w:r>
          </w:p>
        </w:tc>
        <w:tc>
          <w:tcPr>
            <w:tcW w:w="2524" w:type="pct"/>
            <w:gridSpan w:val="6"/>
            <w:noWrap w:val="0"/>
            <w:vAlign w:val="center"/>
          </w:tcPr>
          <w:p w14:paraId="10240B61">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砌体强度检测</w:t>
            </w:r>
          </w:p>
        </w:tc>
        <w:tc>
          <w:tcPr>
            <w:tcW w:w="903" w:type="pct"/>
            <w:noWrap w:val="0"/>
            <w:vAlign w:val="center"/>
          </w:tcPr>
          <w:p w14:paraId="7A42012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46ED348C">
            <w:pPr>
              <w:adjustRightInd w:val="0"/>
              <w:snapToGrid w:val="0"/>
              <w:spacing w:line="560" w:lineRule="exact"/>
              <w:jc w:val="center"/>
              <w:rPr>
                <w:rFonts w:ascii="仿宋_GB2312" w:eastAsia="仿宋_GB2312"/>
                <w:color w:val="auto"/>
                <w:sz w:val="24"/>
                <w:highlight w:val="none"/>
              </w:rPr>
            </w:pPr>
          </w:p>
        </w:tc>
      </w:tr>
      <w:tr w14:paraId="64003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65777FE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7</w:t>
            </w:r>
          </w:p>
        </w:tc>
        <w:tc>
          <w:tcPr>
            <w:tcW w:w="2524" w:type="pct"/>
            <w:gridSpan w:val="6"/>
            <w:noWrap w:val="0"/>
            <w:vAlign w:val="center"/>
          </w:tcPr>
          <w:p w14:paraId="612E157B">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楼板厚度检测</w:t>
            </w:r>
          </w:p>
        </w:tc>
        <w:tc>
          <w:tcPr>
            <w:tcW w:w="903" w:type="pct"/>
            <w:noWrap w:val="0"/>
            <w:vAlign w:val="center"/>
          </w:tcPr>
          <w:p w14:paraId="186D8F24">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10A7CBF5">
            <w:pPr>
              <w:adjustRightInd w:val="0"/>
              <w:snapToGrid w:val="0"/>
              <w:spacing w:line="560" w:lineRule="exact"/>
              <w:jc w:val="center"/>
              <w:rPr>
                <w:rFonts w:ascii="仿宋_GB2312" w:eastAsia="仿宋_GB2312"/>
                <w:color w:val="auto"/>
                <w:sz w:val="24"/>
                <w:highlight w:val="none"/>
              </w:rPr>
            </w:pPr>
          </w:p>
        </w:tc>
      </w:tr>
      <w:tr w14:paraId="423E7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B0E414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8</w:t>
            </w:r>
          </w:p>
        </w:tc>
        <w:tc>
          <w:tcPr>
            <w:tcW w:w="2524" w:type="pct"/>
            <w:gridSpan w:val="6"/>
            <w:noWrap w:val="0"/>
            <w:vAlign w:val="center"/>
          </w:tcPr>
          <w:p w14:paraId="0C9812F0">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砼内部缺陷检测</w:t>
            </w:r>
          </w:p>
        </w:tc>
        <w:tc>
          <w:tcPr>
            <w:tcW w:w="903" w:type="pct"/>
            <w:noWrap w:val="0"/>
            <w:vAlign w:val="center"/>
          </w:tcPr>
          <w:p w14:paraId="220519B9">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023D7C39">
            <w:pPr>
              <w:adjustRightInd w:val="0"/>
              <w:snapToGrid w:val="0"/>
              <w:spacing w:line="560" w:lineRule="exact"/>
              <w:jc w:val="center"/>
              <w:rPr>
                <w:rFonts w:ascii="仿宋_GB2312" w:eastAsia="仿宋_GB2312"/>
                <w:color w:val="auto"/>
                <w:sz w:val="24"/>
                <w:highlight w:val="none"/>
              </w:rPr>
            </w:pPr>
          </w:p>
        </w:tc>
      </w:tr>
      <w:tr w14:paraId="1F530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A935BB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9</w:t>
            </w:r>
          </w:p>
        </w:tc>
        <w:tc>
          <w:tcPr>
            <w:tcW w:w="2524" w:type="pct"/>
            <w:gridSpan w:val="6"/>
            <w:noWrap w:val="0"/>
            <w:vAlign w:val="center"/>
          </w:tcPr>
          <w:p w14:paraId="28FFFBA5">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混凝土预制构件力学性能检测</w:t>
            </w:r>
          </w:p>
        </w:tc>
        <w:tc>
          <w:tcPr>
            <w:tcW w:w="903" w:type="pct"/>
            <w:noWrap w:val="0"/>
            <w:vAlign w:val="center"/>
          </w:tcPr>
          <w:p w14:paraId="33CFAC19">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27D60482">
            <w:pPr>
              <w:adjustRightInd w:val="0"/>
              <w:snapToGrid w:val="0"/>
              <w:spacing w:line="560" w:lineRule="exact"/>
              <w:jc w:val="center"/>
              <w:rPr>
                <w:rFonts w:ascii="仿宋_GB2312" w:eastAsia="仿宋_GB2312"/>
                <w:color w:val="auto"/>
                <w:sz w:val="24"/>
                <w:highlight w:val="none"/>
              </w:rPr>
            </w:pPr>
          </w:p>
        </w:tc>
      </w:tr>
      <w:tr w14:paraId="39DD8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19FA4FB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10</w:t>
            </w:r>
          </w:p>
        </w:tc>
        <w:tc>
          <w:tcPr>
            <w:tcW w:w="1040" w:type="pct"/>
            <w:gridSpan w:val="3"/>
            <w:vMerge w:val="restart"/>
            <w:noWrap w:val="0"/>
            <w:vAlign w:val="center"/>
          </w:tcPr>
          <w:p w14:paraId="21C19562">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后置埋件</w:t>
            </w:r>
          </w:p>
          <w:p w14:paraId="674B3CCB">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钢筋、螺栓</w:t>
            </w:r>
          </w:p>
        </w:tc>
        <w:tc>
          <w:tcPr>
            <w:tcW w:w="1483" w:type="pct"/>
            <w:gridSpan w:val="3"/>
            <w:noWrap w:val="0"/>
            <w:vAlign w:val="center"/>
          </w:tcPr>
          <w:p w14:paraId="07D9438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Φ6-Φ10</w:t>
            </w:r>
          </w:p>
        </w:tc>
        <w:tc>
          <w:tcPr>
            <w:tcW w:w="903" w:type="pct"/>
            <w:noWrap w:val="0"/>
            <w:vAlign w:val="center"/>
          </w:tcPr>
          <w:p w14:paraId="2A43645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3146B756">
            <w:pPr>
              <w:adjustRightInd w:val="0"/>
              <w:snapToGrid w:val="0"/>
              <w:spacing w:line="560" w:lineRule="exact"/>
              <w:jc w:val="center"/>
              <w:rPr>
                <w:rFonts w:ascii="仿宋_GB2312" w:eastAsia="仿宋_GB2312"/>
                <w:color w:val="auto"/>
                <w:sz w:val="24"/>
                <w:highlight w:val="none"/>
              </w:rPr>
            </w:pPr>
          </w:p>
        </w:tc>
      </w:tr>
      <w:tr w14:paraId="41076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7433EF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11</w:t>
            </w:r>
          </w:p>
        </w:tc>
        <w:tc>
          <w:tcPr>
            <w:tcW w:w="1040" w:type="pct"/>
            <w:gridSpan w:val="3"/>
            <w:vMerge w:val="continue"/>
            <w:noWrap w:val="0"/>
            <w:vAlign w:val="center"/>
          </w:tcPr>
          <w:p w14:paraId="4EC556FC">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4E40288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Φ12-Φ18</w:t>
            </w:r>
          </w:p>
        </w:tc>
        <w:tc>
          <w:tcPr>
            <w:tcW w:w="903" w:type="pct"/>
            <w:noWrap w:val="0"/>
            <w:vAlign w:val="center"/>
          </w:tcPr>
          <w:p w14:paraId="1833CA7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6E50AC7B">
            <w:pPr>
              <w:adjustRightInd w:val="0"/>
              <w:snapToGrid w:val="0"/>
              <w:spacing w:line="560" w:lineRule="exact"/>
              <w:jc w:val="center"/>
              <w:rPr>
                <w:rFonts w:ascii="仿宋_GB2312" w:eastAsia="仿宋_GB2312"/>
                <w:color w:val="auto"/>
                <w:sz w:val="24"/>
                <w:highlight w:val="none"/>
              </w:rPr>
            </w:pPr>
          </w:p>
        </w:tc>
      </w:tr>
      <w:tr w14:paraId="68581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54FD806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12</w:t>
            </w:r>
          </w:p>
        </w:tc>
        <w:tc>
          <w:tcPr>
            <w:tcW w:w="1040" w:type="pct"/>
            <w:gridSpan w:val="3"/>
            <w:vMerge w:val="continue"/>
            <w:noWrap w:val="0"/>
            <w:vAlign w:val="center"/>
          </w:tcPr>
          <w:p w14:paraId="1D535D87">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4555A73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Φ20</w:t>
            </w:r>
            <w:r>
              <w:rPr>
                <w:rFonts w:hint="eastAsia" w:ascii="仿宋_GB2312" w:hAnsi="宋体" w:eastAsia="仿宋_GB2312"/>
                <w:color w:val="auto"/>
                <w:sz w:val="24"/>
                <w:highlight w:val="none"/>
              </w:rPr>
              <w:t>以上</w:t>
            </w:r>
          </w:p>
        </w:tc>
        <w:tc>
          <w:tcPr>
            <w:tcW w:w="903" w:type="pct"/>
            <w:noWrap w:val="0"/>
            <w:vAlign w:val="center"/>
          </w:tcPr>
          <w:p w14:paraId="46A97B55">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299D4EC3">
            <w:pPr>
              <w:adjustRightInd w:val="0"/>
              <w:snapToGrid w:val="0"/>
              <w:spacing w:line="560" w:lineRule="exact"/>
              <w:jc w:val="center"/>
              <w:rPr>
                <w:rFonts w:ascii="仿宋_GB2312" w:eastAsia="仿宋_GB2312"/>
                <w:color w:val="auto"/>
                <w:sz w:val="24"/>
                <w:highlight w:val="none"/>
              </w:rPr>
            </w:pPr>
          </w:p>
        </w:tc>
      </w:tr>
      <w:tr w14:paraId="422FB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2859" w:type="pct"/>
            <w:gridSpan w:val="7"/>
            <w:noWrap w:val="0"/>
            <w:vAlign w:val="center"/>
          </w:tcPr>
          <w:p w14:paraId="68A86518">
            <w:pPr>
              <w:adjustRightInd w:val="0"/>
              <w:snapToGrid w:val="0"/>
              <w:spacing w:line="560" w:lineRule="exact"/>
              <w:jc w:val="center"/>
              <w:rPr>
                <w:rFonts w:ascii="仿宋_GB2312" w:eastAsia="仿宋_GB2312"/>
                <w:b/>
                <w:color w:val="auto"/>
                <w:sz w:val="24"/>
                <w:highlight w:val="none"/>
              </w:rPr>
            </w:pPr>
            <w:r>
              <w:rPr>
                <w:rFonts w:hint="eastAsia" w:ascii="仿宋_GB2312" w:hAnsi="宋体" w:eastAsia="仿宋_GB2312"/>
                <w:b/>
                <w:color w:val="auto"/>
                <w:sz w:val="24"/>
                <w:highlight w:val="none"/>
              </w:rPr>
              <w:t>钢结构实体检测</w:t>
            </w:r>
          </w:p>
        </w:tc>
        <w:tc>
          <w:tcPr>
            <w:tcW w:w="903" w:type="pct"/>
            <w:noWrap w:val="0"/>
            <w:vAlign w:val="center"/>
          </w:tcPr>
          <w:p w14:paraId="0CD17982">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单位</w:t>
            </w:r>
          </w:p>
        </w:tc>
        <w:tc>
          <w:tcPr>
            <w:tcW w:w="1237" w:type="pct"/>
            <w:noWrap w:val="0"/>
            <w:vAlign w:val="center"/>
          </w:tcPr>
          <w:p w14:paraId="52BB1517">
            <w:pPr>
              <w:spacing w:line="560" w:lineRule="exact"/>
              <w:jc w:val="center"/>
              <w:rPr>
                <w:rFonts w:ascii="仿宋_GB2312" w:eastAsia="仿宋_GB2312"/>
                <w:color w:val="auto"/>
                <w:sz w:val="24"/>
                <w:highlight w:val="none"/>
              </w:rPr>
            </w:pPr>
          </w:p>
        </w:tc>
      </w:tr>
      <w:tr w14:paraId="46F0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3E5C25C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13</w:t>
            </w:r>
          </w:p>
        </w:tc>
        <w:tc>
          <w:tcPr>
            <w:tcW w:w="2524" w:type="pct"/>
            <w:gridSpan w:val="6"/>
            <w:noWrap w:val="0"/>
            <w:vAlign w:val="center"/>
          </w:tcPr>
          <w:p w14:paraId="4C6C5E70">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高强螺栓扭矩系数检验</w:t>
            </w:r>
          </w:p>
        </w:tc>
        <w:tc>
          <w:tcPr>
            <w:tcW w:w="903" w:type="pct"/>
            <w:noWrap w:val="0"/>
            <w:vAlign w:val="center"/>
          </w:tcPr>
          <w:p w14:paraId="47D1E348">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7A5EAA08">
            <w:pPr>
              <w:adjustRightInd w:val="0"/>
              <w:snapToGrid w:val="0"/>
              <w:spacing w:line="560" w:lineRule="exact"/>
              <w:jc w:val="center"/>
              <w:rPr>
                <w:rFonts w:ascii="仿宋_GB2312" w:eastAsia="仿宋_GB2312"/>
                <w:color w:val="auto"/>
                <w:sz w:val="24"/>
                <w:highlight w:val="none"/>
              </w:rPr>
            </w:pPr>
          </w:p>
        </w:tc>
      </w:tr>
      <w:tr w14:paraId="18ABD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65896F0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14</w:t>
            </w:r>
          </w:p>
        </w:tc>
        <w:tc>
          <w:tcPr>
            <w:tcW w:w="2524" w:type="pct"/>
            <w:gridSpan w:val="6"/>
            <w:noWrap w:val="0"/>
            <w:vAlign w:val="center"/>
          </w:tcPr>
          <w:p w14:paraId="0D1AA86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高强螺栓抗滑移系数检验</w:t>
            </w:r>
          </w:p>
        </w:tc>
        <w:tc>
          <w:tcPr>
            <w:tcW w:w="903" w:type="pct"/>
            <w:noWrap w:val="0"/>
            <w:vAlign w:val="center"/>
          </w:tcPr>
          <w:p w14:paraId="281230D6">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64FBEDDC">
            <w:pPr>
              <w:adjustRightInd w:val="0"/>
              <w:snapToGrid w:val="0"/>
              <w:spacing w:line="560" w:lineRule="exact"/>
              <w:jc w:val="center"/>
              <w:rPr>
                <w:rFonts w:ascii="仿宋_GB2312" w:eastAsia="仿宋_GB2312"/>
                <w:color w:val="auto"/>
                <w:sz w:val="24"/>
                <w:highlight w:val="none"/>
              </w:rPr>
            </w:pPr>
          </w:p>
        </w:tc>
      </w:tr>
      <w:tr w14:paraId="3D527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4FEC60C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15</w:t>
            </w:r>
          </w:p>
        </w:tc>
        <w:tc>
          <w:tcPr>
            <w:tcW w:w="992" w:type="pct"/>
            <w:gridSpan w:val="2"/>
            <w:vMerge w:val="restart"/>
            <w:noWrap w:val="0"/>
            <w:vAlign w:val="center"/>
          </w:tcPr>
          <w:p w14:paraId="08333663">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钢构件</w:t>
            </w:r>
          </w:p>
          <w:p w14:paraId="14650D08">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焊缝探伤</w:t>
            </w:r>
          </w:p>
        </w:tc>
        <w:tc>
          <w:tcPr>
            <w:tcW w:w="1531" w:type="pct"/>
            <w:gridSpan w:val="4"/>
            <w:noWrap w:val="0"/>
            <w:vAlign w:val="center"/>
          </w:tcPr>
          <w:p w14:paraId="6BA6C381">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一级焊缝</w:t>
            </w:r>
          </w:p>
        </w:tc>
        <w:tc>
          <w:tcPr>
            <w:tcW w:w="903" w:type="pct"/>
            <w:noWrap w:val="0"/>
            <w:vAlign w:val="center"/>
          </w:tcPr>
          <w:p w14:paraId="4A3FB8A9">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6A72E61B">
            <w:pPr>
              <w:adjustRightInd w:val="0"/>
              <w:snapToGrid w:val="0"/>
              <w:spacing w:line="560" w:lineRule="exact"/>
              <w:jc w:val="center"/>
              <w:rPr>
                <w:rFonts w:ascii="仿宋_GB2312" w:eastAsia="仿宋_GB2312"/>
                <w:color w:val="auto"/>
                <w:sz w:val="24"/>
                <w:highlight w:val="none"/>
              </w:rPr>
            </w:pPr>
          </w:p>
        </w:tc>
      </w:tr>
      <w:tr w14:paraId="2D34C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66A63C0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16</w:t>
            </w:r>
          </w:p>
        </w:tc>
        <w:tc>
          <w:tcPr>
            <w:tcW w:w="992" w:type="pct"/>
            <w:gridSpan w:val="2"/>
            <w:vMerge w:val="continue"/>
            <w:noWrap w:val="0"/>
            <w:vAlign w:val="center"/>
          </w:tcPr>
          <w:p w14:paraId="77ADEA38">
            <w:pPr>
              <w:adjustRightInd w:val="0"/>
              <w:snapToGrid w:val="0"/>
              <w:spacing w:line="560" w:lineRule="exact"/>
              <w:jc w:val="center"/>
              <w:rPr>
                <w:rFonts w:ascii="仿宋_GB2312" w:eastAsia="仿宋_GB2312"/>
                <w:color w:val="auto"/>
                <w:sz w:val="24"/>
                <w:highlight w:val="none"/>
              </w:rPr>
            </w:pPr>
          </w:p>
        </w:tc>
        <w:tc>
          <w:tcPr>
            <w:tcW w:w="1531" w:type="pct"/>
            <w:gridSpan w:val="4"/>
            <w:noWrap w:val="0"/>
            <w:vAlign w:val="center"/>
          </w:tcPr>
          <w:p w14:paraId="0BB6EE4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二级焊缝</w:t>
            </w:r>
          </w:p>
        </w:tc>
        <w:tc>
          <w:tcPr>
            <w:tcW w:w="903" w:type="pct"/>
            <w:noWrap w:val="0"/>
            <w:vAlign w:val="center"/>
          </w:tcPr>
          <w:p w14:paraId="0BE4EDDF">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6B3CF601">
            <w:pPr>
              <w:adjustRightInd w:val="0"/>
              <w:snapToGrid w:val="0"/>
              <w:spacing w:line="560" w:lineRule="exact"/>
              <w:jc w:val="center"/>
              <w:rPr>
                <w:rFonts w:ascii="仿宋_GB2312" w:eastAsia="仿宋_GB2312"/>
                <w:color w:val="auto"/>
                <w:sz w:val="24"/>
                <w:highlight w:val="none"/>
              </w:rPr>
            </w:pPr>
          </w:p>
        </w:tc>
      </w:tr>
      <w:tr w14:paraId="2795D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41D6749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17</w:t>
            </w:r>
          </w:p>
        </w:tc>
        <w:tc>
          <w:tcPr>
            <w:tcW w:w="2524" w:type="pct"/>
            <w:gridSpan w:val="6"/>
            <w:noWrap w:val="0"/>
            <w:vAlign w:val="center"/>
          </w:tcPr>
          <w:p w14:paraId="13BBFC03">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钢柱垂直度、钢梁挠度检测</w:t>
            </w:r>
          </w:p>
        </w:tc>
        <w:tc>
          <w:tcPr>
            <w:tcW w:w="903" w:type="pct"/>
            <w:noWrap w:val="0"/>
            <w:vAlign w:val="center"/>
          </w:tcPr>
          <w:p w14:paraId="22E43FB0">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09A6C042">
            <w:pPr>
              <w:adjustRightInd w:val="0"/>
              <w:snapToGrid w:val="0"/>
              <w:spacing w:line="560" w:lineRule="exact"/>
              <w:jc w:val="center"/>
              <w:rPr>
                <w:rFonts w:ascii="仿宋_GB2312" w:eastAsia="仿宋_GB2312"/>
                <w:color w:val="auto"/>
                <w:sz w:val="24"/>
                <w:highlight w:val="none"/>
              </w:rPr>
            </w:pPr>
          </w:p>
        </w:tc>
      </w:tr>
      <w:tr w14:paraId="55A5B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5D7293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18</w:t>
            </w:r>
          </w:p>
        </w:tc>
        <w:tc>
          <w:tcPr>
            <w:tcW w:w="2524" w:type="pct"/>
            <w:gridSpan w:val="6"/>
            <w:noWrap w:val="0"/>
            <w:vAlign w:val="center"/>
          </w:tcPr>
          <w:p w14:paraId="675DCB6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防火涂料涂层厚度</w:t>
            </w:r>
          </w:p>
        </w:tc>
        <w:tc>
          <w:tcPr>
            <w:tcW w:w="903" w:type="pct"/>
            <w:noWrap w:val="0"/>
            <w:vAlign w:val="center"/>
          </w:tcPr>
          <w:p w14:paraId="17DF856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42391845">
            <w:pPr>
              <w:adjustRightInd w:val="0"/>
              <w:snapToGrid w:val="0"/>
              <w:spacing w:line="560" w:lineRule="exact"/>
              <w:jc w:val="center"/>
              <w:rPr>
                <w:rFonts w:ascii="仿宋_GB2312" w:eastAsia="仿宋_GB2312"/>
                <w:color w:val="auto"/>
                <w:sz w:val="24"/>
                <w:highlight w:val="none"/>
              </w:rPr>
            </w:pPr>
          </w:p>
        </w:tc>
      </w:tr>
      <w:tr w14:paraId="0A65C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A2CF8E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19</w:t>
            </w:r>
          </w:p>
        </w:tc>
        <w:tc>
          <w:tcPr>
            <w:tcW w:w="2524" w:type="pct"/>
            <w:gridSpan w:val="6"/>
            <w:noWrap w:val="0"/>
            <w:vAlign w:val="center"/>
          </w:tcPr>
          <w:p w14:paraId="788FBC1C">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防腐涂层厚度</w:t>
            </w:r>
          </w:p>
        </w:tc>
        <w:tc>
          <w:tcPr>
            <w:tcW w:w="903" w:type="pct"/>
            <w:noWrap w:val="0"/>
            <w:vAlign w:val="center"/>
          </w:tcPr>
          <w:p w14:paraId="371E9E97">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577369DA">
            <w:pPr>
              <w:adjustRightInd w:val="0"/>
              <w:snapToGrid w:val="0"/>
              <w:spacing w:line="560" w:lineRule="exact"/>
              <w:jc w:val="center"/>
              <w:rPr>
                <w:rFonts w:ascii="仿宋_GB2312" w:eastAsia="仿宋_GB2312"/>
                <w:color w:val="auto"/>
                <w:sz w:val="24"/>
                <w:highlight w:val="none"/>
              </w:rPr>
            </w:pPr>
          </w:p>
        </w:tc>
      </w:tr>
      <w:tr w14:paraId="08C1D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31AA390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20</w:t>
            </w:r>
          </w:p>
        </w:tc>
        <w:tc>
          <w:tcPr>
            <w:tcW w:w="2524" w:type="pct"/>
            <w:gridSpan w:val="6"/>
            <w:noWrap w:val="0"/>
            <w:vAlign w:val="center"/>
          </w:tcPr>
          <w:p w14:paraId="2F0608FC">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高强螺栓连接副施工扭矩力</w:t>
            </w:r>
          </w:p>
        </w:tc>
        <w:tc>
          <w:tcPr>
            <w:tcW w:w="903" w:type="pct"/>
            <w:noWrap w:val="0"/>
            <w:vAlign w:val="center"/>
          </w:tcPr>
          <w:p w14:paraId="2582179C">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构件</w:t>
            </w:r>
          </w:p>
        </w:tc>
        <w:tc>
          <w:tcPr>
            <w:tcW w:w="1237" w:type="pct"/>
            <w:noWrap w:val="0"/>
            <w:vAlign w:val="center"/>
          </w:tcPr>
          <w:p w14:paraId="514BC74C">
            <w:pPr>
              <w:adjustRightInd w:val="0"/>
              <w:snapToGrid w:val="0"/>
              <w:spacing w:line="560" w:lineRule="exact"/>
              <w:jc w:val="center"/>
              <w:rPr>
                <w:rFonts w:ascii="仿宋_GB2312" w:eastAsia="仿宋_GB2312"/>
                <w:color w:val="auto"/>
                <w:sz w:val="24"/>
                <w:highlight w:val="none"/>
              </w:rPr>
            </w:pPr>
          </w:p>
        </w:tc>
      </w:tr>
      <w:tr w14:paraId="4DD33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3224437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21</w:t>
            </w:r>
          </w:p>
        </w:tc>
        <w:tc>
          <w:tcPr>
            <w:tcW w:w="2524" w:type="pct"/>
            <w:gridSpan w:val="6"/>
            <w:noWrap w:val="0"/>
            <w:vAlign w:val="center"/>
          </w:tcPr>
          <w:p w14:paraId="2774879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钢网架挠度检测</w:t>
            </w:r>
          </w:p>
        </w:tc>
        <w:tc>
          <w:tcPr>
            <w:tcW w:w="903" w:type="pct"/>
            <w:noWrap w:val="0"/>
            <w:vAlign w:val="center"/>
          </w:tcPr>
          <w:p w14:paraId="058F98BC">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04831428">
            <w:pPr>
              <w:adjustRightInd w:val="0"/>
              <w:snapToGrid w:val="0"/>
              <w:spacing w:line="560" w:lineRule="exact"/>
              <w:jc w:val="center"/>
              <w:rPr>
                <w:rFonts w:ascii="仿宋_GB2312" w:eastAsia="仿宋_GB2312"/>
                <w:color w:val="auto"/>
                <w:sz w:val="24"/>
                <w:highlight w:val="none"/>
              </w:rPr>
            </w:pPr>
          </w:p>
        </w:tc>
      </w:tr>
      <w:tr w14:paraId="77C87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2859" w:type="pct"/>
            <w:gridSpan w:val="7"/>
            <w:noWrap w:val="0"/>
            <w:vAlign w:val="center"/>
          </w:tcPr>
          <w:p w14:paraId="6BC02DF3">
            <w:pPr>
              <w:adjustRightInd w:val="0"/>
              <w:snapToGrid w:val="0"/>
              <w:spacing w:line="560" w:lineRule="exact"/>
              <w:jc w:val="center"/>
              <w:rPr>
                <w:rFonts w:ascii="仿宋_GB2312" w:eastAsia="仿宋_GB2312"/>
                <w:b/>
                <w:color w:val="auto"/>
                <w:sz w:val="24"/>
                <w:highlight w:val="none"/>
              </w:rPr>
            </w:pPr>
            <w:r>
              <w:rPr>
                <w:rFonts w:hint="eastAsia" w:ascii="仿宋_GB2312" w:hAnsi="宋体" w:eastAsia="仿宋_GB2312"/>
                <w:b/>
                <w:color w:val="auto"/>
                <w:sz w:val="24"/>
                <w:highlight w:val="none"/>
              </w:rPr>
              <w:t>原材料</w:t>
            </w:r>
          </w:p>
        </w:tc>
        <w:tc>
          <w:tcPr>
            <w:tcW w:w="903" w:type="pct"/>
            <w:noWrap w:val="0"/>
            <w:vAlign w:val="center"/>
          </w:tcPr>
          <w:p w14:paraId="6A108D6C">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单位</w:t>
            </w:r>
          </w:p>
        </w:tc>
        <w:tc>
          <w:tcPr>
            <w:tcW w:w="1237" w:type="pct"/>
            <w:noWrap w:val="0"/>
            <w:vAlign w:val="center"/>
          </w:tcPr>
          <w:p w14:paraId="4388AFCD">
            <w:pPr>
              <w:spacing w:line="560" w:lineRule="exact"/>
              <w:jc w:val="center"/>
              <w:rPr>
                <w:rFonts w:ascii="仿宋_GB2312" w:eastAsia="仿宋_GB2312"/>
                <w:color w:val="auto"/>
                <w:sz w:val="24"/>
                <w:highlight w:val="none"/>
              </w:rPr>
            </w:pPr>
          </w:p>
        </w:tc>
      </w:tr>
      <w:tr w14:paraId="5F162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088E3B3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w:t>
            </w:r>
          </w:p>
        </w:tc>
        <w:tc>
          <w:tcPr>
            <w:tcW w:w="2524" w:type="pct"/>
            <w:gridSpan w:val="6"/>
            <w:noWrap w:val="0"/>
            <w:vAlign w:val="center"/>
          </w:tcPr>
          <w:p w14:paraId="2C8688B4">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水泥安定性、强度</w:t>
            </w:r>
          </w:p>
        </w:tc>
        <w:tc>
          <w:tcPr>
            <w:tcW w:w="903" w:type="pct"/>
            <w:noWrap w:val="0"/>
            <w:vAlign w:val="center"/>
          </w:tcPr>
          <w:p w14:paraId="334C5F29">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4C25D9CF">
            <w:pPr>
              <w:spacing w:line="560" w:lineRule="exact"/>
              <w:jc w:val="center"/>
              <w:rPr>
                <w:rFonts w:ascii="仿宋_GB2312" w:eastAsia="仿宋_GB2312"/>
                <w:color w:val="auto"/>
                <w:sz w:val="24"/>
                <w:highlight w:val="none"/>
              </w:rPr>
            </w:pPr>
          </w:p>
        </w:tc>
      </w:tr>
      <w:tr w14:paraId="0C2BC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050FE11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w:t>
            </w:r>
          </w:p>
        </w:tc>
        <w:tc>
          <w:tcPr>
            <w:tcW w:w="2524" w:type="pct"/>
            <w:gridSpan w:val="6"/>
            <w:noWrap w:val="0"/>
            <w:vAlign w:val="center"/>
          </w:tcPr>
          <w:p w14:paraId="6E8666F9">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普砖、多孔砖</w:t>
            </w:r>
          </w:p>
        </w:tc>
        <w:tc>
          <w:tcPr>
            <w:tcW w:w="903" w:type="pct"/>
            <w:noWrap w:val="0"/>
            <w:vAlign w:val="center"/>
          </w:tcPr>
          <w:p w14:paraId="0DFC5630">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409F344D">
            <w:pPr>
              <w:spacing w:line="560" w:lineRule="exact"/>
              <w:jc w:val="center"/>
              <w:rPr>
                <w:rFonts w:ascii="仿宋_GB2312" w:eastAsia="仿宋_GB2312"/>
                <w:color w:val="auto"/>
                <w:sz w:val="24"/>
                <w:highlight w:val="none"/>
              </w:rPr>
            </w:pPr>
          </w:p>
        </w:tc>
      </w:tr>
      <w:tr w14:paraId="03D91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5D8FA46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w:t>
            </w:r>
          </w:p>
        </w:tc>
        <w:tc>
          <w:tcPr>
            <w:tcW w:w="2524" w:type="pct"/>
            <w:gridSpan w:val="6"/>
            <w:noWrap w:val="0"/>
            <w:vAlign w:val="center"/>
          </w:tcPr>
          <w:p w14:paraId="4379E10D">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空心砖</w:t>
            </w:r>
          </w:p>
        </w:tc>
        <w:tc>
          <w:tcPr>
            <w:tcW w:w="903" w:type="pct"/>
            <w:noWrap w:val="0"/>
            <w:vAlign w:val="center"/>
          </w:tcPr>
          <w:p w14:paraId="7622294F">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56438BCF">
            <w:pPr>
              <w:spacing w:line="560" w:lineRule="exact"/>
              <w:jc w:val="center"/>
              <w:rPr>
                <w:rFonts w:ascii="仿宋_GB2312" w:eastAsia="仿宋_GB2312"/>
                <w:color w:val="auto"/>
                <w:sz w:val="24"/>
                <w:highlight w:val="none"/>
              </w:rPr>
            </w:pPr>
          </w:p>
        </w:tc>
      </w:tr>
      <w:tr w14:paraId="74157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3208D03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w:t>
            </w:r>
          </w:p>
        </w:tc>
        <w:tc>
          <w:tcPr>
            <w:tcW w:w="2524" w:type="pct"/>
            <w:gridSpan w:val="6"/>
            <w:noWrap w:val="0"/>
            <w:vAlign w:val="center"/>
          </w:tcPr>
          <w:p w14:paraId="486DE6BB">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混凝土砌块</w:t>
            </w:r>
          </w:p>
        </w:tc>
        <w:tc>
          <w:tcPr>
            <w:tcW w:w="903" w:type="pct"/>
            <w:noWrap w:val="0"/>
            <w:vAlign w:val="center"/>
          </w:tcPr>
          <w:p w14:paraId="496FDB82">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71A04837">
            <w:pPr>
              <w:spacing w:line="560" w:lineRule="exact"/>
              <w:jc w:val="center"/>
              <w:rPr>
                <w:rFonts w:ascii="仿宋_GB2312" w:eastAsia="仿宋_GB2312"/>
                <w:color w:val="auto"/>
                <w:sz w:val="24"/>
                <w:highlight w:val="none"/>
              </w:rPr>
            </w:pPr>
          </w:p>
        </w:tc>
      </w:tr>
      <w:tr w14:paraId="5FC07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696E0E6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w:t>
            </w:r>
          </w:p>
        </w:tc>
        <w:tc>
          <w:tcPr>
            <w:tcW w:w="532" w:type="pct"/>
            <w:vMerge w:val="restart"/>
            <w:noWrap w:val="0"/>
            <w:vAlign w:val="center"/>
          </w:tcPr>
          <w:p w14:paraId="087D37EE">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钢筋原材</w:t>
            </w:r>
          </w:p>
        </w:tc>
        <w:tc>
          <w:tcPr>
            <w:tcW w:w="1992" w:type="pct"/>
            <w:gridSpan w:val="5"/>
            <w:noWrap w:val="0"/>
            <w:vAlign w:val="center"/>
          </w:tcPr>
          <w:p w14:paraId="362DCB56">
            <w:pPr>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≤Φ20</w:t>
            </w:r>
          </w:p>
        </w:tc>
        <w:tc>
          <w:tcPr>
            <w:tcW w:w="903" w:type="pct"/>
            <w:noWrap w:val="0"/>
            <w:vAlign w:val="center"/>
          </w:tcPr>
          <w:p w14:paraId="53735FF6">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vMerge w:val="restart"/>
            <w:noWrap w:val="0"/>
            <w:vAlign w:val="center"/>
          </w:tcPr>
          <w:p w14:paraId="1CCA5BD0">
            <w:pPr>
              <w:spacing w:line="560" w:lineRule="exact"/>
              <w:jc w:val="center"/>
              <w:rPr>
                <w:rFonts w:ascii="仿宋_GB2312" w:eastAsia="仿宋_GB2312"/>
                <w:color w:val="auto"/>
                <w:sz w:val="24"/>
                <w:highlight w:val="none"/>
              </w:rPr>
            </w:pPr>
          </w:p>
        </w:tc>
      </w:tr>
      <w:tr w14:paraId="63AA3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0652B28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6</w:t>
            </w:r>
          </w:p>
        </w:tc>
        <w:tc>
          <w:tcPr>
            <w:tcW w:w="532" w:type="pct"/>
            <w:vMerge w:val="continue"/>
            <w:noWrap w:val="0"/>
            <w:vAlign w:val="center"/>
          </w:tcPr>
          <w:p w14:paraId="5C279204">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4876C33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Φ22</w:t>
            </w:r>
            <w:r>
              <w:rPr>
                <w:rFonts w:hint="eastAsia" w:ascii="仿宋_GB2312" w:hAnsi="宋体" w:eastAsia="仿宋_GB2312"/>
                <w:color w:val="auto"/>
                <w:sz w:val="24"/>
                <w:highlight w:val="none"/>
              </w:rPr>
              <w:t>～</w:t>
            </w:r>
            <w:r>
              <w:rPr>
                <w:rFonts w:hint="eastAsia" w:ascii="仿宋_GB2312" w:eastAsia="仿宋_GB2312"/>
                <w:color w:val="auto"/>
                <w:sz w:val="24"/>
                <w:highlight w:val="none"/>
              </w:rPr>
              <w:t>Φ32</w:t>
            </w:r>
          </w:p>
        </w:tc>
        <w:tc>
          <w:tcPr>
            <w:tcW w:w="903" w:type="pct"/>
            <w:noWrap w:val="0"/>
            <w:vAlign w:val="center"/>
          </w:tcPr>
          <w:p w14:paraId="2323A89B">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vMerge w:val="continue"/>
            <w:noWrap w:val="0"/>
            <w:vAlign w:val="center"/>
          </w:tcPr>
          <w:p w14:paraId="4D924813">
            <w:pPr>
              <w:adjustRightInd w:val="0"/>
              <w:snapToGrid w:val="0"/>
              <w:spacing w:line="560" w:lineRule="exact"/>
              <w:jc w:val="center"/>
              <w:rPr>
                <w:rFonts w:ascii="仿宋_GB2312" w:eastAsia="仿宋_GB2312"/>
                <w:color w:val="auto"/>
                <w:sz w:val="24"/>
                <w:highlight w:val="none"/>
              </w:rPr>
            </w:pPr>
          </w:p>
        </w:tc>
      </w:tr>
      <w:tr w14:paraId="65D514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1895ECA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7</w:t>
            </w:r>
          </w:p>
        </w:tc>
        <w:tc>
          <w:tcPr>
            <w:tcW w:w="532" w:type="pct"/>
            <w:vMerge w:val="continue"/>
            <w:noWrap w:val="0"/>
            <w:vAlign w:val="center"/>
          </w:tcPr>
          <w:p w14:paraId="6C4556A8">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1558260C">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w:t>
            </w:r>
            <w:r>
              <w:rPr>
                <w:rFonts w:hint="eastAsia" w:ascii="仿宋_GB2312" w:eastAsia="仿宋_GB2312"/>
                <w:color w:val="auto"/>
                <w:sz w:val="24"/>
                <w:highlight w:val="none"/>
              </w:rPr>
              <w:t>Φ32</w:t>
            </w:r>
          </w:p>
        </w:tc>
        <w:tc>
          <w:tcPr>
            <w:tcW w:w="903" w:type="pct"/>
            <w:noWrap w:val="0"/>
            <w:vAlign w:val="center"/>
          </w:tcPr>
          <w:p w14:paraId="1F331711">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60DCF259">
            <w:pPr>
              <w:adjustRightInd w:val="0"/>
              <w:snapToGrid w:val="0"/>
              <w:spacing w:line="560" w:lineRule="exact"/>
              <w:jc w:val="center"/>
              <w:rPr>
                <w:rFonts w:ascii="仿宋_GB2312" w:eastAsia="仿宋_GB2312"/>
                <w:color w:val="auto"/>
                <w:sz w:val="24"/>
                <w:highlight w:val="none"/>
              </w:rPr>
            </w:pPr>
          </w:p>
        </w:tc>
      </w:tr>
      <w:tr w14:paraId="3CB15194">
        <w:tblPrEx>
          <w:tblCellMar>
            <w:top w:w="0" w:type="dxa"/>
            <w:left w:w="108" w:type="dxa"/>
            <w:bottom w:w="0" w:type="dxa"/>
            <w:right w:w="108" w:type="dxa"/>
          </w:tblCellMar>
        </w:tblPrEx>
        <w:trPr>
          <w:trHeight w:val="437" w:hRule="atLeast"/>
          <w:jc w:val="center"/>
        </w:trPr>
        <w:tc>
          <w:tcPr>
            <w:tcW w:w="334" w:type="pct"/>
            <w:noWrap w:val="0"/>
            <w:vAlign w:val="center"/>
          </w:tcPr>
          <w:p w14:paraId="5933BF6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8</w:t>
            </w:r>
          </w:p>
        </w:tc>
        <w:tc>
          <w:tcPr>
            <w:tcW w:w="532" w:type="pct"/>
            <w:vMerge w:val="restart"/>
            <w:noWrap w:val="0"/>
            <w:vAlign w:val="center"/>
          </w:tcPr>
          <w:p w14:paraId="5742DD45">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焊接连接件</w:t>
            </w:r>
          </w:p>
        </w:tc>
        <w:tc>
          <w:tcPr>
            <w:tcW w:w="1992" w:type="pct"/>
            <w:gridSpan w:val="5"/>
            <w:noWrap w:val="0"/>
            <w:vAlign w:val="center"/>
          </w:tcPr>
          <w:p w14:paraId="14A9BCDB">
            <w:pPr>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≤Φ20</w:t>
            </w:r>
          </w:p>
        </w:tc>
        <w:tc>
          <w:tcPr>
            <w:tcW w:w="903" w:type="pct"/>
            <w:noWrap w:val="0"/>
            <w:vAlign w:val="center"/>
          </w:tcPr>
          <w:p w14:paraId="373E55AE">
            <w:pPr>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vMerge w:val="restart"/>
            <w:noWrap w:val="0"/>
            <w:vAlign w:val="center"/>
          </w:tcPr>
          <w:p w14:paraId="1D7B0EED">
            <w:pPr>
              <w:spacing w:line="560" w:lineRule="exact"/>
              <w:jc w:val="center"/>
              <w:rPr>
                <w:rFonts w:ascii="仿宋_GB2312" w:eastAsia="仿宋_GB2312"/>
                <w:color w:val="auto"/>
                <w:sz w:val="24"/>
                <w:highlight w:val="none"/>
              </w:rPr>
            </w:pPr>
          </w:p>
        </w:tc>
      </w:tr>
      <w:tr w14:paraId="7FCC2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5BE1976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9</w:t>
            </w:r>
          </w:p>
        </w:tc>
        <w:tc>
          <w:tcPr>
            <w:tcW w:w="532" w:type="pct"/>
            <w:vMerge w:val="continue"/>
            <w:noWrap w:val="0"/>
            <w:vAlign w:val="center"/>
          </w:tcPr>
          <w:p w14:paraId="6D7C14B3">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4157063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Φ22</w:t>
            </w:r>
            <w:r>
              <w:rPr>
                <w:rFonts w:hint="eastAsia" w:ascii="仿宋_GB2312" w:hAnsi="宋体" w:eastAsia="仿宋_GB2312"/>
                <w:color w:val="auto"/>
                <w:sz w:val="24"/>
                <w:highlight w:val="none"/>
              </w:rPr>
              <w:t>～</w:t>
            </w:r>
            <w:r>
              <w:rPr>
                <w:rFonts w:hint="eastAsia" w:ascii="仿宋_GB2312" w:eastAsia="仿宋_GB2312"/>
                <w:color w:val="auto"/>
                <w:sz w:val="24"/>
                <w:highlight w:val="none"/>
              </w:rPr>
              <w:t>Φ28</w:t>
            </w:r>
          </w:p>
        </w:tc>
        <w:tc>
          <w:tcPr>
            <w:tcW w:w="903" w:type="pct"/>
            <w:noWrap w:val="0"/>
            <w:vAlign w:val="center"/>
          </w:tcPr>
          <w:p w14:paraId="5A68DB28">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vMerge w:val="continue"/>
            <w:noWrap w:val="0"/>
            <w:vAlign w:val="center"/>
          </w:tcPr>
          <w:p w14:paraId="0ABA42E0">
            <w:pPr>
              <w:adjustRightInd w:val="0"/>
              <w:snapToGrid w:val="0"/>
              <w:spacing w:line="560" w:lineRule="exact"/>
              <w:jc w:val="center"/>
              <w:rPr>
                <w:rFonts w:ascii="仿宋_GB2312" w:eastAsia="仿宋_GB2312"/>
                <w:color w:val="auto"/>
                <w:sz w:val="24"/>
                <w:highlight w:val="none"/>
              </w:rPr>
            </w:pPr>
          </w:p>
        </w:tc>
      </w:tr>
      <w:tr w14:paraId="5CB8E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1359A01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10</w:t>
            </w:r>
          </w:p>
        </w:tc>
        <w:tc>
          <w:tcPr>
            <w:tcW w:w="532" w:type="pct"/>
            <w:vMerge w:val="continue"/>
            <w:noWrap w:val="0"/>
            <w:vAlign w:val="center"/>
          </w:tcPr>
          <w:p w14:paraId="5F08991D">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1381483A">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w:t>
            </w:r>
            <w:r>
              <w:rPr>
                <w:rFonts w:hint="eastAsia" w:ascii="仿宋_GB2312" w:eastAsia="仿宋_GB2312"/>
                <w:color w:val="auto"/>
                <w:sz w:val="24"/>
                <w:highlight w:val="none"/>
              </w:rPr>
              <w:t>Φ28</w:t>
            </w:r>
          </w:p>
        </w:tc>
        <w:tc>
          <w:tcPr>
            <w:tcW w:w="903" w:type="pct"/>
            <w:noWrap w:val="0"/>
            <w:vAlign w:val="center"/>
          </w:tcPr>
          <w:p w14:paraId="5DE9C69E">
            <w:pPr>
              <w:adjustRightInd w:val="0"/>
              <w:snapToGrid w:val="0"/>
              <w:spacing w:line="560" w:lineRule="exact"/>
              <w:jc w:val="center"/>
              <w:rPr>
                <w:rFonts w:ascii="仿宋_GB2312" w:eastAsia="仿宋_GB2312"/>
                <w:color w:val="auto"/>
                <w:sz w:val="24"/>
                <w:highlight w:val="none"/>
              </w:rPr>
            </w:pPr>
            <w:r>
              <w:rPr>
                <w:rFonts w:hint="eastAsia" w:ascii="仿宋_GB2312" w:hAnsi="宋体" w:eastAsia="仿宋_GB2312"/>
                <w:color w:val="auto"/>
                <w:sz w:val="24"/>
                <w:highlight w:val="none"/>
              </w:rPr>
              <w:t>组</w:t>
            </w:r>
          </w:p>
        </w:tc>
        <w:tc>
          <w:tcPr>
            <w:tcW w:w="1237" w:type="pct"/>
            <w:noWrap w:val="0"/>
            <w:vAlign w:val="center"/>
          </w:tcPr>
          <w:p w14:paraId="559B3517">
            <w:pPr>
              <w:adjustRightInd w:val="0"/>
              <w:snapToGrid w:val="0"/>
              <w:spacing w:line="560" w:lineRule="exact"/>
              <w:jc w:val="center"/>
              <w:rPr>
                <w:rFonts w:ascii="仿宋_GB2312" w:eastAsia="仿宋_GB2312"/>
                <w:color w:val="auto"/>
                <w:sz w:val="24"/>
                <w:highlight w:val="none"/>
              </w:rPr>
            </w:pPr>
          </w:p>
        </w:tc>
      </w:tr>
      <w:tr w14:paraId="76122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5AB97BD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11</w:t>
            </w:r>
          </w:p>
        </w:tc>
        <w:tc>
          <w:tcPr>
            <w:tcW w:w="2524" w:type="pct"/>
            <w:gridSpan w:val="6"/>
            <w:noWrap w:val="0"/>
            <w:vAlign w:val="center"/>
          </w:tcPr>
          <w:p w14:paraId="279756AA">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各种型钢</w:t>
            </w:r>
          </w:p>
        </w:tc>
        <w:tc>
          <w:tcPr>
            <w:tcW w:w="903" w:type="pct"/>
            <w:noWrap w:val="0"/>
            <w:vAlign w:val="center"/>
          </w:tcPr>
          <w:p w14:paraId="6FB6A9C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AEE113F">
            <w:pPr>
              <w:spacing w:line="560" w:lineRule="exact"/>
              <w:jc w:val="center"/>
              <w:rPr>
                <w:rFonts w:ascii="仿宋_GB2312" w:hAnsi="宋体" w:eastAsia="仿宋_GB2312" w:cs="宋体"/>
                <w:color w:val="auto"/>
                <w:sz w:val="24"/>
                <w:highlight w:val="none"/>
              </w:rPr>
            </w:pPr>
          </w:p>
        </w:tc>
      </w:tr>
      <w:tr w14:paraId="67B01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4ABB1F1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12</w:t>
            </w:r>
          </w:p>
        </w:tc>
        <w:tc>
          <w:tcPr>
            <w:tcW w:w="2524" w:type="pct"/>
            <w:gridSpan w:val="6"/>
            <w:noWrap w:val="0"/>
            <w:vAlign w:val="center"/>
          </w:tcPr>
          <w:p w14:paraId="15ADBA1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铝型材</w:t>
            </w:r>
          </w:p>
        </w:tc>
        <w:tc>
          <w:tcPr>
            <w:tcW w:w="903" w:type="pct"/>
            <w:noWrap w:val="0"/>
            <w:vAlign w:val="center"/>
          </w:tcPr>
          <w:p w14:paraId="4106BE6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6191EA42">
            <w:pPr>
              <w:spacing w:line="560" w:lineRule="exact"/>
              <w:jc w:val="center"/>
              <w:rPr>
                <w:rFonts w:ascii="仿宋_GB2312" w:hAnsi="宋体" w:eastAsia="仿宋_GB2312" w:cs="宋体"/>
                <w:color w:val="auto"/>
                <w:sz w:val="24"/>
                <w:highlight w:val="none"/>
              </w:rPr>
            </w:pPr>
          </w:p>
        </w:tc>
      </w:tr>
      <w:tr w14:paraId="3B292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772BFB3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13</w:t>
            </w:r>
          </w:p>
        </w:tc>
        <w:tc>
          <w:tcPr>
            <w:tcW w:w="2524" w:type="pct"/>
            <w:gridSpan w:val="6"/>
            <w:noWrap w:val="0"/>
            <w:vAlign w:val="center"/>
          </w:tcPr>
          <w:p w14:paraId="2A200E4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混凝土、砂浆试块抗压强度</w:t>
            </w:r>
          </w:p>
        </w:tc>
        <w:tc>
          <w:tcPr>
            <w:tcW w:w="903" w:type="pct"/>
            <w:noWrap w:val="0"/>
            <w:vAlign w:val="center"/>
          </w:tcPr>
          <w:p w14:paraId="6D851945">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5404F2B0">
            <w:pPr>
              <w:spacing w:line="560" w:lineRule="exact"/>
              <w:jc w:val="center"/>
              <w:rPr>
                <w:rFonts w:ascii="仿宋_GB2312" w:hAnsi="宋体" w:eastAsia="仿宋_GB2312" w:cs="宋体"/>
                <w:color w:val="auto"/>
                <w:sz w:val="24"/>
                <w:highlight w:val="none"/>
              </w:rPr>
            </w:pPr>
          </w:p>
        </w:tc>
      </w:tr>
      <w:tr w14:paraId="60782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41E7808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14</w:t>
            </w:r>
          </w:p>
        </w:tc>
        <w:tc>
          <w:tcPr>
            <w:tcW w:w="2524" w:type="pct"/>
            <w:gridSpan w:val="6"/>
            <w:noWrap w:val="0"/>
            <w:vAlign w:val="center"/>
          </w:tcPr>
          <w:p w14:paraId="43C3D9DC">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混凝土、砂浆配合比</w:t>
            </w:r>
          </w:p>
        </w:tc>
        <w:tc>
          <w:tcPr>
            <w:tcW w:w="903" w:type="pct"/>
            <w:noWrap w:val="0"/>
            <w:vAlign w:val="center"/>
          </w:tcPr>
          <w:p w14:paraId="3C5F687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26A60212">
            <w:pPr>
              <w:spacing w:line="560" w:lineRule="exact"/>
              <w:jc w:val="center"/>
              <w:rPr>
                <w:rFonts w:ascii="仿宋_GB2312" w:hAnsi="宋体" w:eastAsia="仿宋_GB2312" w:cs="宋体"/>
                <w:color w:val="auto"/>
                <w:sz w:val="24"/>
                <w:highlight w:val="none"/>
              </w:rPr>
            </w:pPr>
          </w:p>
        </w:tc>
      </w:tr>
      <w:tr w14:paraId="0F3C8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D19EAF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15</w:t>
            </w:r>
          </w:p>
        </w:tc>
        <w:tc>
          <w:tcPr>
            <w:tcW w:w="2524" w:type="pct"/>
            <w:gridSpan w:val="6"/>
            <w:noWrap w:val="0"/>
            <w:vAlign w:val="center"/>
          </w:tcPr>
          <w:p w14:paraId="3EF5DC29">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混凝土抗水渗透性能</w:t>
            </w:r>
          </w:p>
        </w:tc>
        <w:tc>
          <w:tcPr>
            <w:tcW w:w="903" w:type="pct"/>
            <w:noWrap w:val="0"/>
            <w:vAlign w:val="center"/>
          </w:tcPr>
          <w:p w14:paraId="7F88056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7CD5FDD6">
            <w:pPr>
              <w:spacing w:line="560" w:lineRule="exact"/>
              <w:jc w:val="center"/>
              <w:rPr>
                <w:rFonts w:ascii="仿宋_GB2312" w:hAnsi="宋体" w:eastAsia="仿宋_GB2312" w:cs="宋体"/>
                <w:color w:val="auto"/>
                <w:sz w:val="24"/>
                <w:highlight w:val="none"/>
              </w:rPr>
            </w:pPr>
          </w:p>
        </w:tc>
      </w:tr>
      <w:tr w14:paraId="59BC3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0B88297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16</w:t>
            </w:r>
          </w:p>
        </w:tc>
        <w:tc>
          <w:tcPr>
            <w:tcW w:w="2524" w:type="pct"/>
            <w:gridSpan w:val="6"/>
            <w:noWrap w:val="0"/>
            <w:vAlign w:val="center"/>
          </w:tcPr>
          <w:p w14:paraId="35670678">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混凝土抗冻性能</w:t>
            </w:r>
          </w:p>
        </w:tc>
        <w:tc>
          <w:tcPr>
            <w:tcW w:w="903" w:type="pct"/>
            <w:noWrap w:val="0"/>
            <w:vAlign w:val="center"/>
          </w:tcPr>
          <w:p w14:paraId="1028FE2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次循环</w:t>
            </w:r>
          </w:p>
        </w:tc>
        <w:tc>
          <w:tcPr>
            <w:tcW w:w="1237" w:type="pct"/>
            <w:noWrap w:val="0"/>
            <w:vAlign w:val="center"/>
          </w:tcPr>
          <w:p w14:paraId="166E7EC3">
            <w:pPr>
              <w:spacing w:line="560" w:lineRule="exact"/>
              <w:jc w:val="center"/>
              <w:rPr>
                <w:rFonts w:ascii="仿宋_GB2312" w:hAnsi="宋体" w:eastAsia="仿宋_GB2312" w:cs="宋体"/>
                <w:color w:val="auto"/>
                <w:sz w:val="24"/>
                <w:highlight w:val="none"/>
              </w:rPr>
            </w:pPr>
          </w:p>
        </w:tc>
      </w:tr>
      <w:tr w14:paraId="5F2A9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334" w:type="pct"/>
            <w:noWrap w:val="0"/>
            <w:vAlign w:val="center"/>
          </w:tcPr>
          <w:p w14:paraId="2D873FF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17</w:t>
            </w:r>
          </w:p>
        </w:tc>
        <w:tc>
          <w:tcPr>
            <w:tcW w:w="532" w:type="pct"/>
            <w:vMerge w:val="restart"/>
            <w:noWrap w:val="0"/>
            <w:vAlign w:val="center"/>
          </w:tcPr>
          <w:p w14:paraId="1D1FCDD5">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砂、石骨料</w:t>
            </w:r>
          </w:p>
        </w:tc>
        <w:tc>
          <w:tcPr>
            <w:tcW w:w="1992" w:type="pct"/>
            <w:gridSpan w:val="5"/>
            <w:noWrap w:val="0"/>
            <w:vAlign w:val="center"/>
          </w:tcPr>
          <w:p w14:paraId="451F4253">
            <w:pPr>
              <w:spacing w:line="560" w:lineRule="exact"/>
              <w:jc w:val="center"/>
              <w:rPr>
                <w:rFonts w:ascii="仿宋_GB2312" w:hAnsi="宋体" w:eastAsia="仿宋_GB2312" w:cs="宋体"/>
                <w:color w:val="auto"/>
                <w:w w:val="90"/>
                <w:sz w:val="24"/>
                <w:highlight w:val="none"/>
              </w:rPr>
            </w:pPr>
            <w:r>
              <w:rPr>
                <w:rFonts w:hint="eastAsia" w:ascii="仿宋_GB2312" w:eastAsia="仿宋_GB2312"/>
                <w:color w:val="auto"/>
                <w:w w:val="90"/>
                <w:sz w:val="24"/>
                <w:highlight w:val="none"/>
              </w:rPr>
              <w:t>含泥量、颗粒级配、泥块含量等</w:t>
            </w:r>
          </w:p>
        </w:tc>
        <w:tc>
          <w:tcPr>
            <w:tcW w:w="903" w:type="pct"/>
            <w:noWrap w:val="0"/>
            <w:vAlign w:val="center"/>
          </w:tcPr>
          <w:p w14:paraId="7DF073F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3B6EDBCD">
            <w:pPr>
              <w:spacing w:line="560" w:lineRule="exact"/>
              <w:jc w:val="center"/>
              <w:rPr>
                <w:rFonts w:ascii="仿宋_GB2312" w:hAnsi="宋体" w:eastAsia="仿宋_GB2312" w:cs="宋体"/>
                <w:color w:val="auto"/>
                <w:sz w:val="24"/>
                <w:highlight w:val="none"/>
              </w:rPr>
            </w:pPr>
          </w:p>
        </w:tc>
      </w:tr>
      <w:tr w14:paraId="6D1DD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E75F20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18</w:t>
            </w:r>
          </w:p>
        </w:tc>
        <w:tc>
          <w:tcPr>
            <w:tcW w:w="532" w:type="pct"/>
            <w:vMerge w:val="continue"/>
            <w:noWrap w:val="0"/>
            <w:vAlign w:val="center"/>
          </w:tcPr>
          <w:p w14:paraId="4DD57798">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279451E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坚固性</w:t>
            </w:r>
          </w:p>
        </w:tc>
        <w:tc>
          <w:tcPr>
            <w:tcW w:w="903" w:type="pct"/>
            <w:noWrap w:val="0"/>
            <w:vAlign w:val="center"/>
          </w:tcPr>
          <w:p w14:paraId="680B1F2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149CEE15">
            <w:pPr>
              <w:adjustRightInd w:val="0"/>
              <w:snapToGrid w:val="0"/>
              <w:spacing w:line="560" w:lineRule="exact"/>
              <w:jc w:val="center"/>
              <w:rPr>
                <w:rFonts w:ascii="仿宋_GB2312" w:eastAsia="仿宋_GB2312"/>
                <w:color w:val="auto"/>
                <w:sz w:val="24"/>
                <w:highlight w:val="none"/>
              </w:rPr>
            </w:pPr>
          </w:p>
        </w:tc>
      </w:tr>
      <w:tr w14:paraId="5D68F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14086C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19</w:t>
            </w:r>
          </w:p>
        </w:tc>
        <w:tc>
          <w:tcPr>
            <w:tcW w:w="532" w:type="pct"/>
            <w:vMerge w:val="continue"/>
            <w:noWrap w:val="0"/>
            <w:vAlign w:val="center"/>
          </w:tcPr>
          <w:p w14:paraId="1CF5171F">
            <w:pPr>
              <w:adjustRightInd w:val="0"/>
              <w:snapToGrid w:val="0"/>
              <w:spacing w:line="560" w:lineRule="exact"/>
              <w:jc w:val="center"/>
              <w:rPr>
                <w:rFonts w:ascii="仿宋_GB2312" w:eastAsia="仿宋_GB2312"/>
                <w:color w:val="auto"/>
                <w:sz w:val="24"/>
                <w:highlight w:val="none"/>
              </w:rPr>
            </w:pPr>
          </w:p>
        </w:tc>
        <w:tc>
          <w:tcPr>
            <w:tcW w:w="1992" w:type="pct"/>
            <w:gridSpan w:val="5"/>
            <w:noWrap w:val="0"/>
            <w:vAlign w:val="center"/>
          </w:tcPr>
          <w:p w14:paraId="4AADAC7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碱活性</w:t>
            </w:r>
          </w:p>
        </w:tc>
        <w:tc>
          <w:tcPr>
            <w:tcW w:w="903" w:type="pct"/>
            <w:noWrap w:val="0"/>
            <w:vAlign w:val="center"/>
          </w:tcPr>
          <w:p w14:paraId="39D5901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0D0064FA">
            <w:pPr>
              <w:adjustRightInd w:val="0"/>
              <w:snapToGrid w:val="0"/>
              <w:spacing w:line="560" w:lineRule="exact"/>
              <w:jc w:val="center"/>
              <w:rPr>
                <w:rFonts w:ascii="仿宋_GB2312" w:eastAsia="仿宋_GB2312"/>
                <w:color w:val="auto"/>
                <w:sz w:val="24"/>
                <w:highlight w:val="none"/>
              </w:rPr>
            </w:pPr>
          </w:p>
        </w:tc>
      </w:tr>
      <w:tr w14:paraId="2A56A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47AD94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20</w:t>
            </w:r>
          </w:p>
        </w:tc>
        <w:tc>
          <w:tcPr>
            <w:tcW w:w="2524" w:type="pct"/>
            <w:gridSpan w:val="6"/>
            <w:noWrap w:val="0"/>
            <w:vAlign w:val="center"/>
          </w:tcPr>
          <w:p w14:paraId="5025955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SBS\APP卷材</w:t>
            </w:r>
          </w:p>
        </w:tc>
        <w:tc>
          <w:tcPr>
            <w:tcW w:w="903" w:type="pct"/>
            <w:noWrap w:val="0"/>
            <w:vAlign w:val="center"/>
          </w:tcPr>
          <w:p w14:paraId="033E67B5">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6C8B64EE">
            <w:pPr>
              <w:spacing w:line="560" w:lineRule="exact"/>
              <w:jc w:val="center"/>
              <w:rPr>
                <w:rFonts w:ascii="仿宋_GB2312" w:hAnsi="宋体" w:eastAsia="仿宋_GB2312" w:cs="宋体"/>
                <w:color w:val="auto"/>
                <w:sz w:val="24"/>
                <w:highlight w:val="none"/>
              </w:rPr>
            </w:pPr>
          </w:p>
        </w:tc>
      </w:tr>
      <w:tr w14:paraId="4BD55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7E4770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21</w:t>
            </w:r>
          </w:p>
        </w:tc>
        <w:tc>
          <w:tcPr>
            <w:tcW w:w="2524" w:type="pct"/>
            <w:gridSpan w:val="6"/>
            <w:noWrap w:val="0"/>
            <w:vAlign w:val="center"/>
          </w:tcPr>
          <w:p w14:paraId="5DF614B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高分子增强复合防水卷材</w:t>
            </w:r>
          </w:p>
        </w:tc>
        <w:tc>
          <w:tcPr>
            <w:tcW w:w="903" w:type="pct"/>
            <w:noWrap w:val="0"/>
            <w:vAlign w:val="center"/>
          </w:tcPr>
          <w:p w14:paraId="0419814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700EEA6">
            <w:pPr>
              <w:spacing w:line="560" w:lineRule="exact"/>
              <w:jc w:val="center"/>
              <w:rPr>
                <w:rFonts w:ascii="仿宋_GB2312" w:hAnsi="宋体" w:eastAsia="仿宋_GB2312" w:cs="宋体"/>
                <w:color w:val="auto"/>
                <w:sz w:val="24"/>
                <w:highlight w:val="none"/>
              </w:rPr>
            </w:pPr>
          </w:p>
        </w:tc>
      </w:tr>
      <w:tr w14:paraId="49810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05D5E4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22</w:t>
            </w:r>
          </w:p>
        </w:tc>
        <w:tc>
          <w:tcPr>
            <w:tcW w:w="2524" w:type="pct"/>
            <w:gridSpan w:val="6"/>
            <w:noWrap w:val="0"/>
            <w:vAlign w:val="center"/>
          </w:tcPr>
          <w:p w14:paraId="3E17E92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聚氨酯防水涂料</w:t>
            </w:r>
          </w:p>
        </w:tc>
        <w:tc>
          <w:tcPr>
            <w:tcW w:w="903" w:type="pct"/>
            <w:noWrap w:val="0"/>
            <w:vAlign w:val="center"/>
          </w:tcPr>
          <w:p w14:paraId="068D96D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75154A7">
            <w:pPr>
              <w:spacing w:line="560" w:lineRule="exact"/>
              <w:jc w:val="center"/>
              <w:rPr>
                <w:rFonts w:ascii="仿宋_GB2312" w:hAnsi="宋体" w:eastAsia="仿宋_GB2312" w:cs="宋体"/>
                <w:color w:val="auto"/>
                <w:sz w:val="24"/>
                <w:highlight w:val="none"/>
              </w:rPr>
            </w:pPr>
          </w:p>
        </w:tc>
      </w:tr>
      <w:tr w14:paraId="3F832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05EC7B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23</w:t>
            </w:r>
          </w:p>
        </w:tc>
        <w:tc>
          <w:tcPr>
            <w:tcW w:w="2524" w:type="pct"/>
            <w:gridSpan w:val="6"/>
            <w:noWrap w:val="0"/>
            <w:vAlign w:val="center"/>
          </w:tcPr>
          <w:p w14:paraId="42A040D8">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合成树脂乳液涂料</w:t>
            </w:r>
          </w:p>
        </w:tc>
        <w:tc>
          <w:tcPr>
            <w:tcW w:w="903" w:type="pct"/>
            <w:noWrap w:val="0"/>
            <w:vAlign w:val="center"/>
          </w:tcPr>
          <w:p w14:paraId="20B0EBB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2201DE77">
            <w:pPr>
              <w:spacing w:line="560" w:lineRule="exact"/>
              <w:jc w:val="center"/>
              <w:rPr>
                <w:rFonts w:ascii="仿宋_GB2312" w:hAnsi="宋体" w:eastAsia="仿宋_GB2312" w:cs="宋体"/>
                <w:color w:val="auto"/>
                <w:sz w:val="24"/>
                <w:highlight w:val="none"/>
              </w:rPr>
            </w:pPr>
          </w:p>
        </w:tc>
      </w:tr>
      <w:tr w14:paraId="76D47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7877BF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24</w:t>
            </w:r>
          </w:p>
        </w:tc>
        <w:tc>
          <w:tcPr>
            <w:tcW w:w="2524" w:type="pct"/>
            <w:gridSpan w:val="6"/>
            <w:noWrap w:val="0"/>
            <w:vAlign w:val="center"/>
          </w:tcPr>
          <w:p w14:paraId="7BB928A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墙地面瓷砖物理性能</w:t>
            </w:r>
          </w:p>
        </w:tc>
        <w:tc>
          <w:tcPr>
            <w:tcW w:w="903" w:type="pct"/>
            <w:noWrap w:val="0"/>
            <w:vAlign w:val="center"/>
          </w:tcPr>
          <w:p w14:paraId="1F83F03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785D660E">
            <w:pPr>
              <w:spacing w:line="560" w:lineRule="exact"/>
              <w:jc w:val="center"/>
              <w:rPr>
                <w:rFonts w:ascii="仿宋_GB2312" w:hAnsi="宋体" w:eastAsia="仿宋_GB2312" w:cs="宋体"/>
                <w:color w:val="auto"/>
                <w:sz w:val="24"/>
                <w:highlight w:val="none"/>
              </w:rPr>
            </w:pPr>
          </w:p>
        </w:tc>
      </w:tr>
      <w:tr w14:paraId="51B18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5EB5AB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25</w:t>
            </w:r>
          </w:p>
        </w:tc>
        <w:tc>
          <w:tcPr>
            <w:tcW w:w="2524" w:type="pct"/>
            <w:gridSpan w:val="6"/>
            <w:noWrap w:val="0"/>
            <w:vAlign w:val="center"/>
          </w:tcPr>
          <w:p w14:paraId="1BED6DA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石材物理性能</w:t>
            </w:r>
          </w:p>
        </w:tc>
        <w:tc>
          <w:tcPr>
            <w:tcW w:w="903" w:type="pct"/>
            <w:noWrap w:val="0"/>
            <w:vAlign w:val="center"/>
          </w:tcPr>
          <w:p w14:paraId="47D2D03A">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5A185A93">
            <w:pPr>
              <w:spacing w:line="560" w:lineRule="exact"/>
              <w:jc w:val="center"/>
              <w:rPr>
                <w:rFonts w:ascii="仿宋_GB2312" w:hAnsi="宋体" w:eastAsia="仿宋_GB2312" w:cs="宋体"/>
                <w:color w:val="auto"/>
                <w:sz w:val="24"/>
                <w:highlight w:val="none"/>
              </w:rPr>
            </w:pPr>
          </w:p>
        </w:tc>
      </w:tr>
      <w:tr w14:paraId="02BE7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5E7DF0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26</w:t>
            </w:r>
          </w:p>
        </w:tc>
        <w:tc>
          <w:tcPr>
            <w:tcW w:w="2524" w:type="pct"/>
            <w:gridSpan w:val="6"/>
            <w:noWrap w:val="0"/>
            <w:vAlign w:val="center"/>
          </w:tcPr>
          <w:p w14:paraId="099FCD2B">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瓷砖粘合剂、嵌缝剂</w:t>
            </w:r>
          </w:p>
        </w:tc>
        <w:tc>
          <w:tcPr>
            <w:tcW w:w="903" w:type="pct"/>
            <w:noWrap w:val="0"/>
            <w:vAlign w:val="center"/>
          </w:tcPr>
          <w:p w14:paraId="64C6385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C6B16A1">
            <w:pPr>
              <w:spacing w:line="560" w:lineRule="exact"/>
              <w:jc w:val="center"/>
              <w:rPr>
                <w:rFonts w:ascii="仿宋_GB2312" w:hAnsi="宋体" w:eastAsia="仿宋_GB2312" w:cs="宋体"/>
                <w:color w:val="auto"/>
                <w:sz w:val="24"/>
                <w:highlight w:val="none"/>
              </w:rPr>
            </w:pPr>
          </w:p>
        </w:tc>
      </w:tr>
      <w:tr w14:paraId="57312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6B16DB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27</w:t>
            </w:r>
          </w:p>
        </w:tc>
        <w:tc>
          <w:tcPr>
            <w:tcW w:w="2524" w:type="pct"/>
            <w:gridSpan w:val="6"/>
            <w:noWrap w:val="0"/>
            <w:vAlign w:val="center"/>
          </w:tcPr>
          <w:p w14:paraId="24DE74D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混凝土界面剂</w:t>
            </w:r>
          </w:p>
        </w:tc>
        <w:tc>
          <w:tcPr>
            <w:tcW w:w="903" w:type="pct"/>
            <w:noWrap w:val="0"/>
            <w:vAlign w:val="center"/>
          </w:tcPr>
          <w:p w14:paraId="0115B94A">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215B540C">
            <w:pPr>
              <w:spacing w:line="560" w:lineRule="exact"/>
              <w:jc w:val="center"/>
              <w:rPr>
                <w:rFonts w:ascii="仿宋_GB2312" w:hAnsi="宋体" w:eastAsia="仿宋_GB2312" w:cs="宋体"/>
                <w:color w:val="auto"/>
                <w:sz w:val="24"/>
                <w:highlight w:val="none"/>
              </w:rPr>
            </w:pPr>
          </w:p>
        </w:tc>
      </w:tr>
      <w:tr w14:paraId="3CDD8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1347D1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28</w:t>
            </w:r>
          </w:p>
        </w:tc>
        <w:tc>
          <w:tcPr>
            <w:tcW w:w="2524" w:type="pct"/>
            <w:gridSpan w:val="6"/>
            <w:noWrap w:val="0"/>
            <w:vAlign w:val="center"/>
          </w:tcPr>
          <w:p w14:paraId="6F31186A">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耐候胶、硅酮密封胶</w:t>
            </w:r>
          </w:p>
        </w:tc>
        <w:tc>
          <w:tcPr>
            <w:tcW w:w="903" w:type="pct"/>
            <w:noWrap w:val="0"/>
            <w:vAlign w:val="center"/>
          </w:tcPr>
          <w:p w14:paraId="2B8C7C1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7C12FA8D">
            <w:pPr>
              <w:spacing w:line="560" w:lineRule="exact"/>
              <w:jc w:val="center"/>
              <w:rPr>
                <w:rFonts w:ascii="仿宋_GB2312" w:hAnsi="宋体" w:eastAsia="仿宋_GB2312" w:cs="宋体"/>
                <w:color w:val="auto"/>
                <w:sz w:val="24"/>
                <w:highlight w:val="none"/>
              </w:rPr>
            </w:pPr>
          </w:p>
        </w:tc>
      </w:tr>
      <w:tr w14:paraId="23AEF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FAD7BA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29</w:t>
            </w:r>
          </w:p>
        </w:tc>
        <w:tc>
          <w:tcPr>
            <w:tcW w:w="2524" w:type="pct"/>
            <w:gridSpan w:val="6"/>
            <w:noWrap w:val="0"/>
            <w:vAlign w:val="center"/>
          </w:tcPr>
          <w:p w14:paraId="4F3167D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琉璃制品物理性能</w:t>
            </w:r>
          </w:p>
        </w:tc>
        <w:tc>
          <w:tcPr>
            <w:tcW w:w="903" w:type="pct"/>
            <w:noWrap w:val="0"/>
            <w:vAlign w:val="center"/>
          </w:tcPr>
          <w:p w14:paraId="730EF1D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B7A08C5">
            <w:pPr>
              <w:spacing w:line="560" w:lineRule="exact"/>
              <w:jc w:val="center"/>
              <w:rPr>
                <w:rFonts w:ascii="仿宋_GB2312" w:hAnsi="宋体" w:eastAsia="仿宋_GB2312" w:cs="宋体"/>
                <w:color w:val="auto"/>
                <w:sz w:val="24"/>
                <w:highlight w:val="none"/>
              </w:rPr>
            </w:pPr>
          </w:p>
        </w:tc>
      </w:tr>
      <w:tr w14:paraId="75B9F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A8B7E2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30</w:t>
            </w:r>
          </w:p>
        </w:tc>
        <w:tc>
          <w:tcPr>
            <w:tcW w:w="2524" w:type="pct"/>
            <w:gridSpan w:val="6"/>
            <w:noWrap w:val="0"/>
            <w:vAlign w:val="center"/>
          </w:tcPr>
          <w:p w14:paraId="138D9AE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木材物理力学性能</w:t>
            </w:r>
          </w:p>
        </w:tc>
        <w:tc>
          <w:tcPr>
            <w:tcW w:w="903" w:type="pct"/>
            <w:noWrap w:val="0"/>
            <w:vAlign w:val="center"/>
          </w:tcPr>
          <w:p w14:paraId="650C8F69">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7764A64">
            <w:pPr>
              <w:spacing w:line="560" w:lineRule="exact"/>
              <w:jc w:val="center"/>
              <w:rPr>
                <w:rFonts w:ascii="仿宋_GB2312" w:hAnsi="宋体" w:eastAsia="仿宋_GB2312" w:cs="宋体"/>
                <w:color w:val="auto"/>
                <w:sz w:val="24"/>
                <w:highlight w:val="none"/>
              </w:rPr>
            </w:pPr>
          </w:p>
        </w:tc>
      </w:tr>
      <w:tr w14:paraId="5A565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AC44F4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31</w:t>
            </w:r>
          </w:p>
        </w:tc>
        <w:tc>
          <w:tcPr>
            <w:tcW w:w="2524" w:type="pct"/>
            <w:gridSpan w:val="6"/>
            <w:noWrap w:val="0"/>
            <w:vAlign w:val="center"/>
          </w:tcPr>
          <w:p w14:paraId="634B386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膨胀珍珠岩制品</w:t>
            </w:r>
          </w:p>
        </w:tc>
        <w:tc>
          <w:tcPr>
            <w:tcW w:w="903" w:type="pct"/>
            <w:noWrap w:val="0"/>
            <w:vAlign w:val="center"/>
          </w:tcPr>
          <w:p w14:paraId="09C4C79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2BF107F">
            <w:pPr>
              <w:spacing w:line="560" w:lineRule="exact"/>
              <w:jc w:val="center"/>
              <w:rPr>
                <w:rFonts w:ascii="仿宋_GB2312" w:hAnsi="宋体" w:eastAsia="仿宋_GB2312" w:cs="宋体"/>
                <w:color w:val="auto"/>
                <w:sz w:val="24"/>
                <w:highlight w:val="none"/>
              </w:rPr>
            </w:pPr>
          </w:p>
        </w:tc>
      </w:tr>
      <w:tr w14:paraId="5C1B0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94D333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32</w:t>
            </w:r>
          </w:p>
        </w:tc>
        <w:tc>
          <w:tcPr>
            <w:tcW w:w="2524" w:type="pct"/>
            <w:gridSpan w:val="6"/>
            <w:noWrap w:val="0"/>
            <w:vAlign w:val="center"/>
          </w:tcPr>
          <w:p w14:paraId="5A8E0F48">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玻璃棉、岩棉、矿渣棉</w:t>
            </w:r>
          </w:p>
        </w:tc>
        <w:tc>
          <w:tcPr>
            <w:tcW w:w="903" w:type="pct"/>
            <w:noWrap w:val="0"/>
            <w:vAlign w:val="center"/>
          </w:tcPr>
          <w:p w14:paraId="2FBA244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62CAB64">
            <w:pPr>
              <w:spacing w:line="560" w:lineRule="exact"/>
              <w:jc w:val="center"/>
              <w:rPr>
                <w:rFonts w:ascii="仿宋_GB2312" w:hAnsi="宋体" w:eastAsia="仿宋_GB2312" w:cs="宋体"/>
                <w:color w:val="auto"/>
                <w:sz w:val="24"/>
                <w:highlight w:val="none"/>
              </w:rPr>
            </w:pPr>
          </w:p>
        </w:tc>
      </w:tr>
      <w:tr w14:paraId="325C1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6431B4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33</w:t>
            </w:r>
          </w:p>
        </w:tc>
        <w:tc>
          <w:tcPr>
            <w:tcW w:w="2524" w:type="pct"/>
            <w:gridSpan w:val="6"/>
            <w:noWrap w:val="0"/>
            <w:vAlign w:val="center"/>
          </w:tcPr>
          <w:p w14:paraId="4C66476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保温板常规检测</w:t>
            </w:r>
          </w:p>
        </w:tc>
        <w:tc>
          <w:tcPr>
            <w:tcW w:w="903" w:type="pct"/>
            <w:noWrap w:val="0"/>
            <w:vAlign w:val="center"/>
          </w:tcPr>
          <w:p w14:paraId="2DB296BC">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BE7EA02">
            <w:pPr>
              <w:spacing w:line="560" w:lineRule="exact"/>
              <w:jc w:val="center"/>
              <w:rPr>
                <w:rFonts w:ascii="仿宋_GB2312" w:hAnsi="宋体" w:eastAsia="仿宋_GB2312" w:cs="宋体"/>
                <w:color w:val="auto"/>
                <w:sz w:val="24"/>
                <w:highlight w:val="none"/>
              </w:rPr>
            </w:pPr>
          </w:p>
        </w:tc>
      </w:tr>
      <w:tr w14:paraId="4E060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84EA1F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34</w:t>
            </w:r>
          </w:p>
        </w:tc>
        <w:tc>
          <w:tcPr>
            <w:tcW w:w="1040" w:type="pct"/>
            <w:gridSpan w:val="3"/>
            <w:vMerge w:val="restart"/>
            <w:noWrap w:val="0"/>
            <w:vAlign w:val="center"/>
          </w:tcPr>
          <w:p w14:paraId="3AB5E5B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保温板燃烧性能</w:t>
            </w:r>
          </w:p>
        </w:tc>
        <w:tc>
          <w:tcPr>
            <w:tcW w:w="1483" w:type="pct"/>
            <w:gridSpan w:val="3"/>
            <w:noWrap w:val="0"/>
            <w:vAlign w:val="center"/>
          </w:tcPr>
          <w:p w14:paraId="05F724D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B1级</w:t>
            </w:r>
          </w:p>
        </w:tc>
        <w:tc>
          <w:tcPr>
            <w:tcW w:w="903" w:type="pct"/>
            <w:noWrap w:val="0"/>
            <w:vAlign w:val="center"/>
          </w:tcPr>
          <w:p w14:paraId="6631F34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C783BE1">
            <w:pPr>
              <w:spacing w:line="560" w:lineRule="exact"/>
              <w:jc w:val="center"/>
              <w:rPr>
                <w:rFonts w:ascii="仿宋_GB2312" w:hAnsi="宋体" w:eastAsia="仿宋_GB2312" w:cs="宋体"/>
                <w:color w:val="auto"/>
                <w:sz w:val="24"/>
                <w:highlight w:val="none"/>
              </w:rPr>
            </w:pPr>
          </w:p>
        </w:tc>
      </w:tr>
      <w:tr w14:paraId="3C544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499EC6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35</w:t>
            </w:r>
          </w:p>
        </w:tc>
        <w:tc>
          <w:tcPr>
            <w:tcW w:w="1040" w:type="pct"/>
            <w:gridSpan w:val="3"/>
            <w:vMerge w:val="continue"/>
            <w:noWrap w:val="0"/>
            <w:vAlign w:val="center"/>
          </w:tcPr>
          <w:p w14:paraId="0F1948A3">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33A0365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B2级</w:t>
            </w:r>
          </w:p>
        </w:tc>
        <w:tc>
          <w:tcPr>
            <w:tcW w:w="903" w:type="pct"/>
            <w:noWrap w:val="0"/>
            <w:vAlign w:val="center"/>
          </w:tcPr>
          <w:p w14:paraId="4544DBF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0A821E0F">
            <w:pPr>
              <w:adjustRightInd w:val="0"/>
              <w:snapToGrid w:val="0"/>
              <w:spacing w:line="560" w:lineRule="exact"/>
              <w:jc w:val="center"/>
              <w:rPr>
                <w:rFonts w:ascii="仿宋_GB2312" w:eastAsia="仿宋_GB2312"/>
                <w:color w:val="auto"/>
                <w:sz w:val="24"/>
                <w:highlight w:val="none"/>
              </w:rPr>
            </w:pPr>
          </w:p>
        </w:tc>
      </w:tr>
      <w:tr w14:paraId="7FF38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55C25E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36</w:t>
            </w:r>
          </w:p>
        </w:tc>
        <w:tc>
          <w:tcPr>
            <w:tcW w:w="1040" w:type="pct"/>
            <w:gridSpan w:val="3"/>
            <w:vMerge w:val="continue"/>
            <w:noWrap w:val="0"/>
            <w:vAlign w:val="center"/>
          </w:tcPr>
          <w:p w14:paraId="7AA10B83">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6ECBDC9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A1级</w:t>
            </w:r>
          </w:p>
        </w:tc>
        <w:tc>
          <w:tcPr>
            <w:tcW w:w="903" w:type="pct"/>
            <w:noWrap w:val="0"/>
            <w:vAlign w:val="center"/>
          </w:tcPr>
          <w:p w14:paraId="7BFB1E4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5C875CA1">
            <w:pPr>
              <w:adjustRightInd w:val="0"/>
              <w:snapToGrid w:val="0"/>
              <w:spacing w:line="560" w:lineRule="exact"/>
              <w:jc w:val="center"/>
              <w:rPr>
                <w:rFonts w:ascii="仿宋_GB2312" w:eastAsia="仿宋_GB2312"/>
                <w:color w:val="auto"/>
                <w:sz w:val="24"/>
                <w:highlight w:val="none"/>
              </w:rPr>
            </w:pPr>
          </w:p>
        </w:tc>
      </w:tr>
      <w:tr w14:paraId="43657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6DE9AB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37</w:t>
            </w:r>
          </w:p>
        </w:tc>
        <w:tc>
          <w:tcPr>
            <w:tcW w:w="2524" w:type="pct"/>
            <w:gridSpan w:val="6"/>
            <w:noWrap w:val="0"/>
            <w:vAlign w:val="center"/>
          </w:tcPr>
          <w:p w14:paraId="670BA876">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保温锚固件、镀锌电焊网</w:t>
            </w:r>
          </w:p>
        </w:tc>
        <w:tc>
          <w:tcPr>
            <w:tcW w:w="903" w:type="pct"/>
            <w:noWrap w:val="0"/>
            <w:vAlign w:val="center"/>
          </w:tcPr>
          <w:p w14:paraId="54269CE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313216A">
            <w:pPr>
              <w:spacing w:line="560" w:lineRule="exact"/>
              <w:jc w:val="center"/>
              <w:rPr>
                <w:rFonts w:ascii="仿宋_GB2312" w:hAnsi="宋体" w:eastAsia="仿宋_GB2312" w:cs="宋体"/>
                <w:color w:val="auto"/>
                <w:sz w:val="24"/>
                <w:highlight w:val="none"/>
              </w:rPr>
            </w:pPr>
          </w:p>
        </w:tc>
      </w:tr>
      <w:tr w14:paraId="1EF30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BB7847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38</w:t>
            </w:r>
          </w:p>
        </w:tc>
        <w:tc>
          <w:tcPr>
            <w:tcW w:w="2524" w:type="pct"/>
            <w:gridSpan w:val="6"/>
            <w:noWrap w:val="0"/>
            <w:vAlign w:val="center"/>
          </w:tcPr>
          <w:p w14:paraId="1335DFA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耐碱网格布</w:t>
            </w:r>
          </w:p>
        </w:tc>
        <w:tc>
          <w:tcPr>
            <w:tcW w:w="903" w:type="pct"/>
            <w:noWrap w:val="0"/>
            <w:vAlign w:val="center"/>
          </w:tcPr>
          <w:p w14:paraId="68191639">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BFA65FE">
            <w:pPr>
              <w:spacing w:line="560" w:lineRule="exact"/>
              <w:jc w:val="center"/>
              <w:rPr>
                <w:rFonts w:ascii="仿宋_GB2312" w:hAnsi="宋体" w:eastAsia="仿宋_GB2312" w:cs="宋体"/>
                <w:color w:val="auto"/>
                <w:sz w:val="24"/>
                <w:highlight w:val="none"/>
              </w:rPr>
            </w:pPr>
          </w:p>
        </w:tc>
      </w:tr>
      <w:tr w14:paraId="347FA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83F715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39</w:t>
            </w:r>
          </w:p>
        </w:tc>
        <w:tc>
          <w:tcPr>
            <w:tcW w:w="2524" w:type="pct"/>
            <w:gridSpan w:val="6"/>
            <w:noWrap w:val="0"/>
            <w:vAlign w:val="center"/>
          </w:tcPr>
          <w:p w14:paraId="3F7146C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聚合物砂浆</w:t>
            </w:r>
          </w:p>
        </w:tc>
        <w:tc>
          <w:tcPr>
            <w:tcW w:w="903" w:type="pct"/>
            <w:noWrap w:val="0"/>
            <w:vAlign w:val="center"/>
          </w:tcPr>
          <w:p w14:paraId="6007A85B">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DF0E7AE">
            <w:pPr>
              <w:spacing w:line="560" w:lineRule="exact"/>
              <w:jc w:val="center"/>
              <w:rPr>
                <w:rFonts w:ascii="仿宋_GB2312" w:hAnsi="宋体" w:eastAsia="仿宋_GB2312" w:cs="宋体"/>
                <w:color w:val="auto"/>
                <w:sz w:val="24"/>
                <w:highlight w:val="none"/>
              </w:rPr>
            </w:pPr>
          </w:p>
        </w:tc>
      </w:tr>
      <w:tr w14:paraId="4D2AC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75EF61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40</w:t>
            </w:r>
          </w:p>
        </w:tc>
        <w:tc>
          <w:tcPr>
            <w:tcW w:w="2524" w:type="pct"/>
            <w:gridSpan w:val="6"/>
            <w:noWrap w:val="0"/>
            <w:vAlign w:val="center"/>
          </w:tcPr>
          <w:p w14:paraId="15CB9A3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钢丝网架夹芯板</w:t>
            </w:r>
          </w:p>
        </w:tc>
        <w:tc>
          <w:tcPr>
            <w:tcW w:w="903" w:type="pct"/>
            <w:noWrap w:val="0"/>
            <w:vAlign w:val="center"/>
          </w:tcPr>
          <w:p w14:paraId="02617A0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2F59B9A">
            <w:pPr>
              <w:spacing w:line="560" w:lineRule="exact"/>
              <w:jc w:val="center"/>
              <w:rPr>
                <w:rFonts w:ascii="仿宋_GB2312" w:hAnsi="宋体" w:eastAsia="仿宋_GB2312" w:cs="宋体"/>
                <w:color w:val="auto"/>
                <w:sz w:val="24"/>
                <w:highlight w:val="none"/>
              </w:rPr>
            </w:pPr>
          </w:p>
        </w:tc>
      </w:tr>
      <w:tr w14:paraId="02E12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21142A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41</w:t>
            </w:r>
          </w:p>
        </w:tc>
        <w:tc>
          <w:tcPr>
            <w:tcW w:w="2524" w:type="pct"/>
            <w:gridSpan w:val="6"/>
            <w:noWrap w:val="0"/>
            <w:vAlign w:val="center"/>
          </w:tcPr>
          <w:p w14:paraId="26823BD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保温系统构造钻芯检测</w:t>
            </w:r>
          </w:p>
        </w:tc>
        <w:tc>
          <w:tcPr>
            <w:tcW w:w="903" w:type="pct"/>
            <w:noWrap w:val="0"/>
            <w:vAlign w:val="center"/>
          </w:tcPr>
          <w:p w14:paraId="40E2242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411A636B">
            <w:pPr>
              <w:spacing w:line="560" w:lineRule="exact"/>
              <w:jc w:val="center"/>
              <w:rPr>
                <w:rFonts w:ascii="仿宋_GB2312" w:hAnsi="宋体" w:eastAsia="仿宋_GB2312" w:cs="宋体"/>
                <w:color w:val="auto"/>
                <w:sz w:val="24"/>
                <w:highlight w:val="none"/>
              </w:rPr>
            </w:pPr>
          </w:p>
        </w:tc>
      </w:tr>
      <w:tr w14:paraId="61D76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FFFA45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42</w:t>
            </w:r>
          </w:p>
        </w:tc>
        <w:tc>
          <w:tcPr>
            <w:tcW w:w="2524" w:type="pct"/>
            <w:gridSpan w:val="6"/>
            <w:noWrap w:val="0"/>
            <w:vAlign w:val="center"/>
          </w:tcPr>
          <w:p w14:paraId="79C918F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保温系统拉拔</w:t>
            </w:r>
          </w:p>
        </w:tc>
        <w:tc>
          <w:tcPr>
            <w:tcW w:w="903" w:type="pct"/>
            <w:noWrap w:val="0"/>
            <w:vAlign w:val="center"/>
          </w:tcPr>
          <w:p w14:paraId="0F3F99E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6F754F08">
            <w:pPr>
              <w:spacing w:line="560" w:lineRule="exact"/>
              <w:jc w:val="center"/>
              <w:rPr>
                <w:rFonts w:ascii="仿宋_GB2312" w:hAnsi="宋体" w:eastAsia="仿宋_GB2312" w:cs="宋体"/>
                <w:color w:val="auto"/>
                <w:sz w:val="24"/>
                <w:highlight w:val="none"/>
              </w:rPr>
            </w:pPr>
          </w:p>
        </w:tc>
      </w:tr>
      <w:tr w14:paraId="04434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CE1762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43</w:t>
            </w:r>
          </w:p>
        </w:tc>
        <w:tc>
          <w:tcPr>
            <w:tcW w:w="2524" w:type="pct"/>
            <w:gridSpan w:val="6"/>
            <w:noWrap w:val="0"/>
            <w:vAlign w:val="center"/>
          </w:tcPr>
          <w:p w14:paraId="6F11E97C">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保温钉拉拔</w:t>
            </w:r>
          </w:p>
        </w:tc>
        <w:tc>
          <w:tcPr>
            <w:tcW w:w="903" w:type="pct"/>
            <w:noWrap w:val="0"/>
            <w:vAlign w:val="center"/>
          </w:tcPr>
          <w:p w14:paraId="3E95F5C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71133050">
            <w:pPr>
              <w:spacing w:line="560" w:lineRule="exact"/>
              <w:jc w:val="center"/>
              <w:rPr>
                <w:rFonts w:ascii="仿宋_GB2312" w:hAnsi="宋体" w:eastAsia="仿宋_GB2312" w:cs="宋体"/>
                <w:color w:val="auto"/>
                <w:sz w:val="24"/>
                <w:highlight w:val="none"/>
              </w:rPr>
            </w:pPr>
          </w:p>
        </w:tc>
      </w:tr>
      <w:tr w14:paraId="29887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206B3D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44</w:t>
            </w:r>
          </w:p>
        </w:tc>
        <w:tc>
          <w:tcPr>
            <w:tcW w:w="2524" w:type="pct"/>
            <w:gridSpan w:val="6"/>
            <w:noWrap w:val="0"/>
            <w:vAlign w:val="center"/>
          </w:tcPr>
          <w:p w14:paraId="394181E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外墙瓷砖拉拔</w:t>
            </w:r>
          </w:p>
        </w:tc>
        <w:tc>
          <w:tcPr>
            <w:tcW w:w="903" w:type="pct"/>
            <w:noWrap w:val="0"/>
            <w:vAlign w:val="center"/>
          </w:tcPr>
          <w:p w14:paraId="427FD17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251C528E">
            <w:pPr>
              <w:spacing w:line="560" w:lineRule="exact"/>
              <w:jc w:val="center"/>
              <w:rPr>
                <w:rFonts w:ascii="仿宋_GB2312" w:hAnsi="宋体" w:eastAsia="仿宋_GB2312" w:cs="宋体"/>
                <w:color w:val="auto"/>
                <w:sz w:val="24"/>
                <w:highlight w:val="none"/>
              </w:rPr>
            </w:pPr>
          </w:p>
        </w:tc>
      </w:tr>
      <w:tr w14:paraId="2BBA7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DF812C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45</w:t>
            </w:r>
          </w:p>
        </w:tc>
        <w:tc>
          <w:tcPr>
            <w:tcW w:w="2524" w:type="pct"/>
            <w:gridSpan w:val="6"/>
            <w:noWrap w:val="0"/>
            <w:vAlign w:val="center"/>
          </w:tcPr>
          <w:p w14:paraId="33F9E79F">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土工击实试验</w:t>
            </w:r>
          </w:p>
        </w:tc>
        <w:tc>
          <w:tcPr>
            <w:tcW w:w="903" w:type="pct"/>
            <w:noWrap w:val="0"/>
            <w:vAlign w:val="center"/>
          </w:tcPr>
          <w:p w14:paraId="71BE883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B5D36B7">
            <w:pPr>
              <w:spacing w:line="560" w:lineRule="exact"/>
              <w:jc w:val="center"/>
              <w:rPr>
                <w:rFonts w:ascii="仿宋_GB2312" w:hAnsi="宋体" w:eastAsia="仿宋_GB2312" w:cs="宋体"/>
                <w:color w:val="auto"/>
                <w:sz w:val="24"/>
                <w:highlight w:val="none"/>
              </w:rPr>
            </w:pPr>
          </w:p>
        </w:tc>
      </w:tr>
      <w:tr w14:paraId="75D28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472D07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46</w:t>
            </w:r>
          </w:p>
        </w:tc>
        <w:tc>
          <w:tcPr>
            <w:tcW w:w="2524" w:type="pct"/>
            <w:gridSpan w:val="6"/>
            <w:noWrap w:val="0"/>
            <w:vAlign w:val="center"/>
          </w:tcPr>
          <w:p w14:paraId="24973EB9">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砂石级配</w:t>
            </w:r>
          </w:p>
        </w:tc>
        <w:tc>
          <w:tcPr>
            <w:tcW w:w="903" w:type="pct"/>
            <w:noWrap w:val="0"/>
            <w:vAlign w:val="center"/>
          </w:tcPr>
          <w:p w14:paraId="1D275F3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31CF715">
            <w:pPr>
              <w:spacing w:line="560" w:lineRule="exact"/>
              <w:jc w:val="center"/>
              <w:rPr>
                <w:rFonts w:ascii="仿宋_GB2312" w:hAnsi="宋体" w:eastAsia="仿宋_GB2312" w:cs="宋体"/>
                <w:color w:val="auto"/>
                <w:sz w:val="24"/>
                <w:highlight w:val="none"/>
              </w:rPr>
            </w:pPr>
          </w:p>
        </w:tc>
      </w:tr>
      <w:tr w14:paraId="79D13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0CE5EE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47</w:t>
            </w:r>
          </w:p>
        </w:tc>
        <w:tc>
          <w:tcPr>
            <w:tcW w:w="2524" w:type="pct"/>
            <w:gridSpan w:val="6"/>
            <w:noWrap w:val="0"/>
            <w:vAlign w:val="center"/>
          </w:tcPr>
          <w:p w14:paraId="67EACE16">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灰土环刀取样</w:t>
            </w:r>
          </w:p>
        </w:tc>
        <w:tc>
          <w:tcPr>
            <w:tcW w:w="903" w:type="pct"/>
            <w:noWrap w:val="0"/>
            <w:vAlign w:val="center"/>
          </w:tcPr>
          <w:p w14:paraId="221CB38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点</w:t>
            </w:r>
          </w:p>
        </w:tc>
        <w:tc>
          <w:tcPr>
            <w:tcW w:w="1237" w:type="pct"/>
            <w:noWrap w:val="0"/>
            <w:vAlign w:val="center"/>
          </w:tcPr>
          <w:p w14:paraId="13BA983A">
            <w:pPr>
              <w:spacing w:line="560" w:lineRule="exact"/>
              <w:jc w:val="center"/>
              <w:rPr>
                <w:rFonts w:ascii="仿宋_GB2312" w:hAnsi="宋体" w:eastAsia="仿宋_GB2312" w:cs="宋体"/>
                <w:color w:val="auto"/>
                <w:sz w:val="24"/>
                <w:highlight w:val="none"/>
              </w:rPr>
            </w:pPr>
          </w:p>
        </w:tc>
      </w:tr>
      <w:tr w14:paraId="672C0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43F2B0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48</w:t>
            </w:r>
          </w:p>
        </w:tc>
        <w:tc>
          <w:tcPr>
            <w:tcW w:w="2524" w:type="pct"/>
            <w:gridSpan w:val="6"/>
            <w:noWrap w:val="0"/>
            <w:vAlign w:val="center"/>
          </w:tcPr>
          <w:p w14:paraId="6B387FD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砂石垫层取样</w:t>
            </w:r>
          </w:p>
        </w:tc>
        <w:tc>
          <w:tcPr>
            <w:tcW w:w="903" w:type="pct"/>
            <w:noWrap w:val="0"/>
            <w:vAlign w:val="center"/>
          </w:tcPr>
          <w:p w14:paraId="0EF5B46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点</w:t>
            </w:r>
          </w:p>
        </w:tc>
        <w:tc>
          <w:tcPr>
            <w:tcW w:w="1237" w:type="pct"/>
            <w:noWrap w:val="0"/>
            <w:vAlign w:val="center"/>
          </w:tcPr>
          <w:p w14:paraId="20D9F68A">
            <w:pPr>
              <w:spacing w:line="560" w:lineRule="exact"/>
              <w:jc w:val="center"/>
              <w:rPr>
                <w:rFonts w:ascii="仿宋_GB2312" w:hAnsi="宋体" w:eastAsia="仿宋_GB2312" w:cs="宋体"/>
                <w:color w:val="auto"/>
                <w:sz w:val="24"/>
                <w:highlight w:val="none"/>
              </w:rPr>
            </w:pPr>
          </w:p>
        </w:tc>
      </w:tr>
      <w:tr w14:paraId="4B950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D16CFA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49</w:t>
            </w:r>
          </w:p>
        </w:tc>
        <w:tc>
          <w:tcPr>
            <w:tcW w:w="2524" w:type="pct"/>
            <w:gridSpan w:val="6"/>
            <w:noWrap w:val="0"/>
            <w:vAlign w:val="center"/>
          </w:tcPr>
          <w:p w14:paraId="7D0A320B">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电线/电缆</w:t>
            </w:r>
          </w:p>
        </w:tc>
        <w:tc>
          <w:tcPr>
            <w:tcW w:w="903" w:type="pct"/>
            <w:noWrap w:val="0"/>
            <w:vAlign w:val="center"/>
          </w:tcPr>
          <w:p w14:paraId="5F28361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92064E5">
            <w:pPr>
              <w:spacing w:line="560" w:lineRule="exact"/>
              <w:jc w:val="center"/>
              <w:rPr>
                <w:rFonts w:ascii="仿宋_GB2312" w:hAnsi="宋体" w:eastAsia="仿宋_GB2312" w:cs="宋体"/>
                <w:color w:val="auto"/>
                <w:sz w:val="24"/>
                <w:highlight w:val="none"/>
              </w:rPr>
            </w:pPr>
          </w:p>
        </w:tc>
      </w:tr>
      <w:tr w14:paraId="10EC6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581EA3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50</w:t>
            </w:r>
          </w:p>
        </w:tc>
        <w:tc>
          <w:tcPr>
            <w:tcW w:w="2524" w:type="pct"/>
            <w:gridSpan w:val="6"/>
            <w:noWrap w:val="0"/>
            <w:vAlign w:val="center"/>
          </w:tcPr>
          <w:p w14:paraId="0ECF24E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给水管、排水管</w:t>
            </w:r>
          </w:p>
        </w:tc>
        <w:tc>
          <w:tcPr>
            <w:tcW w:w="903" w:type="pct"/>
            <w:noWrap w:val="0"/>
            <w:vAlign w:val="center"/>
          </w:tcPr>
          <w:p w14:paraId="084CAA7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组（常规）</w:t>
            </w:r>
          </w:p>
        </w:tc>
        <w:tc>
          <w:tcPr>
            <w:tcW w:w="1237" w:type="pct"/>
            <w:noWrap w:val="0"/>
            <w:vAlign w:val="center"/>
          </w:tcPr>
          <w:p w14:paraId="3118E438">
            <w:pPr>
              <w:spacing w:line="560" w:lineRule="exact"/>
              <w:jc w:val="center"/>
              <w:rPr>
                <w:rFonts w:ascii="仿宋_GB2312" w:hAnsi="宋体" w:eastAsia="仿宋_GB2312" w:cs="宋体"/>
                <w:color w:val="auto"/>
                <w:sz w:val="24"/>
                <w:highlight w:val="none"/>
              </w:rPr>
            </w:pPr>
          </w:p>
        </w:tc>
      </w:tr>
      <w:tr w14:paraId="4CE07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BF95686">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51</w:t>
            </w:r>
          </w:p>
        </w:tc>
        <w:tc>
          <w:tcPr>
            <w:tcW w:w="1040" w:type="pct"/>
            <w:gridSpan w:val="3"/>
            <w:vMerge w:val="restart"/>
            <w:noWrap w:val="0"/>
            <w:vAlign w:val="center"/>
          </w:tcPr>
          <w:p w14:paraId="54D34133">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窗</w:t>
            </w:r>
          </w:p>
        </w:tc>
        <w:tc>
          <w:tcPr>
            <w:tcW w:w="1483" w:type="pct"/>
            <w:gridSpan w:val="3"/>
            <w:noWrap w:val="0"/>
            <w:vAlign w:val="center"/>
          </w:tcPr>
          <w:p w14:paraId="69DE5D0E">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气密性、水密性、抗风压</w:t>
            </w:r>
          </w:p>
        </w:tc>
        <w:tc>
          <w:tcPr>
            <w:tcW w:w="903" w:type="pct"/>
            <w:noWrap w:val="0"/>
            <w:vAlign w:val="center"/>
          </w:tcPr>
          <w:p w14:paraId="446170E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57428601">
            <w:pPr>
              <w:spacing w:line="560" w:lineRule="exact"/>
              <w:jc w:val="center"/>
              <w:rPr>
                <w:rFonts w:ascii="仿宋_GB2312" w:hAnsi="宋体" w:eastAsia="仿宋_GB2312" w:cs="宋体"/>
                <w:color w:val="auto"/>
                <w:sz w:val="24"/>
                <w:highlight w:val="none"/>
              </w:rPr>
            </w:pPr>
          </w:p>
        </w:tc>
      </w:tr>
      <w:tr w14:paraId="78843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B3CC4B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52</w:t>
            </w:r>
          </w:p>
        </w:tc>
        <w:tc>
          <w:tcPr>
            <w:tcW w:w="1040" w:type="pct"/>
            <w:gridSpan w:val="3"/>
            <w:vMerge w:val="continue"/>
            <w:noWrap w:val="0"/>
            <w:vAlign w:val="center"/>
          </w:tcPr>
          <w:p w14:paraId="6DDBE530">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4C96275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传热系数</w:t>
            </w:r>
          </w:p>
        </w:tc>
        <w:tc>
          <w:tcPr>
            <w:tcW w:w="903" w:type="pct"/>
            <w:noWrap w:val="0"/>
            <w:vAlign w:val="center"/>
          </w:tcPr>
          <w:p w14:paraId="464D67D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3F5FDC22">
            <w:pPr>
              <w:adjustRightInd w:val="0"/>
              <w:snapToGrid w:val="0"/>
              <w:spacing w:line="560" w:lineRule="exact"/>
              <w:jc w:val="center"/>
              <w:rPr>
                <w:rFonts w:ascii="仿宋_GB2312" w:eastAsia="仿宋_GB2312"/>
                <w:color w:val="auto"/>
                <w:sz w:val="24"/>
                <w:highlight w:val="none"/>
              </w:rPr>
            </w:pPr>
          </w:p>
        </w:tc>
      </w:tr>
      <w:tr w14:paraId="14CB0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E77EE9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53</w:t>
            </w:r>
          </w:p>
        </w:tc>
        <w:tc>
          <w:tcPr>
            <w:tcW w:w="1040" w:type="pct"/>
            <w:gridSpan w:val="3"/>
            <w:vMerge w:val="continue"/>
            <w:noWrap w:val="0"/>
            <w:vAlign w:val="center"/>
          </w:tcPr>
          <w:p w14:paraId="48C98B34">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4A4F322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中空露点</w:t>
            </w:r>
          </w:p>
        </w:tc>
        <w:tc>
          <w:tcPr>
            <w:tcW w:w="903" w:type="pct"/>
            <w:noWrap w:val="0"/>
            <w:vAlign w:val="center"/>
          </w:tcPr>
          <w:p w14:paraId="2DB7D00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093F1670">
            <w:pPr>
              <w:adjustRightInd w:val="0"/>
              <w:snapToGrid w:val="0"/>
              <w:spacing w:line="560" w:lineRule="exact"/>
              <w:jc w:val="center"/>
              <w:rPr>
                <w:rFonts w:ascii="仿宋_GB2312" w:eastAsia="仿宋_GB2312"/>
                <w:color w:val="auto"/>
                <w:sz w:val="24"/>
                <w:highlight w:val="none"/>
              </w:rPr>
            </w:pPr>
          </w:p>
        </w:tc>
      </w:tr>
      <w:tr w14:paraId="4791D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34" w:type="pct"/>
            <w:noWrap w:val="0"/>
            <w:vAlign w:val="center"/>
          </w:tcPr>
          <w:p w14:paraId="7669FC0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54</w:t>
            </w:r>
          </w:p>
        </w:tc>
        <w:tc>
          <w:tcPr>
            <w:tcW w:w="1040" w:type="pct"/>
            <w:gridSpan w:val="3"/>
            <w:vMerge w:val="restart"/>
            <w:noWrap w:val="0"/>
            <w:vAlign w:val="center"/>
          </w:tcPr>
          <w:p w14:paraId="1865A0E7">
            <w:pPr>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钢结构</w:t>
            </w:r>
          </w:p>
          <w:p w14:paraId="00FB2C75">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材料</w:t>
            </w:r>
          </w:p>
        </w:tc>
        <w:tc>
          <w:tcPr>
            <w:tcW w:w="1483" w:type="pct"/>
            <w:gridSpan w:val="3"/>
            <w:noWrap w:val="0"/>
            <w:vAlign w:val="center"/>
          </w:tcPr>
          <w:p w14:paraId="1D35AD24">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高强螺栓抗扭</w:t>
            </w:r>
          </w:p>
        </w:tc>
        <w:tc>
          <w:tcPr>
            <w:tcW w:w="903" w:type="pct"/>
            <w:noWrap w:val="0"/>
            <w:vAlign w:val="center"/>
          </w:tcPr>
          <w:p w14:paraId="73BAC2F6">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353653F">
            <w:pPr>
              <w:spacing w:line="560" w:lineRule="exact"/>
              <w:jc w:val="center"/>
              <w:rPr>
                <w:rFonts w:ascii="仿宋_GB2312" w:hAnsi="宋体" w:eastAsia="仿宋_GB2312" w:cs="宋体"/>
                <w:color w:val="auto"/>
                <w:sz w:val="24"/>
                <w:highlight w:val="none"/>
              </w:rPr>
            </w:pPr>
          </w:p>
        </w:tc>
      </w:tr>
      <w:tr w14:paraId="7E3EB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10825A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55</w:t>
            </w:r>
          </w:p>
        </w:tc>
        <w:tc>
          <w:tcPr>
            <w:tcW w:w="1040" w:type="pct"/>
            <w:gridSpan w:val="3"/>
            <w:vMerge w:val="continue"/>
            <w:noWrap w:val="0"/>
            <w:vAlign w:val="center"/>
          </w:tcPr>
          <w:p w14:paraId="34DAFC8F">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77C045F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高强螺栓硬度</w:t>
            </w:r>
          </w:p>
        </w:tc>
        <w:tc>
          <w:tcPr>
            <w:tcW w:w="903" w:type="pct"/>
            <w:noWrap w:val="0"/>
            <w:vAlign w:val="center"/>
          </w:tcPr>
          <w:p w14:paraId="3FCB9C7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AF2B775">
            <w:pPr>
              <w:adjustRightInd w:val="0"/>
              <w:snapToGrid w:val="0"/>
              <w:spacing w:line="560" w:lineRule="exact"/>
              <w:jc w:val="center"/>
              <w:rPr>
                <w:rFonts w:ascii="仿宋_GB2312" w:eastAsia="仿宋_GB2312"/>
                <w:color w:val="auto"/>
                <w:sz w:val="24"/>
                <w:highlight w:val="none"/>
              </w:rPr>
            </w:pPr>
          </w:p>
        </w:tc>
      </w:tr>
      <w:tr w14:paraId="2D27D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1B63B2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56</w:t>
            </w:r>
          </w:p>
        </w:tc>
        <w:tc>
          <w:tcPr>
            <w:tcW w:w="1040" w:type="pct"/>
            <w:gridSpan w:val="3"/>
            <w:vMerge w:val="continue"/>
            <w:noWrap w:val="0"/>
            <w:vAlign w:val="center"/>
          </w:tcPr>
          <w:p w14:paraId="5DE2F86C">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7EF0B25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抗滑移</w:t>
            </w:r>
          </w:p>
        </w:tc>
        <w:tc>
          <w:tcPr>
            <w:tcW w:w="903" w:type="pct"/>
            <w:noWrap w:val="0"/>
            <w:vAlign w:val="center"/>
          </w:tcPr>
          <w:p w14:paraId="2325A1A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17A9DB6B">
            <w:pPr>
              <w:adjustRightInd w:val="0"/>
              <w:snapToGrid w:val="0"/>
              <w:spacing w:line="560" w:lineRule="exact"/>
              <w:jc w:val="center"/>
              <w:rPr>
                <w:rFonts w:ascii="仿宋_GB2312" w:eastAsia="仿宋_GB2312"/>
                <w:color w:val="auto"/>
                <w:sz w:val="24"/>
                <w:highlight w:val="none"/>
              </w:rPr>
            </w:pPr>
          </w:p>
        </w:tc>
      </w:tr>
      <w:tr w14:paraId="6350C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75B6F7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57</w:t>
            </w:r>
          </w:p>
        </w:tc>
        <w:tc>
          <w:tcPr>
            <w:tcW w:w="1044" w:type="pct"/>
            <w:gridSpan w:val="4"/>
            <w:vMerge w:val="restart"/>
            <w:noWrap w:val="0"/>
            <w:vAlign w:val="center"/>
          </w:tcPr>
          <w:p w14:paraId="6C615801">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水性涂料、胶粘剂、处理剂</w:t>
            </w:r>
          </w:p>
        </w:tc>
        <w:tc>
          <w:tcPr>
            <w:tcW w:w="1480" w:type="pct"/>
            <w:gridSpan w:val="2"/>
            <w:noWrap w:val="0"/>
            <w:vAlign w:val="center"/>
          </w:tcPr>
          <w:p w14:paraId="2190FFA2">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游离甲醛</w:t>
            </w:r>
          </w:p>
        </w:tc>
        <w:tc>
          <w:tcPr>
            <w:tcW w:w="903" w:type="pct"/>
            <w:noWrap w:val="0"/>
            <w:vAlign w:val="center"/>
          </w:tcPr>
          <w:p w14:paraId="03D81628">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1814E0A1">
            <w:pPr>
              <w:spacing w:line="560" w:lineRule="exact"/>
              <w:jc w:val="center"/>
              <w:rPr>
                <w:rFonts w:ascii="仿宋_GB2312" w:hAnsi="宋体" w:eastAsia="仿宋_GB2312" w:cs="宋体"/>
                <w:color w:val="auto"/>
                <w:sz w:val="24"/>
                <w:highlight w:val="none"/>
              </w:rPr>
            </w:pPr>
          </w:p>
        </w:tc>
      </w:tr>
      <w:tr w14:paraId="20911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2E01AF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58</w:t>
            </w:r>
          </w:p>
        </w:tc>
        <w:tc>
          <w:tcPr>
            <w:tcW w:w="1044" w:type="pct"/>
            <w:gridSpan w:val="4"/>
            <w:vMerge w:val="continue"/>
            <w:noWrap w:val="0"/>
            <w:vAlign w:val="center"/>
          </w:tcPr>
          <w:p w14:paraId="11B3ED5E">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488E39E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挥发性有机物</w:t>
            </w:r>
          </w:p>
        </w:tc>
        <w:tc>
          <w:tcPr>
            <w:tcW w:w="903" w:type="pct"/>
            <w:noWrap w:val="0"/>
            <w:vAlign w:val="center"/>
          </w:tcPr>
          <w:p w14:paraId="18C6775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585F7F78">
            <w:pPr>
              <w:adjustRightInd w:val="0"/>
              <w:snapToGrid w:val="0"/>
              <w:spacing w:line="560" w:lineRule="exact"/>
              <w:jc w:val="center"/>
              <w:rPr>
                <w:rFonts w:ascii="仿宋_GB2312" w:eastAsia="仿宋_GB2312"/>
                <w:color w:val="auto"/>
                <w:sz w:val="24"/>
                <w:highlight w:val="none"/>
              </w:rPr>
            </w:pPr>
          </w:p>
        </w:tc>
      </w:tr>
      <w:tr w14:paraId="6F543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FB25CC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59</w:t>
            </w:r>
          </w:p>
        </w:tc>
        <w:tc>
          <w:tcPr>
            <w:tcW w:w="1044" w:type="pct"/>
            <w:gridSpan w:val="4"/>
            <w:vMerge w:val="restart"/>
            <w:noWrap w:val="0"/>
            <w:vAlign w:val="center"/>
          </w:tcPr>
          <w:p w14:paraId="152E7B0D">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人造板</w:t>
            </w:r>
          </w:p>
        </w:tc>
        <w:tc>
          <w:tcPr>
            <w:tcW w:w="1480" w:type="pct"/>
            <w:gridSpan w:val="2"/>
            <w:noWrap w:val="0"/>
            <w:vAlign w:val="center"/>
          </w:tcPr>
          <w:p w14:paraId="48FC1917">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甲醛含量</w:t>
            </w:r>
          </w:p>
        </w:tc>
        <w:tc>
          <w:tcPr>
            <w:tcW w:w="903" w:type="pct"/>
            <w:noWrap w:val="0"/>
            <w:vAlign w:val="center"/>
          </w:tcPr>
          <w:p w14:paraId="79015250">
            <w:pPr>
              <w:spacing w:line="560" w:lineRule="exact"/>
              <w:jc w:val="center"/>
              <w:rPr>
                <w:rFonts w:ascii="仿宋_GB2312" w:hAnsi="宋体" w:eastAsia="仿宋_GB2312" w:cs="宋体"/>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0FAEF126">
            <w:pPr>
              <w:spacing w:line="560" w:lineRule="exact"/>
              <w:jc w:val="center"/>
              <w:rPr>
                <w:rFonts w:ascii="仿宋_GB2312" w:hAnsi="宋体" w:eastAsia="仿宋_GB2312" w:cs="宋体"/>
                <w:color w:val="auto"/>
                <w:sz w:val="24"/>
                <w:highlight w:val="none"/>
              </w:rPr>
            </w:pPr>
          </w:p>
        </w:tc>
      </w:tr>
      <w:tr w14:paraId="58B33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F3D6A1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60</w:t>
            </w:r>
          </w:p>
        </w:tc>
        <w:tc>
          <w:tcPr>
            <w:tcW w:w="1044" w:type="pct"/>
            <w:gridSpan w:val="4"/>
            <w:vMerge w:val="continue"/>
            <w:noWrap w:val="0"/>
            <w:vAlign w:val="center"/>
          </w:tcPr>
          <w:p w14:paraId="1591B40C">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45302A5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甲醛释放量</w:t>
            </w:r>
          </w:p>
        </w:tc>
        <w:tc>
          <w:tcPr>
            <w:tcW w:w="903" w:type="pct"/>
            <w:noWrap w:val="0"/>
            <w:vAlign w:val="center"/>
          </w:tcPr>
          <w:p w14:paraId="5E93BB4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项</w:t>
            </w:r>
          </w:p>
        </w:tc>
        <w:tc>
          <w:tcPr>
            <w:tcW w:w="1237" w:type="pct"/>
            <w:noWrap w:val="0"/>
            <w:vAlign w:val="center"/>
          </w:tcPr>
          <w:p w14:paraId="48062308">
            <w:pPr>
              <w:adjustRightInd w:val="0"/>
              <w:snapToGrid w:val="0"/>
              <w:spacing w:line="560" w:lineRule="exact"/>
              <w:jc w:val="center"/>
              <w:rPr>
                <w:rFonts w:ascii="仿宋_GB2312" w:eastAsia="仿宋_GB2312"/>
                <w:color w:val="auto"/>
                <w:sz w:val="24"/>
                <w:highlight w:val="none"/>
              </w:rPr>
            </w:pPr>
          </w:p>
        </w:tc>
      </w:tr>
      <w:tr w14:paraId="0C6C6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F20F100">
            <w:pPr>
              <w:adjustRightInd w:val="0"/>
              <w:snapToGrid w:val="0"/>
              <w:spacing w:line="560" w:lineRule="exact"/>
              <w:jc w:val="center"/>
              <w:rPr>
                <w:rFonts w:ascii="仿宋_GB2312" w:eastAsia="仿宋_GB2312"/>
                <w:color w:val="auto"/>
                <w:sz w:val="24"/>
                <w:highlight w:val="none"/>
              </w:rPr>
            </w:pPr>
          </w:p>
        </w:tc>
        <w:tc>
          <w:tcPr>
            <w:tcW w:w="2524" w:type="pct"/>
            <w:gridSpan w:val="6"/>
            <w:noWrap w:val="0"/>
            <w:vAlign w:val="center"/>
          </w:tcPr>
          <w:p w14:paraId="48D2E29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商混站原材料抽测</w:t>
            </w:r>
          </w:p>
        </w:tc>
        <w:tc>
          <w:tcPr>
            <w:tcW w:w="903" w:type="pct"/>
            <w:noWrap w:val="0"/>
            <w:vAlign w:val="center"/>
          </w:tcPr>
          <w:p w14:paraId="622C0B4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单位</w:t>
            </w:r>
          </w:p>
        </w:tc>
        <w:tc>
          <w:tcPr>
            <w:tcW w:w="1237" w:type="pct"/>
            <w:noWrap w:val="0"/>
            <w:vAlign w:val="center"/>
          </w:tcPr>
          <w:p w14:paraId="2FF5462E">
            <w:pPr>
              <w:adjustRightInd w:val="0"/>
              <w:snapToGrid w:val="0"/>
              <w:spacing w:line="560" w:lineRule="exact"/>
              <w:jc w:val="center"/>
              <w:rPr>
                <w:rFonts w:ascii="仿宋_GB2312" w:eastAsia="仿宋_GB2312"/>
                <w:color w:val="auto"/>
                <w:sz w:val="24"/>
                <w:highlight w:val="none"/>
              </w:rPr>
            </w:pPr>
          </w:p>
        </w:tc>
      </w:tr>
      <w:tr w14:paraId="16D36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0F3FC11">
            <w:pPr>
              <w:adjustRightInd w:val="0"/>
              <w:snapToGrid w:val="0"/>
              <w:spacing w:line="560" w:lineRule="exact"/>
              <w:jc w:val="center"/>
              <w:rPr>
                <w:rFonts w:ascii="仿宋_GB2312" w:eastAsia="仿宋_GB2312"/>
                <w:color w:val="auto"/>
                <w:sz w:val="24"/>
                <w:highlight w:val="none"/>
              </w:rPr>
            </w:pPr>
          </w:p>
        </w:tc>
        <w:tc>
          <w:tcPr>
            <w:tcW w:w="1044" w:type="pct"/>
            <w:gridSpan w:val="4"/>
            <w:noWrap w:val="0"/>
            <w:vAlign w:val="center"/>
          </w:tcPr>
          <w:p w14:paraId="572D2560">
            <w:pPr>
              <w:adjustRightInd w:val="0"/>
              <w:snapToGrid w:val="0"/>
              <w:spacing w:line="560" w:lineRule="exact"/>
              <w:jc w:val="center"/>
              <w:rPr>
                <w:rFonts w:ascii="仿宋_GB2312" w:eastAsia="仿宋_GB2312"/>
                <w:color w:val="auto"/>
                <w:sz w:val="24"/>
                <w:highlight w:val="none"/>
              </w:rPr>
            </w:pPr>
            <w:r>
              <w:rPr>
                <w:rFonts w:ascii="仿宋_GB2312" w:eastAsia="仿宋_GB2312"/>
                <w:color w:val="auto"/>
                <w:sz w:val="24"/>
                <w:highlight w:val="none"/>
              </w:rPr>
              <w:t>项目</w:t>
            </w:r>
          </w:p>
        </w:tc>
        <w:tc>
          <w:tcPr>
            <w:tcW w:w="1480" w:type="pct"/>
            <w:gridSpan w:val="2"/>
            <w:noWrap w:val="0"/>
            <w:vAlign w:val="center"/>
          </w:tcPr>
          <w:p w14:paraId="771E3C3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抽测参数</w:t>
            </w:r>
          </w:p>
        </w:tc>
        <w:tc>
          <w:tcPr>
            <w:tcW w:w="903" w:type="pct"/>
            <w:noWrap w:val="0"/>
            <w:vAlign w:val="center"/>
          </w:tcPr>
          <w:p w14:paraId="388E5941">
            <w:pPr>
              <w:adjustRightInd w:val="0"/>
              <w:snapToGrid w:val="0"/>
              <w:spacing w:line="560" w:lineRule="exact"/>
              <w:jc w:val="center"/>
              <w:rPr>
                <w:rFonts w:ascii="仿宋_GB2312" w:eastAsia="仿宋_GB2312"/>
                <w:color w:val="auto"/>
                <w:sz w:val="24"/>
                <w:highlight w:val="none"/>
              </w:rPr>
            </w:pPr>
          </w:p>
        </w:tc>
        <w:tc>
          <w:tcPr>
            <w:tcW w:w="1237" w:type="pct"/>
            <w:noWrap w:val="0"/>
            <w:vAlign w:val="center"/>
          </w:tcPr>
          <w:p w14:paraId="405541DE">
            <w:pPr>
              <w:adjustRightInd w:val="0"/>
              <w:snapToGrid w:val="0"/>
              <w:spacing w:line="560" w:lineRule="exact"/>
              <w:jc w:val="center"/>
              <w:rPr>
                <w:rFonts w:ascii="仿宋_GB2312" w:eastAsia="仿宋_GB2312"/>
                <w:color w:val="auto"/>
                <w:sz w:val="24"/>
                <w:highlight w:val="none"/>
              </w:rPr>
            </w:pPr>
          </w:p>
        </w:tc>
      </w:tr>
      <w:tr w14:paraId="60799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5BC17F1">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61</w:t>
            </w:r>
          </w:p>
        </w:tc>
        <w:tc>
          <w:tcPr>
            <w:tcW w:w="1044" w:type="pct"/>
            <w:gridSpan w:val="4"/>
            <w:vMerge w:val="restart"/>
            <w:noWrap w:val="0"/>
            <w:vAlign w:val="center"/>
          </w:tcPr>
          <w:p w14:paraId="39C362B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通用硅酸盐水泥</w:t>
            </w:r>
          </w:p>
        </w:tc>
        <w:tc>
          <w:tcPr>
            <w:tcW w:w="1480" w:type="pct"/>
            <w:gridSpan w:val="2"/>
            <w:noWrap w:val="0"/>
            <w:vAlign w:val="center"/>
          </w:tcPr>
          <w:p w14:paraId="1648F7CA">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氯离子含量</w:t>
            </w:r>
          </w:p>
        </w:tc>
        <w:tc>
          <w:tcPr>
            <w:tcW w:w="903" w:type="pct"/>
            <w:noWrap w:val="0"/>
            <w:vAlign w:val="center"/>
          </w:tcPr>
          <w:p w14:paraId="30DE404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组</w:t>
            </w:r>
          </w:p>
        </w:tc>
        <w:tc>
          <w:tcPr>
            <w:tcW w:w="1237" w:type="pct"/>
            <w:noWrap w:val="0"/>
            <w:vAlign w:val="center"/>
          </w:tcPr>
          <w:p w14:paraId="6AED2D1D">
            <w:pPr>
              <w:adjustRightInd w:val="0"/>
              <w:snapToGrid w:val="0"/>
              <w:spacing w:line="560" w:lineRule="exact"/>
              <w:jc w:val="center"/>
              <w:rPr>
                <w:rFonts w:ascii="仿宋_GB2312" w:eastAsia="仿宋_GB2312"/>
                <w:color w:val="auto"/>
                <w:sz w:val="24"/>
                <w:highlight w:val="none"/>
              </w:rPr>
            </w:pPr>
          </w:p>
        </w:tc>
      </w:tr>
      <w:tr w14:paraId="3580F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1ED5414F">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62</w:t>
            </w:r>
          </w:p>
        </w:tc>
        <w:tc>
          <w:tcPr>
            <w:tcW w:w="1044" w:type="pct"/>
            <w:gridSpan w:val="4"/>
            <w:vMerge w:val="continue"/>
            <w:noWrap w:val="0"/>
            <w:vAlign w:val="center"/>
          </w:tcPr>
          <w:p w14:paraId="2E4E9DE2">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1C3DAAF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碱含量</w:t>
            </w:r>
          </w:p>
        </w:tc>
        <w:tc>
          <w:tcPr>
            <w:tcW w:w="903" w:type="pct"/>
            <w:noWrap w:val="0"/>
            <w:vAlign w:val="top"/>
          </w:tcPr>
          <w:p w14:paraId="4BC3F53D">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B434A04">
            <w:pPr>
              <w:adjustRightInd w:val="0"/>
              <w:snapToGrid w:val="0"/>
              <w:spacing w:line="560" w:lineRule="exact"/>
              <w:jc w:val="center"/>
              <w:rPr>
                <w:rFonts w:ascii="仿宋_GB2312" w:eastAsia="仿宋_GB2312"/>
                <w:color w:val="auto"/>
                <w:sz w:val="24"/>
                <w:highlight w:val="none"/>
              </w:rPr>
            </w:pPr>
          </w:p>
        </w:tc>
      </w:tr>
      <w:tr w14:paraId="3339C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E1D5D7E">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63</w:t>
            </w:r>
          </w:p>
        </w:tc>
        <w:tc>
          <w:tcPr>
            <w:tcW w:w="1044" w:type="pct"/>
            <w:gridSpan w:val="4"/>
            <w:vMerge w:val="continue"/>
            <w:noWrap w:val="0"/>
            <w:vAlign w:val="center"/>
          </w:tcPr>
          <w:p w14:paraId="783121A0">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1719EF3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强度</w:t>
            </w:r>
          </w:p>
        </w:tc>
        <w:tc>
          <w:tcPr>
            <w:tcW w:w="903" w:type="pct"/>
            <w:noWrap w:val="0"/>
            <w:vAlign w:val="top"/>
          </w:tcPr>
          <w:p w14:paraId="3A7FF243">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B2E9D0B">
            <w:pPr>
              <w:adjustRightInd w:val="0"/>
              <w:snapToGrid w:val="0"/>
              <w:spacing w:line="560" w:lineRule="exact"/>
              <w:jc w:val="center"/>
              <w:rPr>
                <w:rFonts w:ascii="仿宋_GB2312" w:eastAsia="仿宋_GB2312"/>
                <w:color w:val="auto"/>
                <w:sz w:val="24"/>
                <w:highlight w:val="none"/>
              </w:rPr>
            </w:pPr>
          </w:p>
        </w:tc>
      </w:tr>
      <w:tr w14:paraId="56984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EBE97F0">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64</w:t>
            </w:r>
          </w:p>
        </w:tc>
        <w:tc>
          <w:tcPr>
            <w:tcW w:w="1044" w:type="pct"/>
            <w:gridSpan w:val="4"/>
            <w:vMerge w:val="continue"/>
            <w:noWrap w:val="0"/>
            <w:vAlign w:val="center"/>
          </w:tcPr>
          <w:p w14:paraId="68D0ACEA">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481ECBA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安定性</w:t>
            </w:r>
          </w:p>
        </w:tc>
        <w:tc>
          <w:tcPr>
            <w:tcW w:w="903" w:type="pct"/>
            <w:noWrap w:val="0"/>
            <w:vAlign w:val="top"/>
          </w:tcPr>
          <w:p w14:paraId="760CA277">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6B694D4">
            <w:pPr>
              <w:adjustRightInd w:val="0"/>
              <w:snapToGrid w:val="0"/>
              <w:spacing w:line="560" w:lineRule="exact"/>
              <w:jc w:val="center"/>
              <w:rPr>
                <w:rFonts w:ascii="仿宋_GB2312" w:eastAsia="仿宋_GB2312"/>
                <w:color w:val="auto"/>
                <w:sz w:val="24"/>
                <w:highlight w:val="none"/>
              </w:rPr>
            </w:pPr>
          </w:p>
        </w:tc>
      </w:tr>
      <w:tr w14:paraId="1368E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AA91499">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65</w:t>
            </w:r>
          </w:p>
        </w:tc>
        <w:tc>
          <w:tcPr>
            <w:tcW w:w="1044" w:type="pct"/>
            <w:gridSpan w:val="4"/>
            <w:vMerge w:val="continue"/>
            <w:noWrap w:val="0"/>
            <w:vAlign w:val="center"/>
          </w:tcPr>
          <w:p w14:paraId="658D8A4C">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01F14FB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凝结时间</w:t>
            </w:r>
          </w:p>
        </w:tc>
        <w:tc>
          <w:tcPr>
            <w:tcW w:w="903" w:type="pct"/>
            <w:noWrap w:val="0"/>
            <w:vAlign w:val="top"/>
          </w:tcPr>
          <w:p w14:paraId="14E13831">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56A10A29">
            <w:pPr>
              <w:adjustRightInd w:val="0"/>
              <w:snapToGrid w:val="0"/>
              <w:spacing w:line="560" w:lineRule="exact"/>
              <w:jc w:val="center"/>
              <w:rPr>
                <w:rFonts w:ascii="仿宋_GB2312" w:eastAsia="仿宋_GB2312"/>
                <w:color w:val="auto"/>
                <w:sz w:val="24"/>
                <w:highlight w:val="none"/>
              </w:rPr>
            </w:pPr>
          </w:p>
        </w:tc>
      </w:tr>
      <w:tr w14:paraId="1229D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D981A90">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66</w:t>
            </w:r>
          </w:p>
        </w:tc>
        <w:tc>
          <w:tcPr>
            <w:tcW w:w="1044" w:type="pct"/>
            <w:gridSpan w:val="4"/>
            <w:vMerge w:val="continue"/>
            <w:noWrap w:val="0"/>
            <w:vAlign w:val="center"/>
          </w:tcPr>
          <w:p w14:paraId="0B609463">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0D9392D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烧失量</w:t>
            </w:r>
          </w:p>
        </w:tc>
        <w:tc>
          <w:tcPr>
            <w:tcW w:w="903" w:type="pct"/>
            <w:noWrap w:val="0"/>
            <w:vAlign w:val="top"/>
          </w:tcPr>
          <w:p w14:paraId="5CD03C76">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371F4661">
            <w:pPr>
              <w:adjustRightInd w:val="0"/>
              <w:snapToGrid w:val="0"/>
              <w:spacing w:line="560" w:lineRule="exact"/>
              <w:jc w:val="center"/>
              <w:rPr>
                <w:rFonts w:ascii="仿宋_GB2312" w:eastAsia="仿宋_GB2312"/>
                <w:color w:val="auto"/>
                <w:sz w:val="24"/>
                <w:highlight w:val="none"/>
              </w:rPr>
            </w:pPr>
          </w:p>
        </w:tc>
      </w:tr>
      <w:tr w14:paraId="79195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3828F61">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67</w:t>
            </w:r>
          </w:p>
        </w:tc>
        <w:tc>
          <w:tcPr>
            <w:tcW w:w="1044" w:type="pct"/>
            <w:gridSpan w:val="4"/>
            <w:vMerge w:val="continue"/>
            <w:noWrap w:val="0"/>
            <w:vAlign w:val="center"/>
          </w:tcPr>
          <w:p w14:paraId="736F07B3">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48D43165">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细度</w:t>
            </w:r>
          </w:p>
        </w:tc>
        <w:tc>
          <w:tcPr>
            <w:tcW w:w="903" w:type="pct"/>
            <w:noWrap w:val="0"/>
            <w:vAlign w:val="top"/>
          </w:tcPr>
          <w:p w14:paraId="0ABA7F28">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5AF8D5DC">
            <w:pPr>
              <w:adjustRightInd w:val="0"/>
              <w:snapToGrid w:val="0"/>
              <w:spacing w:line="560" w:lineRule="exact"/>
              <w:jc w:val="center"/>
              <w:rPr>
                <w:rFonts w:ascii="仿宋_GB2312" w:eastAsia="仿宋_GB2312"/>
                <w:color w:val="auto"/>
                <w:sz w:val="24"/>
                <w:highlight w:val="none"/>
              </w:rPr>
            </w:pPr>
          </w:p>
        </w:tc>
      </w:tr>
      <w:tr w14:paraId="21FB5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5CD54D9">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68</w:t>
            </w:r>
          </w:p>
        </w:tc>
        <w:tc>
          <w:tcPr>
            <w:tcW w:w="1044" w:type="pct"/>
            <w:gridSpan w:val="4"/>
            <w:vMerge w:val="continue"/>
            <w:noWrap w:val="0"/>
            <w:vAlign w:val="center"/>
          </w:tcPr>
          <w:p w14:paraId="5D471C0F">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23242E9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氧化镁含量</w:t>
            </w:r>
          </w:p>
        </w:tc>
        <w:tc>
          <w:tcPr>
            <w:tcW w:w="903" w:type="pct"/>
            <w:noWrap w:val="0"/>
            <w:vAlign w:val="top"/>
          </w:tcPr>
          <w:p w14:paraId="0B6550CE">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7CB71AF">
            <w:pPr>
              <w:adjustRightInd w:val="0"/>
              <w:snapToGrid w:val="0"/>
              <w:spacing w:line="560" w:lineRule="exact"/>
              <w:jc w:val="center"/>
              <w:rPr>
                <w:rFonts w:ascii="仿宋_GB2312" w:eastAsia="仿宋_GB2312"/>
                <w:color w:val="auto"/>
                <w:sz w:val="24"/>
                <w:highlight w:val="none"/>
              </w:rPr>
            </w:pPr>
          </w:p>
        </w:tc>
      </w:tr>
      <w:tr w14:paraId="52CBF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0484470">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69</w:t>
            </w:r>
          </w:p>
        </w:tc>
        <w:tc>
          <w:tcPr>
            <w:tcW w:w="1044" w:type="pct"/>
            <w:gridSpan w:val="4"/>
            <w:vMerge w:val="continue"/>
            <w:noWrap w:val="0"/>
            <w:vAlign w:val="center"/>
          </w:tcPr>
          <w:p w14:paraId="51DE6656">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6D62E9D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三氧化硫含量</w:t>
            </w:r>
          </w:p>
        </w:tc>
        <w:tc>
          <w:tcPr>
            <w:tcW w:w="903" w:type="pct"/>
            <w:noWrap w:val="0"/>
            <w:vAlign w:val="top"/>
          </w:tcPr>
          <w:p w14:paraId="6F0B4888">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3E962E4D">
            <w:pPr>
              <w:adjustRightInd w:val="0"/>
              <w:snapToGrid w:val="0"/>
              <w:spacing w:line="560" w:lineRule="exact"/>
              <w:jc w:val="center"/>
              <w:rPr>
                <w:rFonts w:ascii="仿宋_GB2312" w:eastAsia="仿宋_GB2312"/>
                <w:color w:val="auto"/>
                <w:sz w:val="24"/>
                <w:highlight w:val="none"/>
              </w:rPr>
            </w:pPr>
          </w:p>
        </w:tc>
      </w:tr>
      <w:tr w14:paraId="03294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DAF83AB">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70</w:t>
            </w:r>
          </w:p>
        </w:tc>
        <w:tc>
          <w:tcPr>
            <w:tcW w:w="1044" w:type="pct"/>
            <w:gridSpan w:val="4"/>
            <w:noWrap w:val="0"/>
            <w:vAlign w:val="center"/>
          </w:tcPr>
          <w:p w14:paraId="3D0B4DD2">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建筑用卵石、碎石</w:t>
            </w:r>
          </w:p>
        </w:tc>
        <w:tc>
          <w:tcPr>
            <w:tcW w:w="1480" w:type="pct"/>
            <w:gridSpan w:val="2"/>
            <w:noWrap w:val="0"/>
            <w:vAlign w:val="center"/>
          </w:tcPr>
          <w:p w14:paraId="6F094CA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颗粒级配、泥块含量、含泥量、针片状颗粒含量、压碎指标</w:t>
            </w:r>
          </w:p>
        </w:tc>
        <w:tc>
          <w:tcPr>
            <w:tcW w:w="903" w:type="pct"/>
            <w:noWrap w:val="0"/>
            <w:vAlign w:val="center"/>
          </w:tcPr>
          <w:p w14:paraId="6937319B">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5C040594">
            <w:pPr>
              <w:adjustRightInd w:val="0"/>
              <w:snapToGrid w:val="0"/>
              <w:spacing w:line="560" w:lineRule="exact"/>
              <w:jc w:val="center"/>
              <w:rPr>
                <w:rFonts w:ascii="仿宋_GB2312" w:eastAsia="仿宋_GB2312"/>
                <w:color w:val="auto"/>
                <w:sz w:val="24"/>
                <w:highlight w:val="none"/>
              </w:rPr>
            </w:pPr>
          </w:p>
        </w:tc>
      </w:tr>
      <w:tr w14:paraId="23ED3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28171B02">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71</w:t>
            </w:r>
          </w:p>
        </w:tc>
        <w:tc>
          <w:tcPr>
            <w:tcW w:w="1044" w:type="pct"/>
            <w:gridSpan w:val="4"/>
            <w:noWrap w:val="0"/>
            <w:vAlign w:val="center"/>
          </w:tcPr>
          <w:p w14:paraId="3F683FF1">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建筑用砂</w:t>
            </w:r>
          </w:p>
        </w:tc>
        <w:tc>
          <w:tcPr>
            <w:tcW w:w="1480" w:type="pct"/>
            <w:gridSpan w:val="2"/>
            <w:noWrap w:val="0"/>
            <w:vAlign w:val="center"/>
          </w:tcPr>
          <w:p w14:paraId="1C89482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颗粒级配、含泥量、泥块含量、堆积密度、云母含量、氯化物含量</w:t>
            </w:r>
          </w:p>
        </w:tc>
        <w:tc>
          <w:tcPr>
            <w:tcW w:w="903" w:type="pct"/>
            <w:noWrap w:val="0"/>
            <w:vAlign w:val="top"/>
          </w:tcPr>
          <w:p w14:paraId="2F34357C">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1D937457">
            <w:pPr>
              <w:adjustRightInd w:val="0"/>
              <w:snapToGrid w:val="0"/>
              <w:spacing w:line="560" w:lineRule="exact"/>
              <w:jc w:val="center"/>
              <w:rPr>
                <w:rFonts w:ascii="仿宋_GB2312" w:eastAsia="仿宋_GB2312"/>
                <w:color w:val="auto"/>
                <w:sz w:val="24"/>
                <w:highlight w:val="none"/>
              </w:rPr>
            </w:pPr>
          </w:p>
        </w:tc>
      </w:tr>
      <w:tr w14:paraId="79046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6BB198A">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72</w:t>
            </w:r>
          </w:p>
        </w:tc>
        <w:tc>
          <w:tcPr>
            <w:tcW w:w="1044" w:type="pct"/>
            <w:gridSpan w:val="4"/>
            <w:vMerge w:val="restart"/>
            <w:noWrap w:val="0"/>
            <w:vAlign w:val="center"/>
          </w:tcPr>
          <w:p w14:paraId="03AFC9F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混凝土配合比验证</w:t>
            </w:r>
          </w:p>
        </w:tc>
        <w:tc>
          <w:tcPr>
            <w:tcW w:w="1480" w:type="pct"/>
            <w:gridSpan w:val="2"/>
            <w:noWrap w:val="0"/>
            <w:vAlign w:val="center"/>
          </w:tcPr>
          <w:p w14:paraId="2F6B838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养护</w:t>
            </w:r>
          </w:p>
        </w:tc>
        <w:tc>
          <w:tcPr>
            <w:tcW w:w="903" w:type="pct"/>
            <w:noWrap w:val="0"/>
            <w:vAlign w:val="top"/>
          </w:tcPr>
          <w:p w14:paraId="52F45A1E">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1436123">
            <w:pPr>
              <w:adjustRightInd w:val="0"/>
              <w:snapToGrid w:val="0"/>
              <w:spacing w:line="560" w:lineRule="exact"/>
              <w:jc w:val="center"/>
              <w:rPr>
                <w:rFonts w:ascii="仿宋_GB2312" w:eastAsia="仿宋_GB2312"/>
                <w:color w:val="auto"/>
                <w:sz w:val="24"/>
                <w:highlight w:val="none"/>
              </w:rPr>
            </w:pPr>
          </w:p>
        </w:tc>
      </w:tr>
      <w:tr w14:paraId="48ACD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34" w:type="pct"/>
            <w:noWrap w:val="0"/>
            <w:vAlign w:val="center"/>
          </w:tcPr>
          <w:p w14:paraId="623543DA">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73</w:t>
            </w:r>
          </w:p>
        </w:tc>
        <w:tc>
          <w:tcPr>
            <w:tcW w:w="1044" w:type="pct"/>
            <w:gridSpan w:val="4"/>
            <w:vMerge w:val="continue"/>
            <w:noWrap w:val="0"/>
            <w:vAlign w:val="center"/>
          </w:tcPr>
          <w:p w14:paraId="351DE948">
            <w:pPr>
              <w:adjustRightInd w:val="0"/>
              <w:snapToGrid w:val="0"/>
              <w:spacing w:line="560" w:lineRule="exact"/>
              <w:jc w:val="center"/>
              <w:rPr>
                <w:rFonts w:ascii="仿宋_GB2312" w:eastAsia="仿宋_GB2312"/>
                <w:color w:val="auto"/>
                <w:sz w:val="24"/>
                <w:highlight w:val="none"/>
              </w:rPr>
            </w:pPr>
          </w:p>
        </w:tc>
        <w:tc>
          <w:tcPr>
            <w:tcW w:w="1480" w:type="pct"/>
            <w:gridSpan w:val="2"/>
            <w:noWrap w:val="0"/>
            <w:vAlign w:val="center"/>
          </w:tcPr>
          <w:p w14:paraId="6BD8EB5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拆模</w:t>
            </w:r>
          </w:p>
        </w:tc>
        <w:tc>
          <w:tcPr>
            <w:tcW w:w="903" w:type="pct"/>
            <w:noWrap w:val="0"/>
            <w:vAlign w:val="top"/>
          </w:tcPr>
          <w:p w14:paraId="1C03905F">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572B98BC">
            <w:pPr>
              <w:adjustRightInd w:val="0"/>
              <w:snapToGrid w:val="0"/>
              <w:spacing w:line="560" w:lineRule="exact"/>
              <w:jc w:val="center"/>
              <w:rPr>
                <w:rFonts w:ascii="仿宋_GB2312" w:eastAsia="仿宋_GB2312"/>
                <w:color w:val="auto"/>
                <w:sz w:val="24"/>
                <w:highlight w:val="none"/>
              </w:rPr>
            </w:pPr>
          </w:p>
        </w:tc>
      </w:tr>
      <w:tr w14:paraId="70C79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057DFF3">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74</w:t>
            </w:r>
          </w:p>
        </w:tc>
        <w:tc>
          <w:tcPr>
            <w:tcW w:w="1040" w:type="pct"/>
            <w:gridSpan w:val="3"/>
            <w:noWrap w:val="0"/>
            <w:vAlign w:val="center"/>
          </w:tcPr>
          <w:p w14:paraId="28DE09F7">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386E95E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抗压强度</w:t>
            </w:r>
          </w:p>
        </w:tc>
        <w:tc>
          <w:tcPr>
            <w:tcW w:w="903" w:type="pct"/>
            <w:noWrap w:val="0"/>
            <w:vAlign w:val="top"/>
          </w:tcPr>
          <w:p w14:paraId="50AF952A">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6B545D69">
            <w:pPr>
              <w:adjustRightInd w:val="0"/>
              <w:snapToGrid w:val="0"/>
              <w:spacing w:line="560" w:lineRule="exact"/>
              <w:jc w:val="center"/>
              <w:rPr>
                <w:rFonts w:ascii="仿宋_GB2312" w:eastAsia="仿宋_GB2312"/>
                <w:color w:val="auto"/>
                <w:sz w:val="24"/>
                <w:highlight w:val="none"/>
              </w:rPr>
            </w:pPr>
          </w:p>
        </w:tc>
      </w:tr>
      <w:tr w14:paraId="19CAE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756220D0">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75</w:t>
            </w:r>
          </w:p>
        </w:tc>
        <w:tc>
          <w:tcPr>
            <w:tcW w:w="1040" w:type="pct"/>
            <w:gridSpan w:val="3"/>
            <w:vMerge w:val="restart"/>
            <w:noWrap w:val="0"/>
            <w:vAlign w:val="center"/>
          </w:tcPr>
          <w:p w14:paraId="58B9EC6D">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砂浆土配合比验证</w:t>
            </w:r>
          </w:p>
        </w:tc>
        <w:tc>
          <w:tcPr>
            <w:tcW w:w="1483" w:type="pct"/>
            <w:gridSpan w:val="3"/>
            <w:noWrap w:val="0"/>
            <w:vAlign w:val="center"/>
          </w:tcPr>
          <w:p w14:paraId="1CA7621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养护</w:t>
            </w:r>
          </w:p>
        </w:tc>
        <w:tc>
          <w:tcPr>
            <w:tcW w:w="903" w:type="pct"/>
            <w:noWrap w:val="0"/>
            <w:vAlign w:val="center"/>
          </w:tcPr>
          <w:p w14:paraId="54370844">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004FE2CA">
            <w:pPr>
              <w:adjustRightInd w:val="0"/>
              <w:snapToGrid w:val="0"/>
              <w:spacing w:line="560" w:lineRule="exact"/>
              <w:jc w:val="center"/>
              <w:rPr>
                <w:rFonts w:ascii="仿宋_GB2312" w:eastAsia="仿宋_GB2312"/>
                <w:color w:val="auto"/>
                <w:sz w:val="24"/>
                <w:highlight w:val="none"/>
              </w:rPr>
            </w:pPr>
          </w:p>
        </w:tc>
      </w:tr>
      <w:tr w14:paraId="0271B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487B547">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76</w:t>
            </w:r>
          </w:p>
        </w:tc>
        <w:tc>
          <w:tcPr>
            <w:tcW w:w="1040" w:type="pct"/>
            <w:gridSpan w:val="3"/>
            <w:vMerge w:val="continue"/>
            <w:noWrap w:val="0"/>
            <w:vAlign w:val="center"/>
          </w:tcPr>
          <w:p w14:paraId="17DFE2A6">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2F592B2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拆模</w:t>
            </w:r>
          </w:p>
        </w:tc>
        <w:tc>
          <w:tcPr>
            <w:tcW w:w="903" w:type="pct"/>
            <w:noWrap w:val="0"/>
            <w:vAlign w:val="center"/>
          </w:tcPr>
          <w:p w14:paraId="6DEE2FEA">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2CDA159">
            <w:pPr>
              <w:adjustRightInd w:val="0"/>
              <w:snapToGrid w:val="0"/>
              <w:spacing w:line="560" w:lineRule="exact"/>
              <w:jc w:val="center"/>
              <w:rPr>
                <w:rFonts w:ascii="仿宋_GB2312" w:eastAsia="仿宋_GB2312"/>
                <w:color w:val="auto"/>
                <w:sz w:val="24"/>
                <w:highlight w:val="none"/>
              </w:rPr>
            </w:pPr>
          </w:p>
        </w:tc>
      </w:tr>
      <w:tr w14:paraId="2DB2F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011B290C">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77</w:t>
            </w:r>
          </w:p>
        </w:tc>
        <w:tc>
          <w:tcPr>
            <w:tcW w:w="1040" w:type="pct"/>
            <w:gridSpan w:val="3"/>
            <w:vMerge w:val="continue"/>
            <w:noWrap w:val="0"/>
            <w:vAlign w:val="center"/>
          </w:tcPr>
          <w:p w14:paraId="23325F12">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4798215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抗压强度</w:t>
            </w:r>
          </w:p>
        </w:tc>
        <w:tc>
          <w:tcPr>
            <w:tcW w:w="903" w:type="pct"/>
            <w:noWrap w:val="0"/>
            <w:vAlign w:val="center"/>
          </w:tcPr>
          <w:p w14:paraId="2DDB6255">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5BBEE01F">
            <w:pPr>
              <w:adjustRightInd w:val="0"/>
              <w:snapToGrid w:val="0"/>
              <w:spacing w:line="560" w:lineRule="exact"/>
              <w:jc w:val="center"/>
              <w:rPr>
                <w:rFonts w:ascii="仿宋_GB2312" w:eastAsia="仿宋_GB2312"/>
                <w:color w:val="auto"/>
                <w:sz w:val="24"/>
                <w:highlight w:val="none"/>
              </w:rPr>
            </w:pPr>
          </w:p>
        </w:tc>
      </w:tr>
      <w:tr w14:paraId="65389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67A28E3C">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78</w:t>
            </w:r>
          </w:p>
        </w:tc>
        <w:tc>
          <w:tcPr>
            <w:tcW w:w="1040" w:type="pct"/>
            <w:gridSpan w:val="3"/>
            <w:vMerge w:val="restart"/>
            <w:noWrap w:val="0"/>
            <w:vAlign w:val="center"/>
          </w:tcPr>
          <w:p w14:paraId="771D19C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混凝土外加剂</w:t>
            </w:r>
          </w:p>
        </w:tc>
        <w:tc>
          <w:tcPr>
            <w:tcW w:w="1483" w:type="pct"/>
            <w:gridSpan w:val="3"/>
            <w:noWrap w:val="0"/>
            <w:vAlign w:val="center"/>
          </w:tcPr>
          <w:p w14:paraId="1ECBCD60">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氯离子含量</w:t>
            </w:r>
          </w:p>
        </w:tc>
        <w:tc>
          <w:tcPr>
            <w:tcW w:w="903" w:type="pct"/>
            <w:noWrap w:val="0"/>
            <w:vAlign w:val="center"/>
          </w:tcPr>
          <w:p w14:paraId="1C112D7D">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64A2697F">
            <w:pPr>
              <w:adjustRightInd w:val="0"/>
              <w:snapToGrid w:val="0"/>
              <w:spacing w:line="560" w:lineRule="exact"/>
              <w:jc w:val="center"/>
              <w:rPr>
                <w:rFonts w:ascii="仿宋_GB2312" w:eastAsia="仿宋_GB2312"/>
                <w:color w:val="auto"/>
                <w:sz w:val="24"/>
                <w:highlight w:val="none"/>
              </w:rPr>
            </w:pPr>
          </w:p>
        </w:tc>
      </w:tr>
      <w:tr w14:paraId="5E02B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01BCD53">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79</w:t>
            </w:r>
          </w:p>
        </w:tc>
        <w:tc>
          <w:tcPr>
            <w:tcW w:w="1040" w:type="pct"/>
            <w:gridSpan w:val="3"/>
            <w:vMerge w:val="continue"/>
            <w:noWrap w:val="0"/>
            <w:vAlign w:val="center"/>
          </w:tcPr>
          <w:p w14:paraId="5B5B2A4B">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53985C0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碱含量</w:t>
            </w:r>
          </w:p>
        </w:tc>
        <w:tc>
          <w:tcPr>
            <w:tcW w:w="903" w:type="pct"/>
            <w:noWrap w:val="0"/>
            <w:vAlign w:val="center"/>
          </w:tcPr>
          <w:p w14:paraId="0F9632C5">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7B0B1A57">
            <w:pPr>
              <w:adjustRightInd w:val="0"/>
              <w:snapToGrid w:val="0"/>
              <w:spacing w:line="560" w:lineRule="exact"/>
              <w:jc w:val="center"/>
              <w:rPr>
                <w:rFonts w:ascii="仿宋_GB2312" w:eastAsia="仿宋_GB2312"/>
                <w:color w:val="auto"/>
                <w:sz w:val="24"/>
                <w:highlight w:val="none"/>
              </w:rPr>
            </w:pPr>
          </w:p>
        </w:tc>
      </w:tr>
      <w:tr w14:paraId="4189A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889FD25">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80</w:t>
            </w:r>
          </w:p>
        </w:tc>
        <w:tc>
          <w:tcPr>
            <w:tcW w:w="1040" w:type="pct"/>
            <w:gridSpan w:val="3"/>
            <w:vMerge w:val="continue"/>
            <w:noWrap w:val="0"/>
            <w:vAlign w:val="center"/>
          </w:tcPr>
          <w:p w14:paraId="25A176B8">
            <w:pPr>
              <w:adjustRightInd w:val="0"/>
              <w:snapToGrid w:val="0"/>
              <w:spacing w:line="560" w:lineRule="exact"/>
              <w:jc w:val="center"/>
              <w:rPr>
                <w:rFonts w:ascii="仿宋_GB2312" w:eastAsia="仿宋_GB2312"/>
                <w:color w:val="auto"/>
                <w:sz w:val="24"/>
                <w:highlight w:val="none"/>
              </w:rPr>
            </w:pPr>
          </w:p>
        </w:tc>
        <w:tc>
          <w:tcPr>
            <w:tcW w:w="1483" w:type="pct"/>
            <w:gridSpan w:val="3"/>
            <w:noWrap w:val="0"/>
            <w:vAlign w:val="center"/>
          </w:tcPr>
          <w:p w14:paraId="5707C75C">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密度</w:t>
            </w:r>
          </w:p>
        </w:tc>
        <w:tc>
          <w:tcPr>
            <w:tcW w:w="903" w:type="pct"/>
            <w:noWrap w:val="0"/>
            <w:vAlign w:val="center"/>
          </w:tcPr>
          <w:p w14:paraId="7AC8E097">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2A305625">
            <w:pPr>
              <w:adjustRightInd w:val="0"/>
              <w:snapToGrid w:val="0"/>
              <w:spacing w:line="560" w:lineRule="exact"/>
              <w:jc w:val="center"/>
              <w:rPr>
                <w:rFonts w:ascii="仿宋_GB2312" w:eastAsia="仿宋_GB2312"/>
                <w:color w:val="auto"/>
                <w:sz w:val="24"/>
                <w:highlight w:val="none"/>
              </w:rPr>
            </w:pPr>
          </w:p>
        </w:tc>
      </w:tr>
      <w:tr w14:paraId="7356E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A9D24B2">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81</w:t>
            </w:r>
          </w:p>
        </w:tc>
        <w:tc>
          <w:tcPr>
            <w:tcW w:w="1040" w:type="pct"/>
            <w:gridSpan w:val="3"/>
            <w:noWrap w:val="0"/>
            <w:vAlign w:val="center"/>
          </w:tcPr>
          <w:p w14:paraId="333FDF4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粉煤灰</w:t>
            </w:r>
          </w:p>
        </w:tc>
        <w:tc>
          <w:tcPr>
            <w:tcW w:w="1483" w:type="pct"/>
            <w:gridSpan w:val="3"/>
            <w:noWrap w:val="0"/>
            <w:vAlign w:val="center"/>
          </w:tcPr>
          <w:p w14:paraId="35C5B8A9">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细度、吸水量比、烧失量、三氧化硫含量</w:t>
            </w:r>
          </w:p>
        </w:tc>
        <w:tc>
          <w:tcPr>
            <w:tcW w:w="903" w:type="pct"/>
            <w:noWrap w:val="0"/>
            <w:vAlign w:val="center"/>
          </w:tcPr>
          <w:p w14:paraId="79ADE88A">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6CDB3D7E">
            <w:pPr>
              <w:adjustRightInd w:val="0"/>
              <w:snapToGrid w:val="0"/>
              <w:spacing w:line="560" w:lineRule="exact"/>
              <w:jc w:val="center"/>
              <w:rPr>
                <w:rFonts w:ascii="仿宋_GB2312" w:eastAsia="仿宋_GB2312"/>
                <w:color w:val="auto"/>
                <w:sz w:val="24"/>
                <w:highlight w:val="none"/>
              </w:rPr>
            </w:pPr>
          </w:p>
        </w:tc>
      </w:tr>
      <w:tr w14:paraId="2E7EC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368FAFAC">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82</w:t>
            </w:r>
          </w:p>
        </w:tc>
        <w:tc>
          <w:tcPr>
            <w:tcW w:w="1040" w:type="pct"/>
            <w:gridSpan w:val="3"/>
            <w:noWrap w:val="0"/>
            <w:vAlign w:val="center"/>
          </w:tcPr>
          <w:p w14:paraId="7B489467">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减水剂</w:t>
            </w:r>
          </w:p>
        </w:tc>
        <w:tc>
          <w:tcPr>
            <w:tcW w:w="1483" w:type="pct"/>
            <w:gridSpan w:val="3"/>
            <w:noWrap w:val="0"/>
            <w:vAlign w:val="center"/>
          </w:tcPr>
          <w:p w14:paraId="559CBEB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减水率、泌水率比、凝结时间差、坍落度1h经时变化量、抗压强度比</w:t>
            </w:r>
          </w:p>
        </w:tc>
        <w:tc>
          <w:tcPr>
            <w:tcW w:w="903" w:type="pct"/>
            <w:noWrap w:val="0"/>
            <w:vAlign w:val="center"/>
          </w:tcPr>
          <w:p w14:paraId="40B47778">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03F3EC94">
            <w:pPr>
              <w:adjustRightInd w:val="0"/>
              <w:snapToGrid w:val="0"/>
              <w:spacing w:line="560" w:lineRule="exact"/>
              <w:jc w:val="center"/>
              <w:rPr>
                <w:rFonts w:ascii="仿宋_GB2312" w:eastAsia="仿宋_GB2312"/>
                <w:color w:val="auto"/>
                <w:sz w:val="24"/>
                <w:highlight w:val="none"/>
              </w:rPr>
            </w:pPr>
          </w:p>
        </w:tc>
      </w:tr>
      <w:tr w14:paraId="2CA34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26B74D8">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83</w:t>
            </w:r>
          </w:p>
        </w:tc>
        <w:tc>
          <w:tcPr>
            <w:tcW w:w="1040" w:type="pct"/>
            <w:gridSpan w:val="3"/>
            <w:noWrap w:val="0"/>
            <w:vAlign w:val="center"/>
          </w:tcPr>
          <w:p w14:paraId="0AA57983">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泵送剂</w:t>
            </w:r>
          </w:p>
        </w:tc>
        <w:tc>
          <w:tcPr>
            <w:tcW w:w="1483" w:type="pct"/>
            <w:gridSpan w:val="3"/>
            <w:noWrap w:val="0"/>
            <w:vAlign w:val="center"/>
          </w:tcPr>
          <w:p w14:paraId="70F373D8">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减水率、泌水率比、凝结时间差、坍落度1h经时变化量</w:t>
            </w:r>
          </w:p>
        </w:tc>
        <w:tc>
          <w:tcPr>
            <w:tcW w:w="903" w:type="pct"/>
            <w:noWrap w:val="0"/>
            <w:vAlign w:val="center"/>
          </w:tcPr>
          <w:p w14:paraId="0D880404">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65D50920">
            <w:pPr>
              <w:adjustRightInd w:val="0"/>
              <w:snapToGrid w:val="0"/>
              <w:spacing w:line="560" w:lineRule="exact"/>
              <w:jc w:val="center"/>
              <w:rPr>
                <w:rFonts w:ascii="仿宋_GB2312" w:eastAsia="仿宋_GB2312"/>
                <w:color w:val="auto"/>
                <w:sz w:val="24"/>
                <w:highlight w:val="none"/>
              </w:rPr>
            </w:pPr>
          </w:p>
        </w:tc>
      </w:tr>
      <w:tr w14:paraId="07C1A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41DCFF4E">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84</w:t>
            </w:r>
          </w:p>
        </w:tc>
        <w:tc>
          <w:tcPr>
            <w:tcW w:w="1040" w:type="pct"/>
            <w:gridSpan w:val="3"/>
            <w:noWrap w:val="0"/>
            <w:vAlign w:val="center"/>
          </w:tcPr>
          <w:p w14:paraId="12C25DBB">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混凝土膨胀剂</w:t>
            </w:r>
          </w:p>
        </w:tc>
        <w:tc>
          <w:tcPr>
            <w:tcW w:w="1483" w:type="pct"/>
            <w:gridSpan w:val="3"/>
            <w:noWrap w:val="0"/>
            <w:vAlign w:val="center"/>
          </w:tcPr>
          <w:p w14:paraId="7736DF54">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凝结时间、抗压强度</w:t>
            </w:r>
          </w:p>
        </w:tc>
        <w:tc>
          <w:tcPr>
            <w:tcW w:w="903" w:type="pct"/>
            <w:noWrap w:val="0"/>
            <w:vAlign w:val="center"/>
          </w:tcPr>
          <w:p w14:paraId="0FD0BBB1">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1A888BD7">
            <w:pPr>
              <w:adjustRightInd w:val="0"/>
              <w:snapToGrid w:val="0"/>
              <w:spacing w:line="560" w:lineRule="exact"/>
              <w:jc w:val="center"/>
              <w:rPr>
                <w:rFonts w:ascii="仿宋_GB2312" w:eastAsia="仿宋_GB2312"/>
                <w:color w:val="auto"/>
                <w:sz w:val="24"/>
                <w:highlight w:val="none"/>
              </w:rPr>
            </w:pPr>
          </w:p>
        </w:tc>
      </w:tr>
      <w:tr w14:paraId="2BF55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334" w:type="pct"/>
            <w:noWrap w:val="0"/>
            <w:vAlign w:val="center"/>
          </w:tcPr>
          <w:p w14:paraId="505D45AE">
            <w:pPr>
              <w:adjustRightInd w:val="0"/>
              <w:snapToGrid w:val="0"/>
              <w:spacing w:line="560" w:lineRule="exact"/>
              <w:rPr>
                <w:rFonts w:ascii="仿宋_GB2312" w:eastAsia="仿宋_GB2312"/>
                <w:color w:val="auto"/>
                <w:sz w:val="24"/>
                <w:highlight w:val="none"/>
              </w:rPr>
            </w:pPr>
            <w:r>
              <w:rPr>
                <w:rFonts w:hint="eastAsia" w:ascii="仿宋_GB2312" w:eastAsia="仿宋_GB2312"/>
                <w:color w:val="auto"/>
                <w:sz w:val="24"/>
                <w:highlight w:val="none"/>
              </w:rPr>
              <w:t>85</w:t>
            </w:r>
          </w:p>
        </w:tc>
        <w:tc>
          <w:tcPr>
            <w:tcW w:w="1040" w:type="pct"/>
            <w:gridSpan w:val="3"/>
            <w:noWrap w:val="0"/>
            <w:vAlign w:val="center"/>
          </w:tcPr>
          <w:p w14:paraId="7D11B70E">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矿渣粉</w:t>
            </w:r>
          </w:p>
        </w:tc>
        <w:tc>
          <w:tcPr>
            <w:tcW w:w="1483" w:type="pct"/>
            <w:gridSpan w:val="3"/>
            <w:noWrap w:val="0"/>
            <w:vAlign w:val="center"/>
          </w:tcPr>
          <w:p w14:paraId="41DE6A1F">
            <w:pPr>
              <w:adjustRightInd w:val="0"/>
              <w:snapToGrid w:val="0"/>
              <w:spacing w:line="560" w:lineRule="exact"/>
              <w:jc w:val="center"/>
              <w:rPr>
                <w:rFonts w:ascii="仿宋_GB2312" w:eastAsia="仿宋_GB2312"/>
                <w:color w:val="auto"/>
                <w:sz w:val="24"/>
                <w:highlight w:val="none"/>
              </w:rPr>
            </w:pPr>
            <w:r>
              <w:rPr>
                <w:rFonts w:hint="eastAsia" w:ascii="仿宋_GB2312" w:eastAsia="仿宋_GB2312"/>
                <w:color w:val="auto"/>
                <w:sz w:val="24"/>
                <w:highlight w:val="none"/>
              </w:rPr>
              <w:t>烧失量、三氧化硫含量、氯离子含量、比表面积、活性指数、流动度比、初凝时间比、含水量</w:t>
            </w:r>
          </w:p>
        </w:tc>
        <w:tc>
          <w:tcPr>
            <w:tcW w:w="903" w:type="pct"/>
            <w:noWrap w:val="0"/>
            <w:vAlign w:val="center"/>
          </w:tcPr>
          <w:p w14:paraId="1FBD5E81">
            <w:pPr>
              <w:spacing w:line="560" w:lineRule="exact"/>
              <w:jc w:val="center"/>
              <w:rPr>
                <w:color w:val="auto"/>
                <w:highlight w:val="none"/>
              </w:rPr>
            </w:pPr>
            <w:r>
              <w:rPr>
                <w:rFonts w:hint="eastAsia" w:ascii="仿宋_GB2312" w:eastAsia="仿宋_GB2312"/>
                <w:color w:val="auto"/>
                <w:sz w:val="24"/>
                <w:highlight w:val="none"/>
              </w:rPr>
              <w:t>组</w:t>
            </w:r>
          </w:p>
        </w:tc>
        <w:tc>
          <w:tcPr>
            <w:tcW w:w="1237" w:type="pct"/>
            <w:noWrap w:val="0"/>
            <w:vAlign w:val="center"/>
          </w:tcPr>
          <w:p w14:paraId="71D3F02C">
            <w:pPr>
              <w:adjustRightInd w:val="0"/>
              <w:snapToGrid w:val="0"/>
              <w:spacing w:line="560" w:lineRule="exact"/>
              <w:jc w:val="center"/>
              <w:rPr>
                <w:rFonts w:ascii="仿宋_GB2312" w:eastAsia="仿宋_GB2312"/>
                <w:color w:val="auto"/>
                <w:sz w:val="24"/>
                <w:highlight w:val="none"/>
              </w:rPr>
            </w:pPr>
          </w:p>
        </w:tc>
      </w:tr>
    </w:tbl>
    <w:p w14:paraId="2CBD4A3F">
      <w:pPr>
        <w:pStyle w:val="9"/>
        <w:widowControl/>
        <w:numPr>
          <w:ilvl w:val="0"/>
          <w:numId w:val="1"/>
        </w:numPr>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合同价格包括但不限于完成检测任务并按要求出具相应数量成果所需要的全部费用，完成本项目的</w:t>
      </w:r>
      <w:r>
        <w:rPr>
          <w:rFonts w:hint="eastAsia" w:ascii="仿宋" w:hAnsi="仿宋" w:cs="仿宋"/>
          <w:color w:val="auto"/>
          <w:szCs w:val="28"/>
          <w:highlight w:val="none"/>
          <w:lang w:eastAsia="zh-CN"/>
        </w:rPr>
        <w:t>直接费和间接费</w:t>
      </w:r>
      <w:r>
        <w:rPr>
          <w:rFonts w:hint="default" w:ascii="仿宋" w:hAnsi="仿宋" w:cs="仿宋"/>
          <w:color w:val="auto"/>
          <w:szCs w:val="28"/>
          <w:highlight w:val="none"/>
        </w:rPr>
        <w:t>、税金等一切费用。</w:t>
      </w:r>
    </w:p>
    <w:p w14:paraId="50B489D4">
      <w:pPr>
        <w:pStyle w:val="9"/>
        <w:widowControl/>
        <w:numPr>
          <w:ilvl w:val="0"/>
          <w:numId w:val="1"/>
        </w:numPr>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投标报价表中标明的单价，在合同执行过程中，不得以任何理由变更。最终按实际发生量结算。</w:t>
      </w:r>
    </w:p>
    <w:p w14:paraId="4BBB3A1E">
      <w:pPr>
        <w:pStyle w:val="4"/>
        <w:spacing w:line="560" w:lineRule="exact"/>
        <w:ind w:firstLine="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四、费用结算</w:t>
      </w:r>
    </w:p>
    <w:p w14:paraId="19AD7D6A">
      <w:pPr>
        <w:pStyle w:val="9"/>
        <w:widowControl/>
        <w:spacing w:line="560" w:lineRule="exact"/>
        <w:ind w:firstLine="560"/>
        <w:rPr>
          <w:rFonts w:hint="default" w:ascii="仿宋" w:hAnsi="仿宋" w:cs="仿宋"/>
          <w:color w:val="auto"/>
          <w:szCs w:val="28"/>
          <w:highlight w:val="none"/>
        </w:rPr>
      </w:pPr>
      <w:r>
        <w:rPr>
          <w:rFonts w:ascii="仿宋" w:hAnsi="仿宋" w:cs="仿宋"/>
          <w:color w:val="auto"/>
          <w:szCs w:val="28"/>
          <w:highlight w:val="none"/>
        </w:rPr>
        <w:t>1、</w:t>
      </w:r>
      <w:r>
        <w:rPr>
          <w:rFonts w:hint="default" w:ascii="仿宋" w:hAnsi="仿宋" w:cs="仿宋"/>
          <w:color w:val="auto"/>
          <w:szCs w:val="28"/>
          <w:highlight w:val="none"/>
        </w:rPr>
        <w:t>付款</w:t>
      </w:r>
      <w:r>
        <w:rPr>
          <w:rFonts w:ascii="仿宋" w:hAnsi="仿宋" w:cs="仿宋"/>
          <w:color w:val="auto"/>
          <w:szCs w:val="28"/>
          <w:highlight w:val="none"/>
        </w:rPr>
        <w:t>方式</w:t>
      </w:r>
      <w:r>
        <w:rPr>
          <w:rFonts w:hint="default" w:ascii="仿宋" w:hAnsi="仿宋" w:cs="仿宋"/>
          <w:color w:val="auto"/>
          <w:szCs w:val="28"/>
          <w:highlight w:val="none"/>
        </w:rPr>
        <w:t>:每半年结算一次，每次根据实际检测数量进行结算</w:t>
      </w:r>
      <w:r>
        <w:rPr>
          <w:rFonts w:hint="eastAsia" w:ascii="仿宋" w:hAnsi="仿宋" w:cs="仿宋"/>
          <w:color w:val="auto"/>
          <w:szCs w:val="28"/>
          <w:highlight w:val="none"/>
          <w:lang w:eastAsia="zh-CN"/>
        </w:rPr>
        <w:t>。</w:t>
      </w:r>
      <w:r>
        <w:rPr>
          <w:rFonts w:hint="default" w:ascii="仿宋" w:hAnsi="仿宋" w:cs="仿宋"/>
          <w:color w:val="auto"/>
          <w:szCs w:val="28"/>
          <w:highlight w:val="none"/>
        </w:rPr>
        <w:t>按照</w:t>
      </w:r>
      <w:r>
        <w:rPr>
          <w:rFonts w:hint="eastAsia" w:ascii="仿宋" w:hAnsi="仿宋" w:cs="仿宋"/>
          <w:color w:val="auto"/>
          <w:szCs w:val="28"/>
          <w:highlight w:val="none"/>
          <w:lang w:val="en-US" w:eastAsia="zh-CN"/>
        </w:rPr>
        <w:t>甲方</w:t>
      </w:r>
      <w:r>
        <w:rPr>
          <w:rFonts w:hint="default" w:ascii="仿宋" w:hAnsi="仿宋" w:cs="仿宋"/>
          <w:color w:val="auto"/>
          <w:szCs w:val="28"/>
          <w:highlight w:val="none"/>
        </w:rPr>
        <w:t>委托文件进行项目次检测，出具具有法律效力的检测报告并提供正式发票后支付检测费用</w:t>
      </w:r>
      <w:r>
        <w:rPr>
          <w:rFonts w:ascii="仿宋" w:hAnsi="仿宋" w:cs="仿宋"/>
          <w:bCs/>
          <w:color w:val="auto"/>
          <w:szCs w:val="28"/>
          <w:highlight w:val="none"/>
          <w:lang w:bidi="ar"/>
        </w:rPr>
        <w:t>。</w:t>
      </w:r>
    </w:p>
    <w:p w14:paraId="5099ABAF">
      <w:pPr>
        <w:adjustRightInd w:val="0"/>
        <w:snapToGrid w:val="0"/>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2、付款依据：乙方开具的等额发票、检测报告、费用结算单。</w:t>
      </w:r>
    </w:p>
    <w:p w14:paraId="1B565B37">
      <w:pPr>
        <w:pStyle w:val="9"/>
        <w:widowControl/>
        <w:spacing w:line="560" w:lineRule="exact"/>
        <w:ind w:left="420" w:leftChars="200" w:firstLine="0" w:firstLineChars="0"/>
        <w:rPr>
          <w:rFonts w:hint="default" w:ascii="仿宋" w:hAnsi="仿宋" w:cs="仿宋"/>
          <w:b/>
          <w:bCs/>
          <w:color w:val="auto"/>
          <w:szCs w:val="28"/>
          <w:highlight w:val="none"/>
        </w:rPr>
      </w:pPr>
      <w:r>
        <w:rPr>
          <w:rFonts w:hint="default" w:ascii="仿宋" w:hAnsi="仿宋" w:cs="仿宋"/>
          <w:b/>
          <w:bCs/>
          <w:color w:val="auto"/>
          <w:szCs w:val="28"/>
          <w:highlight w:val="none"/>
        </w:rPr>
        <w:t>注：据实结算，结算金额=</w:t>
      </w:r>
      <w:r>
        <w:rPr>
          <w:rFonts w:ascii="仿宋" w:hAnsi="仿宋" w:cs="仿宋"/>
          <w:b/>
          <w:bCs/>
          <w:color w:val="auto"/>
          <w:szCs w:val="28"/>
          <w:highlight w:val="none"/>
        </w:rPr>
        <w:t>招标基准价</w:t>
      </w:r>
      <w:r>
        <w:rPr>
          <w:rFonts w:hint="default" w:ascii="仿宋" w:hAnsi="仿宋" w:cs="仿宋"/>
          <w:b/>
          <w:bCs/>
          <w:color w:val="auto"/>
          <w:szCs w:val="28"/>
          <w:highlight w:val="none"/>
        </w:rPr>
        <w:t>*</w:t>
      </w:r>
      <w:r>
        <w:rPr>
          <w:rFonts w:hint="eastAsia" w:ascii="仿宋" w:hAnsi="仿宋" w:cs="仿宋"/>
          <w:b/>
          <w:bCs/>
          <w:color w:val="auto"/>
          <w:szCs w:val="28"/>
          <w:highlight w:val="none"/>
          <w:lang w:eastAsia="zh-CN"/>
        </w:rPr>
        <w:t>折扣</w:t>
      </w:r>
      <w:r>
        <w:rPr>
          <w:rFonts w:hint="default" w:ascii="仿宋" w:hAnsi="仿宋" w:cs="仿宋"/>
          <w:b/>
          <w:bCs/>
          <w:color w:val="auto"/>
          <w:szCs w:val="28"/>
          <w:highlight w:val="none"/>
        </w:rPr>
        <w:t>*检测数量。</w:t>
      </w:r>
    </w:p>
    <w:p w14:paraId="37266F99">
      <w:pPr>
        <w:pStyle w:val="9"/>
        <w:widowControl/>
        <w:spacing w:line="560" w:lineRule="exact"/>
        <w:ind w:left="420" w:leftChars="200" w:firstLine="0" w:firstLineChars="0"/>
        <w:rPr>
          <w:rFonts w:hint="default" w:ascii="仿宋" w:hAnsi="仿宋" w:cs="仿宋"/>
          <w:b/>
          <w:bCs/>
          <w:color w:val="auto"/>
          <w:szCs w:val="28"/>
          <w:highlight w:val="none"/>
        </w:rPr>
      </w:pPr>
      <w:r>
        <w:rPr>
          <w:rFonts w:hint="default" w:ascii="仿宋" w:hAnsi="仿宋" w:cs="仿宋"/>
          <w:b/>
          <w:bCs/>
          <w:color w:val="auto"/>
          <w:szCs w:val="28"/>
          <w:highlight w:val="none"/>
        </w:rPr>
        <w:t>当</w:t>
      </w:r>
      <w:r>
        <w:rPr>
          <w:rFonts w:ascii="仿宋" w:hAnsi="仿宋" w:cs="仿宋"/>
          <w:b/>
          <w:bCs/>
          <w:color w:val="auto"/>
          <w:szCs w:val="28"/>
          <w:highlight w:val="none"/>
        </w:rPr>
        <w:t>各包</w:t>
      </w:r>
      <w:r>
        <w:rPr>
          <w:rFonts w:hint="default" w:ascii="仿宋" w:hAnsi="仿宋" w:cs="仿宋"/>
          <w:b/>
          <w:bCs/>
          <w:color w:val="auto"/>
          <w:szCs w:val="28"/>
          <w:highlight w:val="none"/>
        </w:rPr>
        <w:t>累计结算金额高于</w:t>
      </w:r>
      <w:r>
        <w:rPr>
          <w:rFonts w:ascii="仿宋" w:hAnsi="仿宋" w:cs="仿宋"/>
          <w:b/>
          <w:bCs/>
          <w:color w:val="auto"/>
          <w:szCs w:val="28"/>
          <w:highlight w:val="none"/>
        </w:rPr>
        <w:t>各</w:t>
      </w:r>
      <w:r>
        <w:rPr>
          <w:rFonts w:hint="default" w:ascii="仿宋" w:hAnsi="仿宋" w:cs="仿宋"/>
          <w:b/>
          <w:bCs/>
          <w:color w:val="auto"/>
          <w:szCs w:val="28"/>
          <w:highlight w:val="none"/>
        </w:rPr>
        <w:t>包预算金额时以</w:t>
      </w:r>
      <w:r>
        <w:rPr>
          <w:rFonts w:ascii="仿宋" w:hAnsi="仿宋" w:cs="仿宋"/>
          <w:b/>
          <w:bCs/>
          <w:color w:val="auto"/>
          <w:szCs w:val="28"/>
          <w:highlight w:val="none"/>
        </w:rPr>
        <w:t>各</w:t>
      </w:r>
      <w:r>
        <w:rPr>
          <w:rFonts w:hint="default" w:ascii="仿宋" w:hAnsi="仿宋" w:cs="仿宋"/>
          <w:b/>
          <w:bCs/>
          <w:color w:val="auto"/>
          <w:szCs w:val="28"/>
          <w:highlight w:val="none"/>
        </w:rPr>
        <w:t>包预算金额作为结算金额，当各包累计结算金额低于</w:t>
      </w:r>
      <w:r>
        <w:rPr>
          <w:rFonts w:ascii="仿宋" w:hAnsi="仿宋" w:cs="仿宋"/>
          <w:b/>
          <w:bCs/>
          <w:color w:val="auto"/>
          <w:szCs w:val="28"/>
          <w:highlight w:val="none"/>
        </w:rPr>
        <w:t>各</w:t>
      </w:r>
      <w:r>
        <w:rPr>
          <w:rFonts w:hint="default" w:ascii="仿宋" w:hAnsi="仿宋" w:cs="仿宋"/>
          <w:b/>
          <w:bCs/>
          <w:color w:val="auto"/>
          <w:szCs w:val="28"/>
          <w:highlight w:val="none"/>
        </w:rPr>
        <w:t>包预算金额时据实结算。</w:t>
      </w:r>
    </w:p>
    <w:p w14:paraId="37A4535A">
      <w:pPr>
        <w:pStyle w:val="4"/>
        <w:spacing w:line="560" w:lineRule="exact"/>
        <w:ind w:firstLine="0"/>
        <w:rPr>
          <w:rFonts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五、</w:t>
      </w:r>
      <w:r>
        <w:rPr>
          <w:rFonts w:ascii="仿宋_GB2312" w:hAnsi="仿宋_GB2312" w:eastAsia="仿宋_GB2312" w:cs="仿宋_GB2312"/>
          <w:b/>
          <w:bCs/>
          <w:color w:val="auto"/>
          <w:kern w:val="0"/>
          <w:sz w:val="28"/>
          <w:szCs w:val="28"/>
          <w:highlight w:val="none"/>
        </w:rPr>
        <w:t>验收依据</w:t>
      </w:r>
    </w:p>
    <w:p w14:paraId="16D2400B">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1、合同文本、合同附件、招标文件、投标文件</w:t>
      </w:r>
      <w:r>
        <w:rPr>
          <w:rFonts w:hint="eastAsia" w:ascii="仿宋" w:hAnsi="仿宋" w:eastAsia="仿宋" w:cs="仿宋"/>
          <w:bCs/>
          <w:color w:val="auto"/>
          <w:kern w:val="0"/>
          <w:sz w:val="28"/>
          <w:szCs w:val="28"/>
          <w:highlight w:val="none"/>
          <w:lang w:bidi="ar"/>
        </w:rPr>
        <w:t>。</w:t>
      </w:r>
    </w:p>
    <w:p w14:paraId="74857302">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2、国内相应的标准、规范</w:t>
      </w:r>
      <w:r>
        <w:rPr>
          <w:rFonts w:hint="eastAsia" w:ascii="仿宋" w:hAnsi="仿宋" w:eastAsia="仿宋" w:cs="仿宋"/>
          <w:bCs/>
          <w:color w:val="auto"/>
          <w:kern w:val="0"/>
          <w:sz w:val="28"/>
          <w:szCs w:val="28"/>
          <w:highlight w:val="none"/>
          <w:lang w:bidi="ar"/>
        </w:rPr>
        <w:t>。</w:t>
      </w:r>
    </w:p>
    <w:p w14:paraId="2A22459E">
      <w:pPr>
        <w:pStyle w:val="4"/>
        <w:spacing w:line="560" w:lineRule="exact"/>
        <w:ind w:firstLine="0"/>
        <w:rPr>
          <w:rFonts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六</w:t>
      </w:r>
      <w:r>
        <w:rPr>
          <w:rFonts w:ascii="仿宋_GB2312" w:hAnsi="仿宋_GB2312" w:eastAsia="仿宋_GB2312" w:cs="仿宋_GB2312"/>
          <w:b/>
          <w:bCs/>
          <w:color w:val="auto"/>
          <w:kern w:val="0"/>
          <w:sz w:val="28"/>
          <w:szCs w:val="28"/>
          <w:highlight w:val="none"/>
        </w:rPr>
        <w:t>、服务条件</w:t>
      </w:r>
    </w:p>
    <w:p w14:paraId="7FFBAE3D">
      <w:pPr>
        <w:pStyle w:val="9"/>
        <w:widowControl/>
        <w:spacing w:line="560" w:lineRule="exact"/>
        <w:ind w:firstLine="560"/>
        <w:rPr>
          <w:rFonts w:hint="default" w:ascii="仿宋" w:hAnsi="仿宋" w:cs="仿宋"/>
          <w:color w:val="auto"/>
          <w:szCs w:val="28"/>
          <w:highlight w:val="none"/>
        </w:rPr>
      </w:pPr>
      <w:r>
        <w:rPr>
          <w:rFonts w:ascii="仿宋" w:hAnsi="仿宋" w:cs="仿宋"/>
          <w:color w:val="auto"/>
          <w:szCs w:val="28"/>
          <w:highlight w:val="none"/>
        </w:rPr>
        <w:t>1、</w:t>
      </w:r>
      <w:r>
        <w:rPr>
          <w:rFonts w:hint="default" w:ascii="仿宋" w:hAnsi="仿宋" w:cs="仿宋"/>
          <w:color w:val="auto"/>
          <w:szCs w:val="28"/>
          <w:highlight w:val="none"/>
        </w:rPr>
        <w:t>服务地点:采购人指定地点</w:t>
      </w:r>
    </w:p>
    <w:p w14:paraId="0AB1AF9F">
      <w:pPr>
        <w:pStyle w:val="9"/>
        <w:widowControl/>
        <w:spacing w:line="560" w:lineRule="exact"/>
        <w:ind w:firstLine="560"/>
        <w:rPr>
          <w:rFonts w:hint="default" w:ascii="仿宋" w:hAnsi="仿宋" w:cs="仿宋"/>
          <w:color w:val="auto"/>
          <w:szCs w:val="28"/>
          <w:highlight w:val="none"/>
        </w:rPr>
      </w:pPr>
      <w:r>
        <w:rPr>
          <w:rFonts w:ascii="仿宋" w:hAnsi="仿宋" w:cs="仿宋"/>
          <w:color w:val="auto"/>
          <w:szCs w:val="28"/>
          <w:highlight w:val="none"/>
        </w:rPr>
        <w:t>2、</w:t>
      </w:r>
      <w:r>
        <w:rPr>
          <w:rFonts w:hint="default" w:ascii="仿宋" w:hAnsi="仿宋" w:cs="仿宋"/>
          <w:color w:val="auto"/>
          <w:szCs w:val="28"/>
          <w:highlight w:val="none"/>
        </w:rPr>
        <w:t>成果交付期限:接到采购人委托文件后</w:t>
      </w:r>
      <w:r>
        <w:rPr>
          <w:rFonts w:hint="eastAsia" w:ascii="仿宋" w:hAnsi="仿宋" w:cs="仿宋"/>
          <w:color w:val="auto"/>
          <w:szCs w:val="28"/>
          <w:highlight w:val="none"/>
          <w:u w:val="single"/>
          <w:lang w:val="en-US" w:eastAsia="zh-CN"/>
        </w:rPr>
        <w:t xml:space="preserve">   </w:t>
      </w:r>
      <w:r>
        <w:rPr>
          <w:rFonts w:hint="default" w:ascii="仿宋" w:hAnsi="仿宋" w:cs="仿宋"/>
          <w:color w:val="auto"/>
          <w:szCs w:val="28"/>
          <w:highlight w:val="none"/>
        </w:rPr>
        <w:t>个工作日内提供具有法律效力的检测报告。</w:t>
      </w:r>
    </w:p>
    <w:p w14:paraId="4AD2315D">
      <w:pPr>
        <w:pStyle w:val="9"/>
        <w:widowControl/>
        <w:spacing w:line="560" w:lineRule="exact"/>
        <w:ind w:firstLine="560"/>
        <w:rPr>
          <w:rFonts w:hint="default" w:ascii="仿宋" w:hAnsi="仿宋" w:cs="仿宋"/>
          <w:color w:val="auto"/>
          <w:szCs w:val="28"/>
          <w:highlight w:val="none"/>
        </w:rPr>
      </w:pPr>
      <w:r>
        <w:rPr>
          <w:rFonts w:ascii="仿宋" w:hAnsi="仿宋" w:cs="仿宋"/>
          <w:color w:val="auto"/>
          <w:szCs w:val="28"/>
          <w:highlight w:val="none"/>
        </w:rPr>
        <w:t>3、</w:t>
      </w:r>
      <w:r>
        <w:rPr>
          <w:rFonts w:hint="default" w:ascii="仿宋" w:hAnsi="仿宋" w:cs="仿宋"/>
          <w:color w:val="auto"/>
          <w:szCs w:val="28"/>
          <w:highlight w:val="none"/>
        </w:rPr>
        <w:t>符合国家法律法规规定的标准、招标文件和乙方投标文件所要求的技术标准。</w:t>
      </w:r>
    </w:p>
    <w:p w14:paraId="7CFE2ED7">
      <w:pPr>
        <w:pStyle w:val="4"/>
        <w:spacing w:line="560" w:lineRule="exact"/>
        <w:ind w:firstLine="0"/>
        <w:rPr>
          <w:rFonts w:hint="eastAsia" w:ascii="仿宋_GB2312" w:hAnsi="仿宋_GB2312" w:eastAsia="仿宋_GB2312" w:cs="仿宋_GB2312"/>
          <w:b/>
          <w:bCs/>
          <w:color w:val="auto"/>
          <w:kern w:val="0"/>
          <w:sz w:val="28"/>
          <w:szCs w:val="28"/>
          <w:highlight w:val="none"/>
          <w:lang w:val="en-US" w:eastAsia="zh-CN"/>
        </w:rPr>
      </w:pPr>
      <w:r>
        <w:rPr>
          <w:rFonts w:hint="eastAsia" w:ascii="仿宋_GB2312" w:hAnsi="仿宋_GB2312" w:eastAsia="仿宋_GB2312" w:cs="仿宋_GB2312"/>
          <w:b/>
          <w:bCs/>
          <w:color w:val="auto"/>
          <w:kern w:val="0"/>
          <w:sz w:val="28"/>
          <w:szCs w:val="28"/>
          <w:highlight w:val="none"/>
          <w:lang w:val="en-US" w:eastAsia="zh-CN"/>
        </w:rPr>
        <w:t>七、交付标准和方法：</w:t>
      </w:r>
    </w:p>
    <w:p w14:paraId="1B213DD7">
      <w:pPr>
        <w:pStyle w:val="4"/>
        <w:spacing w:line="560" w:lineRule="exact"/>
        <w:ind w:firstLine="560" w:firstLineChars="200"/>
        <w:rPr>
          <w:rFonts w:hint="default" w:ascii="仿宋_GB2312" w:hAnsi="仿宋_GB2312" w:eastAsia="仿宋_GB2312" w:cs="仿宋_GB2312"/>
          <w:b w:val="0"/>
          <w:bCs w:val="0"/>
          <w:color w:val="auto"/>
          <w:kern w:val="0"/>
          <w:sz w:val="28"/>
          <w:szCs w:val="28"/>
          <w:highlight w:val="none"/>
          <w:lang w:val="en-US" w:eastAsia="zh-CN"/>
        </w:rPr>
      </w:pPr>
      <w:r>
        <w:rPr>
          <w:rFonts w:hint="eastAsia" w:ascii="仿宋_GB2312" w:hAnsi="仿宋_GB2312" w:eastAsia="仿宋_GB2312" w:cs="仿宋_GB2312"/>
          <w:b w:val="0"/>
          <w:bCs w:val="0"/>
          <w:color w:val="auto"/>
          <w:kern w:val="0"/>
          <w:sz w:val="28"/>
          <w:szCs w:val="28"/>
          <w:highlight w:val="none"/>
          <w:lang w:val="en-US" w:eastAsia="zh-CN"/>
        </w:rPr>
        <w:t>1、交付质量需</w:t>
      </w:r>
      <w:r>
        <w:rPr>
          <w:rFonts w:hint="default" w:ascii="仿宋_GB2312" w:hAnsi="仿宋_GB2312" w:eastAsia="仿宋_GB2312" w:cs="仿宋_GB2312"/>
          <w:b w:val="0"/>
          <w:bCs w:val="0"/>
          <w:color w:val="auto"/>
          <w:kern w:val="0"/>
          <w:sz w:val="28"/>
          <w:szCs w:val="28"/>
          <w:highlight w:val="none"/>
          <w:lang w:val="en-US" w:eastAsia="zh-CN"/>
        </w:rPr>
        <w:t>符合国家法律法规规定的标准、</w:t>
      </w:r>
      <w:r>
        <w:rPr>
          <w:rFonts w:hint="eastAsia" w:ascii="仿宋_GB2312" w:hAnsi="仿宋_GB2312" w:eastAsia="仿宋_GB2312" w:cs="仿宋_GB2312"/>
          <w:b w:val="0"/>
          <w:bCs w:val="0"/>
          <w:color w:val="auto"/>
          <w:kern w:val="0"/>
          <w:sz w:val="28"/>
          <w:szCs w:val="28"/>
          <w:highlight w:val="none"/>
          <w:lang w:val="en-US" w:eastAsia="zh-CN"/>
        </w:rPr>
        <w:t>招标文件</w:t>
      </w:r>
      <w:r>
        <w:rPr>
          <w:rFonts w:hint="default" w:ascii="仿宋_GB2312" w:hAnsi="仿宋_GB2312" w:eastAsia="仿宋_GB2312" w:cs="仿宋_GB2312"/>
          <w:b w:val="0"/>
          <w:bCs w:val="0"/>
          <w:color w:val="auto"/>
          <w:kern w:val="0"/>
          <w:sz w:val="28"/>
          <w:szCs w:val="28"/>
          <w:highlight w:val="none"/>
          <w:lang w:val="en-US" w:eastAsia="zh-CN"/>
        </w:rPr>
        <w:t>和</w:t>
      </w:r>
      <w:r>
        <w:rPr>
          <w:rFonts w:hint="eastAsia" w:ascii="仿宋_GB2312" w:hAnsi="仿宋_GB2312" w:eastAsia="仿宋_GB2312" w:cs="仿宋_GB2312"/>
          <w:b w:val="0"/>
          <w:bCs w:val="0"/>
          <w:color w:val="auto"/>
          <w:kern w:val="0"/>
          <w:sz w:val="28"/>
          <w:szCs w:val="28"/>
          <w:highlight w:val="none"/>
          <w:lang w:val="en-US" w:eastAsia="zh-CN"/>
        </w:rPr>
        <w:t>供应商投标文件</w:t>
      </w:r>
      <w:r>
        <w:rPr>
          <w:rFonts w:hint="default" w:ascii="仿宋_GB2312" w:hAnsi="仿宋_GB2312" w:eastAsia="仿宋_GB2312" w:cs="仿宋_GB2312"/>
          <w:b w:val="0"/>
          <w:bCs w:val="0"/>
          <w:color w:val="auto"/>
          <w:kern w:val="0"/>
          <w:sz w:val="28"/>
          <w:szCs w:val="28"/>
          <w:highlight w:val="none"/>
          <w:lang w:val="en-US" w:eastAsia="zh-CN"/>
        </w:rPr>
        <w:t>所</w:t>
      </w:r>
      <w:r>
        <w:rPr>
          <w:rFonts w:hint="eastAsia" w:ascii="仿宋_GB2312" w:hAnsi="仿宋_GB2312" w:eastAsia="仿宋_GB2312" w:cs="仿宋_GB2312"/>
          <w:b w:val="0"/>
          <w:bCs w:val="0"/>
          <w:color w:val="auto"/>
          <w:kern w:val="0"/>
          <w:sz w:val="28"/>
          <w:szCs w:val="28"/>
          <w:highlight w:val="none"/>
          <w:lang w:val="en-US" w:eastAsia="zh-CN"/>
        </w:rPr>
        <w:t>响应</w:t>
      </w:r>
      <w:r>
        <w:rPr>
          <w:rFonts w:hint="default" w:ascii="仿宋_GB2312" w:hAnsi="仿宋_GB2312" w:eastAsia="仿宋_GB2312" w:cs="仿宋_GB2312"/>
          <w:b w:val="0"/>
          <w:bCs w:val="0"/>
          <w:color w:val="auto"/>
          <w:kern w:val="0"/>
          <w:sz w:val="28"/>
          <w:szCs w:val="28"/>
          <w:highlight w:val="none"/>
          <w:lang w:val="en-US" w:eastAsia="zh-CN"/>
        </w:rPr>
        <w:t>的技术标准。</w:t>
      </w:r>
      <w:r>
        <w:rPr>
          <w:rFonts w:hint="eastAsia" w:ascii="仿宋_GB2312" w:hAnsi="仿宋_GB2312" w:eastAsia="仿宋_GB2312" w:cs="仿宋_GB2312"/>
          <w:b w:val="0"/>
          <w:bCs w:val="0"/>
          <w:color w:val="auto"/>
          <w:kern w:val="0"/>
          <w:sz w:val="28"/>
          <w:szCs w:val="28"/>
          <w:highlight w:val="none"/>
          <w:lang w:val="en-US" w:eastAsia="zh-CN"/>
        </w:rPr>
        <w:t>检测完成后，乙方须向甲方提交纸质版的正式检测报告及报告电子版（PDF格式），报告具体份数根据采购人要求提供。</w:t>
      </w:r>
    </w:p>
    <w:p w14:paraId="21E8E528">
      <w:pPr>
        <w:pStyle w:val="4"/>
        <w:spacing w:line="560" w:lineRule="exact"/>
        <w:ind w:firstLine="560" w:firstLineChars="200"/>
        <w:rPr>
          <w:rFonts w:hint="default" w:ascii="仿宋" w:hAnsi="仿宋" w:cs="仿宋"/>
          <w:color w:val="auto"/>
          <w:szCs w:val="28"/>
          <w:highlight w:val="none"/>
        </w:rPr>
      </w:pPr>
      <w:r>
        <w:rPr>
          <w:rFonts w:hint="eastAsia" w:ascii="仿宋_GB2312" w:hAnsi="仿宋_GB2312" w:eastAsia="仿宋_GB2312" w:cs="仿宋_GB2312"/>
          <w:b w:val="0"/>
          <w:bCs w:val="0"/>
          <w:color w:val="auto"/>
          <w:kern w:val="0"/>
          <w:sz w:val="28"/>
          <w:szCs w:val="28"/>
          <w:highlight w:val="none"/>
          <w:lang w:val="en-US" w:eastAsia="zh-CN"/>
        </w:rPr>
        <w:t>2、保证报告所出具的数据及结论的真实性</w:t>
      </w:r>
      <w:r>
        <w:rPr>
          <w:rFonts w:hint="eastAsia" w:ascii="仿宋" w:hAnsi="仿宋" w:eastAsia="仿宋" w:cs="仿宋"/>
          <w:color w:val="auto"/>
          <w:sz w:val="32"/>
          <w:szCs w:val="32"/>
          <w:highlight w:val="none"/>
          <w:lang w:val="en-US" w:eastAsia="zh-CN"/>
        </w:rPr>
        <w:t>。</w:t>
      </w:r>
    </w:p>
    <w:p w14:paraId="2CED1040">
      <w:pPr>
        <w:pStyle w:val="9"/>
        <w:widowControl/>
        <w:spacing w:line="560" w:lineRule="exact"/>
        <w:ind w:firstLine="0" w:firstLineChars="0"/>
        <w:rPr>
          <w:rFonts w:hint="default" w:ascii="仿宋_GB2312" w:hAnsi="仿宋_GB2312" w:eastAsia="仿宋_GB2312" w:cs="仿宋_GB2312"/>
          <w:b/>
          <w:bCs/>
          <w:color w:val="auto"/>
          <w:szCs w:val="28"/>
          <w:highlight w:val="none"/>
        </w:rPr>
      </w:pPr>
      <w:r>
        <w:rPr>
          <w:rFonts w:hint="eastAsia" w:ascii="仿宋_GB2312" w:hAnsi="仿宋_GB2312" w:eastAsia="仿宋_GB2312" w:cs="仿宋_GB2312"/>
          <w:b/>
          <w:bCs/>
          <w:color w:val="auto"/>
          <w:szCs w:val="28"/>
          <w:highlight w:val="none"/>
          <w:lang w:val="en-US" w:eastAsia="zh-CN"/>
        </w:rPr>
        <w:t>八</w:t>
      </w:r>
      <w:r>
        <w:rPr>
          <w:rFonts w:hint="default" w:ascii="仿宋_GB2312" w:hAnsi="仿宋_GB2312" w:eastAsia="仿宋_GB2312" w:cs="仿宋_GB2312"/>
          <w:b/>
          <w:bCs/>
          <w:color w:val="auto"/>
          <w:szCs w:val="28"/>
          <w:highlight w:val="none"/>
        </w:rPr>
        <w:t>、权利和义务</w:t>
      </w:r>
    </w:p>
    <w:p w14:paraId="2FD3581A">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(一)甲方权利义务</w:t>
      </w:r>
    </w:p>
    <w:p w14:paraId="67A304D5">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1、甲方按本项目具体情况提供乙方所需材料，甲方协助乙方完成资料、文件收集工作，并对其完整性、正确性及时限性负责，甲方不得要求乙方违反国家有关标准。</w:t>
      </w:r>
    </w:p>
    <w:p w14:paraId="1F8E06F4">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2、甲方有权按照国家及地方政府的要求对乙方的试验检测行为进行监督、检查和必要的指导。</w:t>
      </w:r>
    </w:p>
    <w:p w14:paraId="1C594677">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3、甲方按照抽测工作安排，提供一切技术服务所必需的条件，配合检测工作顺利进行。</w:t>
      </w:r>
    </w:p>
    <w:p w14:paraId="014C5DA6">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4、甲方应积极协助乙方解决在服务期内出现的相关问题，</w:t>
      </w:r>
    </w:p>
    <w:p w14:paraId="19824F98">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5、甲方按照本合同约定向乙方支付检测费用。</w:t>
      </w:r>
    </w:p>
    <w:p w14:paraId="56EE5FFC">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(二)乙方权利和义务</w:t>
      </w:r>
    </w:p>
    <w:p w14:paraId="1C57EFC8">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1、接受项目行业管理部门及政府有关部门的监督指导，接受甲方的监督。</w:t>
      </w:r>
    </w:p>
    <w:p w14:paraId="7E6279AE">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2、按照合同约定提供技术服务，为甲方提供技术服务成果。承诺采用合理严谨的态度及科学准确的方法提供技术服务，以保证成果的准确性和有效性。</w:t>
      </w:r>
    </w:p>
    <w:p w14:paraId="23F1CF94">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3、乙方在接到甲方检测任务后，应及时响应并派遣满足工作需要的专业技术人员对委托内容开展作业，在委托时限内按时完成检测并向甲方提供正式检测报告。在检测过程中如遇不可抗拒的自然因素，乙方应及时向甲方申请，则检测周期另议或顺延</w:t>
      </w:r>
      <w:r>
        <w:rPr>
          <w:rFonts w:ascii="仿宋" w:hAnsi="仿宋" w:cs="仿宋"/>
          <w:color w:val="auto"/>
          <w:szCs w:val="28"/>
          <w:highlight w:val="none"/>
        </w:rPr>
        <w:t>。</w:t>
      </w:r>
    </w:p>
    <w:p w14:paraId="4A04C361">
      <w:pPr>
        <w:pStyle w:val="9"/>
        <w:widowControl/>
        <w:spacing w:line="560" w:lineRule="exact"/>
        <w:ind w:firstLine="560"/>
        <w:rPr>
          <w:rFonts w:hint="default" w:ascii="仿宋" w:hAnsi="仿宋" w:cs="仿宋"/>
          <w:color w:val="auto"/>
          <w:szCs w:val="28"/>
          <w:highlight w:val="none"/>
        </w:rPr>
      </w:pPr>
      <w:r>
        <w:rPr>
          <w:rFonts w:hint="default" w:ascii="仿宋" w:hAnsi="仿宋" w:cs="仿宋"/>
          <w:color w:val="auto"/>
          <w:szCs w:val="28"/>
          <w:highlight w:val="none"/>
        </w:rPr>
        <w:t>4、为甲方设立项目负责人，以便甲方项目由乙方专人专管提高工作效率。</w:t>
      </w:r>
    </w:p>
    <w:p w14:paraId="27789885">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乙方项目负责人:</w:t>
      </w:r>
      <w:r>
        <w:rPr>
          <w:rFonts w:hint="eastAsia" w:ascii="仿宋" w:hAnsi="仿宋" w:eastAsia="仿宋" w:cs="仿宋"/>
          <w:bCs/>
          <w:color w:val="auto"/>
          <w:kern w:val="0"/>
          <w:sz w:val="28"/>
          <w:szCs w:val="28"/>
          <w:highlight w:val="none"/>
          <w:u w:val="single"/>
          <w:lang w:bidi="ar"/>
        </w:rPr>
        <w:t xml:space="preserve">     </w:t>
      </w:r>
      <w:r>
        <w:rPr>
          <w:rFonts w:ascii="仿宋" w:hAnsi="仿宋" w:eastAsia="仿宋" w:cs="仿宋"/>
          <w:bCs/>
          <w:color w:val="auto"/>
          <w:kern w:val="0"/>
          <w:sz w:val="28"/>
          <w:szCs w:val="28"/>
          <w:highlight w:val="none"/>
          <w:lang w:bidi="ar"/>
        </w:rPr>
        <w:t>，联系电话:</w:t>
      </w:r>
      <w:r>
        <w:rPr>
          <w:rFonts w:hint="eastAsia" w:ascii="仿宋" w:hAnsi="仿宋" w:eastAsia="仿宋" w:cs="仿宋"/>
          <w:bCs/>
          <w:color w:val="auto"/>
          <w:kern w:val="0"/>
          <w:sz w:val="28"/>
          <w:szCs w:val="28"/>
          <w:highlight w:val="none"/>
          <w:u w:val="single"/>
          <w:lang w:bidi="ar"/>
        </w:rPr>
        <w:t xml:space="preserve">        </w:t>
      </w:r>
      <w:r>
        <w:rPr>
          <w:rFonts w:hint="eastAsia" w:ascii="仿宋" w:hAnsi="仿宋" w:eastAsia="仿宋" w:cs="仿宋"/>
          <w:bCs/>
          <w:color w:val="auto"/>
          <w:kern w:val="0"/>
          <w:sz w:val="28"/>
          <w:szCs w:val="28"/>
          <w:highlight w:val="none"/>
          <w:lang w:bidi="ar"/>
        </w:rPr>
        <w:t xml:space="preserve"> </w:t>
      </w:r>
      <w:r>
        <w:rPr>
          <w:rFonts w:ascii="仿宋" w:hAnsi="仿宋" w:eastAsia="仿宋" w:cs="仿宋"/>
          <w:bCs/>
          <w:color w:val="auto"/>
          <w:kern w:val="0"/>
          <w:sz w:val="28"/>
          <w:szCs w:val="28"/>
          <w:highlight w:val="none"/>
          <w:lang w:bidi="ar"/>
        </w:rPr>
        <w:t>。</w:t>
      </w:r>
    </w:p>
    <w:p w14:paraId="44911B19">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5、乙方及其雇用的员工应严格遵守国家的法律、法规，如果乙方及其所雇用的员工违反法律、法规和相关规定，所造成的后果由乙方自行负责，与甲方无关，若因此给甲方造成损失的，应赔偿甲方所受的损失。</w:t>
      </w:r>
    </w:p>
    <w:p w14:paraId="67BD661E">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6、按照合同内容要求甲方按期支付检测费用</w:t>
      </w:r>
      <w:r>
        <w:rPr>
          <w:rFonts w:hint="eastAsia" w:ascii="仿宋" w:hAnsi="仿宋" w:eastAsia="仿宋" w:cs="仿宋"/>
          <w:bCs/>
          <w:color w:val="auto"/>
          <w:kern w:val="0"/>
          <w:sz w:val="28"/>
          <w:szCs w:val="28"/>
          <w:highlight w:val="none"/>
          <w:lang w:bidi="ar"/>
        </w:rPr>
        <w:t>。</w:t>
      </w:r>
    </w:p>
    <w:p w14:paraId="2AA8B6DD">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7、就检测服务的有关内容，接受甲方的咨询。</w:t>
      </w:r>
    </w:p>
    <w:p w14:paraId="21E63F1C">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8、乙方正常开展检测服务工作所需费用，均包含在合同金额中，由于甲方原因导致乙方超出合同范围工作所产生的费用由甲方承担。</w:t>
      </w:r>
    </w:p>
    <w:p w14:paraId="7E434949">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9、未经甲方同意，乙方不得擅自将所承包的合同转让给他人，或肢解分包给他人。</w:t>
      </w:r>
    </w:p>
    <w:p w14:paraId="650100B2">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10、乙方对样品进行检测后出具的报告仅对被测样品负责:在任何情况下，乙方的责任不能超出乙方对样品作出的检测报告的范围，乙方有责任根据样品有效期对样品进行保管，在此期间，若因乙方过错导致样品丢失所造成的一切损失有乙方承担。</w:t>
      </w:r>
    </w:p>
    <w:p w14:paraId="60C477B8">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11、乙方对涉及秘密级业务的技术资料、数据、保密信息等进行严格保密，一旦泄密，需承担相应的法律责任</w:t>
      </w:r>
      <w:r>
        <w:rPr>
          <w:rFonts w:hint="eastAsia" w:ascii="仿宋" w:hAnsi="仿宋" w:eastAsia="仿宋" w:cs="仿宋"/>
          <w:bCs/>
          <w:color w:val="auto"/>
          <w:kern w:val="0"/>
          <w:sz w:val="28"/>
          <w:szCs w:val="28"/>
          <w:highlight w:val="none"/>
          <w:lang w:bidi="ar"/>
        </w:rPr>
        <w:t>。</w:t>
      </w:r>
    </w:p>
    <w:p w14:paraId="535D4B06">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12、接受甲方的管理、监督、检查和考核，对甲方发出的整改通知，应及时按甲方的要求进行整改。乙方无正当理由拒绝整改时，甲方可以另行委托他人予以整改，所发生的费用由乙方承担。</w:t>
      </w:r>
    </w:p>
    <w:p w14:paraId="461FC069">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13、乙方必须遵循安全作业和文明作业的规定，在履行本合同的过程中，采取严格的安全防范措施。在服务过程中发生的一切人身伤亡事故及其他损害，由乙方自行承担所有责任。若造成甲方因此而承担有关法律责任，乙方除应赔偿因此造成的一切损失外，甲方有权单方面解除本合同</w:t>
      </w:r>
      <w:r>
        <w:rPr>
          <w:rFonts w:hint="eastAsia" w:ascii="仿宋" w:hAnsi="仿宋" w:eastAsia="仿宋" w:cs="仿宋"/>
          <w:bCs/>
          <w:color w:val="auto"/>
          <w:kern w:val="0"/>
          <w:sz w:val="28"/>
          <w:szCs w:val="28"/>
          <w:highlight w:val="none"/>
          <w:lang w:bidi="ar"/>
        </w:rPr>
        <w:t>。</w:t>
      </w:r>
    </w:p>
    <w:p w14:paraId="213E6583">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14、乙方定期按照国家规定要求对试验检测仪器设备进行校验校准，客观、公正、科学、实事求是的按照合同要求进行试验检测，确保检测数据的真实性、可靠性。对所检测内容和结果负全部技术责任。</w:t>
      </w:r>
    </w:p>
    <w:p w14:paraId="1D357A55">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15、乙方需保证本成果或其授予的权利不会侵犯任何第三人的知识产权或其他权利，也没有其他针对乙方拥有本成果权利的未决诉讼，或甲方行使乙方所提供的成果权利</w:t>
      </w:r>
      <w:r>
        <w:rPr>
          <w:rFonts w:hint="eastAsia" w:ascii="仿宋" w:hAnsi="仿宋" w:eastAsia="仿宋" w:cs="仿宋"/>
          <w:bCs/>
          <w:color w:val="auto"/>
          <w:kern w:val="0"/>
          <w:sz w:val="28"/>
          <w:szCs w:val="28"/>
          <w:highlight w:val="none"/>
          <w:lang w:val="en-US" w:eastAsia="zh-CN" w:bidi="ar"/>
        </w:rPr>
        <w:t>不</w:t>
      </w:r>
      <w:r>
        <w:rPr>
          <w:rFonts w:ascii="仿宋" w:hAnsi="仿宋" w:eastAsia="仿宋" w:cs="仿宋"/>
          <w:bCs/>
          <w:color w:val="auto"/>
          <w:kern w:val="0"/>
          <w:sz w:val="28"/>
          <w:szCs w:val="28"/>
          <w:highlight w:val="none"/>
          <w:lang w:bidi="ar"/>
        </w:rPr>
        <w:t>会侵犯任何第三人的合法权利。</w:t>
      </w:r>
    </w:p>
    <w:p w14:paraId="625F7429">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16、保证所出具的检测报告在西安市房管局数据库的有效</w:t>
      </w:r>
      <w:r>
        <w:rPr>
          <w:rFonts w:hint="eastAsia" w:ascii="仿宋" w:hAnsi="仿宋" w:eastAsia="仿宋" w:cs="仿宋"/>
          <w:bCs/>
          <w:color w:val="auto"/>
          <w:kern w:val="0"/>
          <w:sz w:val="28"/>
          <w:szCs w:val="28"/>
          <w:highlight w:val="none"/>
          <w:lang w:bidi="ar"/>
        </w:rPr>
        <w:t>性。</w:t>
      </w:r>
    </w:p>
    <w:p w14:paraId="276B238B">
      <w:pPr>
        <w:adjustRightInd w:val="0"/>
        <w:snapToGrid w:val="0"/>
        <w:spacing w:line="560" w:lineRule="exact"/>
        <w:rPr>
          <w:rFonts w:ascii="仿宋" w:hAnsi="仿宋" w:eastAsia="仿宋" w:cs="仿宋"/>
          <w:b/>
          <w:color w:val="auto"/>
          <w:kern w:val="0"/>
          <w:sz w:val="28"/>
          <w:szCs w:val="28"/>
          <w:highlight w:val="none"/>
          <w:lang w:bidi="ar"/>
        </w:rPr>
      </w:pPr>
      <w:r>
        <w:rPr>
          <w:rFonts w:hint="eastAsia" w:ascii="仿宋" w:hAnsi="仿宋" w:eastAsia="仿宋" w:cs="仿宋"/>
          <w:b/>
          <w:color w:val="auto"/>
          <w:kern w:val="0"/>
          <w:sz w:val="28"/>
          <w:szCs w:val="28"/>
          <w:highlight w:val="none"/>
          <w:lang w:val="en-US" w:eastAsia="zh-CN" w:bidi="ar"/>
        </w:rPr>
        <w:t>九</w:t>
      </w:r>
      <w:r>
        <w:rPr>
          <w:rFonts w:hint="eastAsia" w:ascii="仿宋" w:hAnsi="仿宋" w:eastAsia="仿宋" w:cs="仿宋"/>
          <w:b/>
          <w:color w:val="auto"/>
          <w:kern w:val="0"/>
          <w:sz w:val="28"/>
          <w:szCs w:val="28"/>
          <w:highlight w:val="none"/>
          <w:lang w:bidi="ar"/>
        </w:rPr>
        <w:t>、</w:t>
      </w:r>
      <w:r>
        <w:rPr>
          <w:rFonts w:ascii="仿宋" w:hAnsi="仿宋" w:eastAsia="仿宋" w:cs="仿宋"/>
          <w:b/>
          <w:color w:val="auto"/>
          <w:kern w:val="0"/>
          <w:sz w:val="28"/>
          <w:szCs w:val="28"/>
          <w:highlight w:val="none"/>
          <w:lang w:bidi="ar"/>
        </w:rPr>
        <w:t>违约责任</w:t>
      </w:r>
    </w:p>
    <w:p w14:paraId="2014B568">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1、</w:t>
      </w:r>
      <w:r>
        <w:rPr>
          <w:rFonts w:ascii="仿宋" w:hAnsi="仿宋" w:eastAsia="仿宋" w:cs="仿宋"/>
          <w:bCs/>
          <w:color w:val="auto"/>
          <w:kern w:val="0"/>
          <w:sz w:val="28"/>
          <w:szCs w:val="28"/>
          <w:highlight w:val="none"/>
          <w:lang w:bidi="ar"/>
        </w:rPr>
        <w:t>按《</w:t>
      </w:r>
      <w:r>
        <w:rPr>
          <w:rFonts w:hint="eastAsia" w:ascii="仿宋" w:hAnsi="仿宋" w:eastAsia="仿宋" w:cs="仿宋"/>
          <w:color w:val="auto"/>
          <w:kern w:val="0"/>
          <w:sz w:val="28"/>
          <w:szCs w:val="28"/>
          <w:highlight w:val="none"/>
        </w:rPr>
        <w:t>中华人民共和国民法典</w:t>
      </w:r>
      <w:r>
        <w:rPr>
          <w:rFonts w:ascii="仿宋" w:hAnsi="仿宋" w:eastAsia="仿宋" w:cs="仿宋"/>
          <w:bCs/>
          <w:color w:val="auto"/>
          <w:kern w:val="0"/>
          <w:sz w:val="28"/>
          <w:szCs w:val="28"/>
          <w:highlight w:val="none"/>
          <w:lang w:bidi="ar"/>
        </w:rPr>
        <w:t>》中的相关条款执行</w:t>
      </w:r>
      <w:r>
        <w:rPr>
          <w:rFonts w:hint="eastAsia" w:ascii="仿宋" w:hAnsi="仿宋" w:eastAsia="仿宋" w:cs="仿宋"/>
          <w:bCs/>
          <w:color w:val="auto"/>
          <w:kern w:val="0"/>
          <w:sz w:val="28"/>
          <w:szCs w:val="28"/>
          <w:highlight w:val="none"/>
          <w:lang w:bidi="ar"/>
        </w:rPr>
        <w:t>。</w:t>
      </w:r>
    </w:p>
    <w:p w14:paraId="205110AB">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2、</w:t>
      </w:r>
      <w:r>
        <w:rPr>
          <w:rFonts w:ascii="仿宋" w:hAnsi="仿宋" w:eastAsia="仿宋" w:cs="仿宋"/>
          <w:bCs/>
          <w:color w:val="auto"/>
          <w:kern w:val="0"/>
          <w:sz w:val="28"/>
          <w:szCs w:val="28"/>
          <w:highlight w:val="none"/>
          <w:lang w:bidi="ar"/>
        </w:rPr>
        <w:t>甲乙双方在合同生效后，如果任意一方未经协商或不以合同为依据而单方面擅自解除合同。若甲方违约，在此过程中乙方所产生的服务费用由甲方承担，并支付合同价款5%违约金给乙方;若乙方违约，则需向甲方退还所有服务费用，并支付合同价款5%违约金给甲方。</w:t>
      </w:r>
    </w:p>
    <w:p w14:paraId="3634833B">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3、</w:t>
      </w:r>
      <w:r>
        <w:rPr>
          <w:rFonts w:ascii="仿宋" w:hAnsi="仿宋" w:eastAsia="仿宋" w:cs="仿宋"/>
          <w:bCs/>
          <w:color w:val="auto"/>
          <w:kern w:val="0"/>
          <w:sz w:val="28"/>
          <w:szCs w:val="28"/>
          <w:highlight w:val="none"/>
          <w:lang w:bidi="ar"/>
        </w:rPr>
        <w:t>任何一方违反本合同的约定，应承担由此引起的一切经济损失及法律责任(包括但不限于守约方的经济损失、律师费、诉讼费等为实现债权产生的一切费用)。</w:t>
      </w:r>
    </w:p>
    <w:p w14:paraId="7FB34C6C">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4、</w:t>
      </w:r>
      <w:r>
        <w:rPr>
          <w:rFonts w:ascii="仿宋" w:hAnsi="仿宋" w:eastAsia="仿宋" w:cs="仿宋"/>
          <w:bCs/>
          <w:color w:val="auto"/>
          <w:kern w:val="0"/>
          <w:sz w:val="28"/>
          <w:szCs w:val="28"/>
          <w:highlight w:val="none"/>
          <w:lang w:bidi="ar"/>
        </w:rPr>
        <w:t>乙方履约延误。如乙方事先未征得甲方同意并得到甲方的谅解而单方面延迟服务或退出本项目，将按违约终止合同</w:t>
      </w:r>
      <w:r>
        <w:rPr>
          <w:rFonts w:hint="eastAsia" w:ascii="仿宋" w:hAnsi="仿宋" w:eastAsia="仿宋" w:cs="仿宋"/>
          <w:bCs/>
          <w:color w:val="auto"/>
          <w:kern w:val="0"/>
          <w:sz w:val="28"/>
          <w:szCs w:val="28"/>
          <w:highlight w:val="none"/>
          <w:lang w:bidi="ar"/>
        </w:rPr>
        <w:t>。</w:t>
      </w:r>
    </w:p>
    <w:p w14:paraId="6D0F523F">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5、</w:t>
      </w:r>
      <w:r>
        <w:rPr>
          <w:rFonts w:ascii="仿宋" w:hAnsi="仿宋" w:eastAsia="仿宋" w:cs="仿宋"/>
          <w:bCs/>
          <w:color w:val="auto"/>
          <w:kern w:val="0"/>
          <w:sz w:val="28"/>
          <w:szCs w:val="28"/>
          <w:highlight w:val="none"/>
          <w:lang w:bidi="ar"/>
        </w:rPr>
        <w:t>违约终止合同:未按合同要求提供服务不能满足</w:t>
      </w:r>
      <w:r>
        <w:rPr>
          <w:rFonts w:hint="eastAsia" w:ascii="仿宋" w:hAnsi="仿宋" w:eastAsia="仿宋" w:cs="仿宋"/>
          <w:bCs/>
          <w:color w:val="auto"/>
          <w:kern w:val="0"/>
          <w:sz w:val="28"/>
          <w:szCs w:val="28"/>
          <w:highlight w:val="none"/>
          <w:lang w:bidi="ar"/>
        </w:rPr>
        <w:t>检测</w:t>
      </w:r>
      <w:r>
        <w:rPr>
          <w:rFonts w:ascii="仿宋" w:hAnsi="仿宋" w:eastAsia="仿宋" w:cs="仿宋"/>
          <w:bCs/>
          <w:color w:val="auto"/>
          <w:kern w:val="0"/>
          <w:sz w:val="28"/>
          <w:szCs w:val="28"/>
          <w:highlight w:val="none"/>
          <w:lang w:bidi="ar"/>
        </w:rPr>
        <w:t>要求，甲方会同监督机构有权终止合同，对乙方违约行为进行追究，同时按政府采购法的有关规定进行相应的处罚。</w:t>
      </w:r>
    </w:p>
    <w:p w14:paraId="45BD8AF0">
      <w:pPr>
        <w:adjustRightInd w:val="0"/>
        <w:snapToGrid w:val="0"/>
        <w:spacing w:line="560" w:lineRule="exact"/>
        <w:rPr>
          <w:rFonts w:ascii="仿宋" w:hAnsi="仿宋" w:eastAsia="仿宋" w:cs="仿宋"/>
          <w:b/>
          <w:color w:val="auto"/>
          <w:kern w:val="0"/>
          <w:sz w:val="28"/>
          <w:szCs w:val="28"/>
          <w:highlight w:val="none"/>
          <w:lang w:bidi="ar"/>
        </w:rPr>
      </w:pPr>
      <w:r>
        <w:rPr>
          <w:rFonts w:hint="eastAsia" w:ascii="仿宋" w:hAnsi="仿宋" w:eastAsia="仿宋" w:cs="仿宋"/>
          <w:b/>
          <w:color w:val="auto"/>
          <w:kern w:val="0"/>
          <w:sz w:val="28"/>
          <w:szCs w:val="28"/>
          <w:highlight w:val="none"/>
          <w:lang w:val="en-US" w:eastAsia="zh-CN" w:bidi="ar"/>
        </w:rPr>
        <w:t>十</w:t>
      </w:r>
      <w:r>
        <w:rPr>
          <w:rFonts w:ascii="仿宋" w:hAnsi="仿宋" w:eastAsia="仿宋" w:cs="仿宋"/>
          <w:b/>
          <w:color w:val="auto"/>
          <w:kern w:val="0"/>
          <w:sz w:val="28"/>
          <w:szCs w:val="28"/>
          <w:highlight w:val="none"/>
          <w:lang w:bidi="ar"/>
        </w:rPr>
        <w:t>、合同变更与终止</w:t>
      </w:r>
    </w:p>
    <w:p w14:paraId="2007EF86">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1、</w:t>
      </w:r>
      <w:r>
        <w:rPr>
          <w:rFonts w:ascii="仿宋" w:hAnsi="仿宋" w:eastAsia="仿宋" w:cs="仿宋"/>
          <w:bCs/>
          <w:color w:val="auto"/>
          <w:kern w:val="0"/>
          <w:sz w:val="28"/>
          <w:szCs w:val="28"/>
          <w:highlight w:val="none"/>
          <w:lang w:bidi="ar"/>
        </w:rPr>
        <w:t>合同期间任何一方不得随意变更、终止合同。</w:t>
      </w:r>
    </w:p>
    <w:p w14:paraId="1B6179D0">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2、</w:t>
      </w:r>
      <w:r>
        <w:rPr>
          <w:rFonts w:ascii="仿宋" w:hAnsi="仿宋" w:eastAsia="仿宋" w:cs="仿宋"/>
          <w:bCs/>
          <w:color w:val="auto"/>
          <w:kern w:val="0"/>
          <w:sz w:val="28"/>
          <w:szCs w:val="28"/>
          <w:highlight w:val="none"/>
          <w:lang w:bidi="ar"/>
        </w:rPr>
        <w:t>本合同规定的履行期限届满，合同自动终止。</w:t>
      </w:r>
    </w:p>
    <w:p w14:paraId="1CD49921">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3、</w:t>
      </w:r>
      <w:r>
        <w:rPr>
          <w:rFonts w:ascii="仿宋" w:hAnsi="仿宋" w:eastAsia="仿宋" w:cs="仿宋"/>
          <w:bCs/>
          <w:color w:val="auto"/>
          <w:kern w:val="0"/>
          <w:sz w:val="28"/>
          <w:szCs w:val="28"/>
          <w:highlight w:val="none"/>
          <w:lang w:bidi="ar"/>
        </w:rPr>
        <w:t>因双方机构撤并、职能调整等原因，确需终止合同的，双方可协商终止合同。</w:t>
      </w:r>
    </w:p>
    <w:p w14:paraId="34B0F3C2">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4、</w:t>
      </w:r>
      <w:r>
        <w:rPr>
          <w:rFonts w:ascii="仿宋" w:hAnsi="仿宋" w:eastAsia="仿宋" w:cs="仿宋"/>
          <w:bCs/>
          <w:color w:val="auto"/>
          <w:kern w:val="0"/>
          <w:sz w:val="28"/>
          <w:szCs w:val="28"/>
          <w:highlight w:val="none"/>
          <w:lang w:bidi="ar"/>
        </w:rPr>
        <w:t>乙方应自觉遵守甲方工作纪律、规章制度，服从甲方管理。因乙方原因给甲方造成严重后果，甲方可以单方面解除合同。</w:t>
      </w:r>
    </w:p>
    <w:p w14:paraId="18304837">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5、</w:t>
      </w:r>
      <w:r>
        <w:rPr>
          <w:rFonts w:ascii="仿宋" w:hAnsi="仿宋" w:eastAsia="仿宋" w:cs="仿宋"/>
          <w:bCs/>
          <w:color w:val="auto"/>
          <w:kern w:val="0"/>
          <w:sz w:val="28"/>
          <w:szCs w:val="28"/>
          <w:highlight w:val="none"/>
          <w:lang w:bidi="ar"/>
        </w:rPr>
        <w:t>合同继续履行将损害国家利益和社会公共利益的，双方应当变更或者终止合同，但变更的内容不得对招标文件确定的事项和中标投标文件作实质性修改，有过错的一方应当承担赔偿责任，双方都有过错的，各自承担相应的责任。</w:t>
      </w:r>
    </w:p>
    <w:p w14:paraId="69061E99">
      <w:pPr>
        <w:adjustRightInd w:val="0"/>
        <w:snapToGrid w:val="0"/>
        <w:spacing w:line="560" w:lineRule="exact"/>
        <w:rPr>
          <w:rFonts w:ascii="仿宋" w:hAnsi="仿宋" w:eastAsia="仿宋" w:cs="仿宋"/>
          <w:b/>
          <w:color w:val="auto"/>
          <w:kern w:val="0"/>
          <w:sz w:val="28"/>
          <w:szCs w:val="28"/>
          <w:highlight w:val="none"/>
          <w:lang w:bidi="ar"/>
        </w:rPr>
      </w:pPr>
      <w:r>
        <w:rPr>
          <w:rFonts w:hint="eastAsia"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一</w:t>
      </w:r>
      <w:r>
        <w:rPr>
          <w:rFonts w:ascii="仿宋" w:hAnsi="仿宋" w:eastAsia="仿宋" w:cs="仿宋"/>
          <w:b/>
          <w:color w:val="auto"/>
          <w:kern w:val="0"/>
          <w:sz w:val="28"/>
          <w:szCs w:val="28"/>
          <w:highlight w:val="none"/>
          <w:lang w:bidi="ar"/>
        </w:rPr>
        <w:t>、保密约定</w:t>
      </w:r>
    </w:p>
    <w:p w14:paraId="4D3B115A">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w:t>
      </w:r>
      <w:r>
        <w:rPr>
          <w:rFonts w:hint="eastAsia" w:ascii="仿宋" w:hAnsi="仿宋" w:eastAsia="仿宋" w:cs="仿宋"/>
          <w:bCs/>
          <w:color w:val="auto"/>
          <w:kern w:val="0"/>
          <w:sz w:val="28"/>
          <w:szCs w:val="28"/>
          <w:highlight w:val="none"/>
          <w:lang w:bidi="ar"/>
        </w:rPr>
        <w:t>露</w:t>
      </w:r>
      <w:r>
        <w:rPr>
          <w:rFonts w:ascii="仿宋" w:hAnsi="仿宋" w:eastAsia="仿宋" w:cs="仿宋"/>
          <w:bCs/>
          <w:color w:val="auto"/>
          <w:kern w:val="0"/>
          <w:sz w:val="28"/>
          <w:szCs w:val="28"/>
          <w:highlight w:val="none"/>
          <w:lang w:bidi="ar"/>
        </w:rPr>
        <w:t>。双方均有义务尽其一切努力防止任何第三方窃取秘密信息。由于任何一方违反以上保密义务给对方造成损失，违约方对受损失方负有停止侵害、消除影响、赔偿损失的责任。</w:t>
      </w:r>
    </w:p>
    <w:p w14:paraId="0158F626">
      <w:pPr>
        <w:adjustRightInd w:val="0"/>
        <w:snapToGrid w:val="0"/>
        <w:spacing w:line="560" w:lineRule="exact"/>
        <w:rPr>
          <w:rFonts w:ascii="仿宋" w:hAnsi="仿宋" w:eastAsia="仿宋" w:cs="仿宋"/>
          <w:b/>
          <w:color w:val="auto"/>
          <w:kern w:val="0"/>
          <w:sz w:val="28"/>
          <w:szCs w:val="28"/>
          <w:highlight w:val="none"/>
          <w:lang w:bidi="ar"/>
        </w:rPr>
      </w:pPr>
      <w:r>
        <w:rPr>
          <w:rFonts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二</w:t>
      </w:r>
      <w:r>
        <w:rPr>
          <w:rFonts w:ascii="仿宋" w:hAnsi="仿宋" w:eastAsia="仿宋" w:cs="仿宋"/>
          <w:b/>
          <w:color w:val="auto"/>
          <w:kern w:val="0"/>
          <w:sz w:val="28"/>
          <w:szCs w:val="28"/>
          <w:highlight w:val="none"/>
          <w:lang w:bidi="ar"/>
        </w:rPr>
        <w:t>、不可抗力</w:t>
      </w:r>
    </w:p>
    <w:p w14:paraId="1587BCBA">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rFonts w:hint="eastAsia" w:ascii="仿宋" w:hAnsi="仿宋" w:eastAsia="仿宋" w:cs="仿宋"/>
          <w:bCs/>
          <w:color w:val="auto"/>
          <w:kern w:val="0"/>
          <w:sz w:val="28"/>
          <w:szCs w:val="28"/>
          <w:highlight w:val="none"/>
          <w:lang w:val="en-US" w:eastAsia="zh-CN" w:bidi="ar"/>
        </w:rPr>
        <w:t>免于</w:t>
      </w:r>
      <w:r>
        <w:rPr>
          <w:rFonts w:ascii="仿宋" w:hAnsi="仿宋" w:eastAsia="仿宋" w:cs="仿宋"/>
          <w:bCs/>
          <w:color w:val="auto"/>
          <w:kern w:val="0"/>
          <w:sz w:val="28"/>
          <w:szCs w:val="28"/>
          <w:highlight w:val="none"/>
          <w:lang w:bidi="ar"/>
        </w:rPr>
        <w:t>担违约责任。</w:t>
      </w:r>
    </w:p>
    <w:p w14:paraId="48D5F92C">
      <w:pPr>
        <w:adjustRightInd w:val="0"/>
        <w:snapToGrid w:val="0"/>
        <w:spacing w:line="560" w:lineRule="exact"/>
        <w:rPr>
          <w:rFonts w:ascii="仿宋" w:hAnsi="仿宋" w:eastAsia="仿宋" w:cs="仿宋"/>
          <w:b/>
          <w:color w:val="auto"/>
          <w:kern w:val="0"/>
          <w:sz w:val="28"/>
          <w:szCs w:val="28"/>
          <w:highlight w:val="none"/>
          <w:lang w:bidi="ar"/>
        </w:rPr>
      </w:pPr>
      <w:r>
        <w:rPr>
          <w:rFonts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三</w:t>
      </w:r>
      <w:r>
        <w:rPr>
          <w:rFonts w:hint="eastAsia" w:ascii="仿宋" w:hAnsi="仿宋" w:eastAsia="仿宋" w:cs="仿宋"/>
          <w:b/>
          <w:color w:val="auto"/>
          <w:kern w:val="0"/>
          <w:sz w:val="28"/>
          <w:szCs w:val="28"/>
          <w:highlight w:val="none"/>
          <w:lang w:bidi="ar"/>
        </w:rPr>
        <w:t>、</w:t>
      </w:r>
      <w:r>
        <w:rPr>
          <w:rFonts w:ascii="仿宋" w:hAnsi="仿宋" w:eastAsia="仿宋" w:cs="仿宋"/>
          <w:b/>
          <w:color w:val="auto"/>
          <w:kern w:val="0"/>
          <w:sz w:val="28"/>
          <w:szCs w:val="28"/>
          <w:highlight w:val="none"/>
          <w:lang w:bidi="ar"/>
        </w:rPr>
        <w:t>监督和管理</w:t>
      </w:r>
    </w:p>
    <w:p w14:paraId="3582AB7D">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1、</w:t>
      </w:r>
      <w:r>
        <w:rPr>
          <w:rFonts w:ascii="仿宋" w:hAnsi="仿宋" w:eastAsia="仿宋" w:cs="仿宋"/>
          <w:bCs/>
          <w:color w:val="auto"/>
          <w:kern w:val="0"/>
          <w:sz w:val="28"/>
          <w:szCs w:val="28"/>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 10%。</w:t>
      </w:r>
    </w:p>
    <w:p w14:paraId="75D6D617">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2、</w:t>
      </w:r>
      <w:r>
        <w:rPr>
          <w:rFonts w:ascii="仿宋" w:hAnsi="仿宋" w:eastAsia="仿宋" w:cs="仿宋"/>
          <w:bCs/>
          <w:color w:val="auto"/>
          <w:kern w:val="0"/>
          <w:sz w:val="28"/>
          <w:szCs w:val="28"/>
          <w:highlight w:val="none"/>
          <w:lang w:bidi="ar"/>
        </w:rPr>
        <w:t>甲乙双方均应自觉配合有关监督管理部门对合同履行情况的监督检查，如实反映情况，提供有关资料。否则，将对有关单位、当事人按照有关规定予以处罚</w:t>
      </w:r>
      <w:r>
        <w:rPr>
          <w:rFonts w:hint="eastAsia" w:ascii="仿宋" w:hAnsi="仿宋" w:eastAsia="仿宋" w:cs="仿宋"/>
          <w:bCs/>
          <w:color w:val="auto"/>
          <w:kern w:val="0"/>
          <w:sz w:val="28"/>
          <w:szCs w:val="28"/>
          <w:highlight w:val="none"/>
          <w:lang w:bidi="ar"/>
        </w:rPr>
        <w:t>。</w:t>
      </w:r>
    </w:p>
    <w:p w14:paraId="425B8CCC">
      <w:pPr>
        <w:adjustRightInd w:val="0"/>
        <w:snapToGrid w:val="0"/>
        <w:spacing w:line="560" w:lineRule="exact"/>
        <w:rPr>
          <w:rFonts w:ascii="仿宋" w:hAnsi="仿宋" w:eastAsia="仿宋" w:cs="仿宋"/>
          <w:b/>
          <w:color w:val="auto"/>
          <w:kern w:val="0"/>
          <w:sz w:val="28"/>
          <w:szCs w:val="28"/>
          <w:highlight w:val="none"/>
          <w:lang w:bidi="ar"/>
        </w:rPr>
      </w:pPr>
      <w:r>
        <w:rPr>
          <w:rFonts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四</w:t>
      </w:r>
      <w:r>
        <w:rPr>
          <w:rFonts w:ascii="仿宋" w:hAnsi="仿宋" w:eastAsia="仿宋" w:cs="仿宋"/>
          <w:b/>
          <w:color w:val="auto"/>
          <w:kern w:val="0"/>
          <w:sz w:val="28"/>
          <w:szCs w:val="28"/>
          <w:highlight w:val="none"/>
          <w:lang w:bidi="ar"/>
        </w:rPr>
        <w:t>、无效合同</w:t>
      </w:r>
    </w:p>
    <w:p w14:paraId="7A94E3F1">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甲乙双方如因违反政府采购法及相关法律法规的规定，被宣告合同无效的，一切责任概由过错方自行承担。</w:t>
      </w:r>
    </w:p>
    <w:p w14:paraId="32A71229">
      <w:pPr>
        <w:adjustRightInd w:val="0"/>
        <w:snapToGrid w:val="0"/>
        <w:spacing w:line="560" w:lineRule="exact"/>
        <w:rPr>
          <w:rFonts w:ascii="仿宋" w:hAnsi="仿宋" w:eastAsia="仿宋" w:cs="仿宋"/>
          <w:b/>
          <w:color w:val="auto"/>
          <w:kern w:val="0"/>
          <w:sz w:val="28"/>
          <w:szCs w:val="28"/>
          <w:highlight w:val="none"/>
          <w:lang w:bidi="ar"/>
        </w:rPr>
      </w:pPr>
      <w:r>
        <w:rPr>
          <w:rFonts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五</w:t>
      </w:r>
      <w:r>
        <w:rPr>
          <w:rFonts w:ascii="仿宋" w:hAnsi="仿宋" w:eastAsia="仿宋" w:cs="仿宋"/>
          <w:b/>
          <w:color w:val="auto"/>
          <w:kern w:val="0"/>
          <w:sz w:val="28"/>
          <w:szCs w:val="28"/>
          <w:highlight w:val="none"/>
          <w:lang w:bidi="ar"/>
        </w:rPr>
        <w:t>、争议解决方法</w:t>
      </w:r>
    </w:p>
    <w:p w14:paraId="743B5BFA">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ascii="仿宋" w:hAnsi="仿宋" w:eastAsia="仿宋" w:cs="仿宋"/>
          <w:bCs/>
          <w:color w:val="auto"/>
          <w:kern w:val="0"/>
          <w:sz w:val="28"/>
          <w:szCs w:val="28"/>
          <w:highlight w:val="none"/>
          <w:lang w:bidi="ar"/>
        </w:rPr>
        <w:t>双方就本合同条款发生纠纷时，友好协商解决，协商不成时任何一方均可选择向甲方所在地人民法院诉讼解决。</w:t>
      </w:r>
    </w:p>
    <w:p w14:paraId="1B3AD825">
      <w:pPr>
        <w:pStyle w:val="2"/>
        <w:spacing w:line="560" w:lineRule="exact"/>
        <w:ind w:firstLine="0" w:firstLineChars="0"/>
        <w:rPr>
          <w:rFonts w:hint="eastAsia" w:ascii="仿宋" w:hAnsi="仿宋" w:eastAsia="仿宋" w:cs="仿宋"/>
          <w:b/>
          <w:color w:val="auto"/>
          <w:kern w:val="0"/>
          <w:sz w:val="28"/>
          <w:szCs w:val="28"/>
          <w:highlight w:val="none"/>
          <w:lang w:val="en-US" w:eastAsia="zh-CN" w:bidi="ar"/>
        </w:rPr>
      </w:pPr>
      <w:bookmarkStart w:id="3" w:name="_Toc19122"/>
      <w:bookmarkStart w:id="4" w:name="_Toc12776"/>
      <w:r>
        <w:rPr>
          <w:rFonts w:hint="eastAsia" w:ascii="仿宋" w:hAnsi="仿宋" w:eastAsia="仿宋" w:cs="仿宋"/>
          <w:b/>
          <w:color w:val="auto"/>
          <w:kern w:val="0"/>
          <w:sz w:val="28"/>
          <w:szCs w:val="28"/>
          <w:highlight w:val="none"/>
          <w:lang w:val="en-US" w:eastAsia="zh-CN" w:bidi="ar"/>
        </w:rPr>
        <w:t>十六、信用融资（如有）</w:t>
      </w:r>
      <w:bookmarkEnd w:id="3"/>
      <w:bookmarkEnd w:id="4"/>
    </w:p>
    <w:p w14:paraId="268CE74A">
      <w:pPr>
        <w:pStyle w:val="2"/>
        <w:spacing w:after="0" w:line="560" w:lineRule="exact"/>
        <w:ind w:firstLine="560" w:firstLineChars="200"/>
        <w:rPr>
          <w:rFonts w:hint="default" w:ascii="仿宋" w:hAnsi="仿宋" w:eastAsia="仿宋" w:cs="仿宋"/>
          <w:b w:val="0"/>
          <w:bCs/>
          <w:color w:val="auto"/>
          <w:kern w:val="0"/>
          <w:sz w:val="28"/>
          <w:szCs w:val="28"/>
          <w:highlight w:val="none"/>
          <w:u w:val="single"/>
          <w:lang w:val="en-US" w:eastAsia="zh-CN" w:bidi="ar"/>
        </w:rPr>
      </w:pPr>
      <w:r>
        <w:rPr>
          <w:rFonts w:hint="eastAsia" w:ascii="仿宋" w:hAnsi="仿宋" w:eastAsia="仿宋" w:cs="仿宋"/>
          <w:b w:val="0"/>
          <w:bCs/>
          <w:color w:val="auto"/>
          <w:kern w:val="0"/>
          <w:sz w:val="28"/>
          <w:szCs w:val="28"/>
          <w:highlight w:val="none"/>
          <w:lang w:val="en-US" w:eastAsia="zh-CN" w:bidi="ar"/>
        </w:rPr>
        <w:t>银行名称：</w:t>
      </w:r>
      <w:r>
        <w:rPr>
          <w:rFonts w:hint="eastAsia" w:ascii="仿宋" w:hAnsi="仿宋" w:eastAsia="仿宋" w:cs="仿宋"/>
          <w:b w:val="0"/>
          <w:bCs/>
          <w:color w:val="auto"/>
          <w:kern w:val="0"/>
          <w:sz w:val="28"/>
          <w:szCs w:val="28"/>
          <w:highlight w:val="none"/>
          <w:u w:val="single"/>
          <w:lang w:val="en-US" w:eastAsia="zh-CN" w:bidi="ar"/>
        </w:rPr>
        <w:t xml:space="preserve">          </w:t>
      </w:r>
      <w:r>
        <w:rPr>
          <w:rFonts w:hint="eastAsia" w:ascii="仿宋" w:hAnsi="仿宋" w:eastAsia="仿宋" w:cs="仿宋"/>
          <w:b w:val="0"/>
          <w:bCs/>
          <w:color w:val="auto"/>
          <w:kern w:val="0"/>
          <w:sz w:val="28"/>
          <w:szCs w:val="28"/>
          <w:highlight w:val="none"/>
          <w:lang w:val="en-US" w:eastAsia="zh-CN" w:bidi="ar"/>
        </w:rPr>
        <w:t>，收款账号：</w:t>
      </w:r>
      <w:r>
        <w:rPr>
          <w:rFonts w:hint="eastAsia" w:ascii="仿宋" w:hAnsi="仿宋" w:eastAsia="仿宋" w:cs="仿宋"/>
          <w:b w:val="0"/>
          <w:bCs/>
          <w:color w:val="auto"/>
          <w:kern w:val="0"/>
          <w:sz w:val="28"/>
          <w:szCs w:val="28"/>
          <w:highlight w:val="none"/>
          <w:u w:val="single"/>
          <w:lang w:val="en-US" w:eastAsia="zh-CN" w:bidi="ar"/>
        </w:rPr>
        <w:t xml:space="preserve">           </w:t>
      </w:r>
    </w:p>
    <w:p w14:paraId="1C7870CF">
      <w:pPr>
        <w:adjustRightInd w:val="0"/>
        <w:snapToGrid w:val="0"/>
        <w:spacing w:line="560" w:lineRule="exact"/>
        <w:rPr>
          <w:rFonts w:ascii="仿宋" w:hAnsi="仿宋" w:eastAsia="仿宋" w:cs="仿宋"/>
          <w:b/>
          <w:color w:val="auto"/>
          <w:kern w:val="0"/>
          <w:sz w:val="28"/>
          <w:szCs w:val="28"/>
          <w:highlight w:val="none"/>
          <w:lang w:bidi="ar"/>
        </w:rPr>
      </w:pPr>
      <w:r>
        <w:rPr>
          <w:rFonts w:ascii="仿宋" w:hAnsi="仿宋" w:eastAsia="仿宋" w:cs="仿宋"/>
          <w:b/>
          <w:color w:val="auto"/>
          <w:kern w:val="0"/>
          <w:sz w:val="28"/>
          <w:szCs w:val="28"/>
          <w:highlight w:val="none"/>
          <w:lang w:bidi="ar"/>
        </w:rPr>
        <w:t>十</w:t>
      </w:r>
      <w:r>
        <w:rPr>
          <w:rFonts w:hint="eastAsia" w:ascii="仿宋" w:hAnsi="仿宋" w:eastAsia="仿宋" w:cs="仿宋"/>
          <w:b/>
          <w:color w:val="auto"/>
          <w:kern w:val="0"/>
          <w:sz w:val="28"/>
          <w:szCs w:val="28"/>
          <w:highlight w:val="none"/>
          <w:lang w:val="en-US" w:eastAsia="zh-CN" w:bidi="ar"/>
        </w:rPr>
        <w:t>七</w:t>
      </w:r>
      <w:r>
        <w:rPr>
          <w:rFonts w:ascii="仿宋" w:hAnsi="仿宋" w:eastAsia="仿宋" w:cs="仿宋"/>
          <w:b/>
          <w:color w:val="auto"/>
          <w:kern w:val="0"/>
          <w:sz w:val="28"/>
          <w:szCs w:val="28"/>
          <w:highlight w:val="none"/>
          <w:lang w:bidi="ar"/>
        </w:rPr>
        <w:t>、附则</w:t>
      </w:r>
    </w:p>
    <w:p w14:paraId="32AFB2BB">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1、</w:t>
      </w:r>
      <w:r>
        <w:rPr>
          <w:rFonts w:ascii="仿宋" w:hAnsi="仿宋" w:eastAsia="仿宋" w:cs="仿宋"/>
          <w:bCs/>
          <w:color w:val="auto"/>
          <w:kern w:val="0"/>
          <w:sz w:val="28"/>
          <w:szCs w:val="28"/>
          <w:highlight w:val="none"/>
          <w:lang w:bidi="ar"/>
        </w:rPr>
        <w:t>本次采购项目的招标文件、投标文件、中标通知书及澄清说明文件均为本合同的组成部分，甲、乙双方必须全面遵守，如有违反，应承担违约责任</w:t>
      </w:r>
      <w:r>
        <w:rPr>
          <w:rFonts w:hint="eastAsia" w:ascii="仿宋" w:hAnsi="仿宋" w:eastAsia="仿宋" w:cs="仿宋"/>
          <w:bCs/>
          <w:color w:val="auto"/>
          <w:kern w:val="0"/>
          <w:sz w:val="28"/>
          <w:szCs w:val="28"/>
          <w:highlight w:val="none"/>
          <w:lang w:bidi="ar"/>
        </w:rPr>
        <w:t>。</w:t>
      </w:r>
    </w:p>
    <w:p w14:paraId="6B0D534E">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2、</w:t>
      </w:r>
      <w:r>
        <w:rPr>
          <w:rFonts w:ascii="仿宋" w:hAnsi="仿宋" w:eastAsia="仿宋" w:cs="仿宋"/>
          <w:bCs/>
          <w:color w:val="auto"/>
          <w:kern w:val="0"/>
          <w:sz w:val="28"/>
          <w:szCs w:val="28"/>
          <w:highlight w:val="none"/>
          <w:lang w:bidi="ar"/>
        </w:rPr>
        <w:t>合同未尽事宜，由甲、乙双方协商，作为合同补充，与原合同具有同等法律效力。</w:t>
      </w:r>
    </w:p>
    <w:p w14:paraId="18B1240D">
      <w:pPr>
        <w:adjustRightInd w:val="0"/>
        <w:snapToGrid w:val="0"/>
        <w:spacing w:line="560" w:lineRule="exact"/>
        <w:ind w:firstLine="560" w:firstLineChars="200"/>
        <w:rPr>
          <w:rFonts w:hint="eastAsia"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3、</w:t>
      </w:r>
      <w:r>
        <w:rPr>
          <w:rFonts w:ascii="仿宋" w:hAnsi="仿宋" w:eastAsia="仿宋" w:cs="仿宋"/>
          <w:bCs/>
          <w:color w:val="auto"/>
          <w:kern w:val="0"/>
          <w:sz w:val="28"/>
          <w:szCs w:val="28"/>
          <w:highlight w:val="none"/>
          <w:lang w:bidi="ar"/>
        </w:rPr>
        <w:t>本合同一式</w:t>
      </w:r>
      <w:r>
        <w:rPr>
          <w:rFonts w:hint="eastAsia" w:ascii="仿宋" w:hAnsi="仿宋" w:eastAsia="仿宋" w:cs="仿宋"/>
          <w:bCs/>
          <w:color w:val="auto"/>
          <w:kern w:val="0"/>
          <w:sz w:val="28"/>
          <w:szCs w:val="28"/>
          <w:highlight w:val="none"/>
          <w:lang w:bidi="ar"/>
        </w:rPr>
        <w:t>伍</w:t>
      </w:r>
      <w:r>
        <w:rPr>
          <w:rFonts w:ascii="仿宋" w:hAnsi="仿宋" w:eastAsia="仿宋" w:cs="仿宋"/>
          <w:bCs/>
          <w:color w:val="auto"/>
          <w:kern w:val="0"/>
          <w:sz w:val="28"/>
          <w:szCs w:val="28"/>
          <w:highlight w:val="none"/>
          <w:lang w:bidi="ar"/>
        </w:rPr>
        <w:t>份，甲乙双方各执贰份，</w:t>
      </w:r>
      <w:r>
        <w:rPr>
          <w:rFonts w:hint="eastAsia" w:ascii="仿宋" w:hAnsi="仿宋" w:eastAsia="仿宋"/>
          <w:color w:val="auto"/>
          <w:sz w:val="28"/>
          <w:szCs w:val="28"/>
          <w:highlight w:val="none"/>
        </w:rPr>
        <w:t>采购代理机构壹份。</w:t>
      </w:r>
    </w:p>
    <w:p w14:paraId="0C591D42">
      <w:pPr>
        <w:adjustRightInd w:val="0"/>
        <w:snapToGrid w:val="0"/>
        <w:spacing w:line="560" w:lineRule="exact"/>
        <w:ind w:firstLine="560" w:firstLineChars="200"/>
        <w:rPr>
          <w:rFonts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4、</w:t>
      </w:r>
      <w:r>
        <w:rPr>
          <w:rFonts w:ascii="仿宋" w:hAnsi="仿宋" w:eastAsia="仿宋" w:cs="仿宋"/>
          <w:bCs/>
          <w:color w:val="auto"/>
          <w:kern w:val="0"/>
          <w:sz w:val="28"/>
          <w:szCs w:val="28"/>
          <w:highlight w:val="none"/>
          <w:lang w:bidi="ar"/>
        </w:rPr>
        <w:t>合同经甲、乙双方盖章、签字后生效。</w:t>
      </w:r>
    </w:p>
    <w:p w14:paraId="6E241BA0">
      <w:pPr>
        <w:pStyle w:val="5"/>
        <w:spacing w:line="560" w:lineRule="exact"/>
        <w:ind w:left="0" w:leftChars="0"/>
        <w:rPr>
          <w:rFonts w:hint="eastAsia"/>
          <w:color w:val="auto"/>
          <w:highlight w:val="none"/>
        </w:rPr>
      </w:pPr>
    </w:p>
    <w:p w14:paraId="7870EC0B">
      <w:pPr>
        <w:pStyle w:val="4"/>
        <w:spacing w:line="560" w:lineRule="exact"/>
        <w:rPr>
          <w:rFonts w:hint="eastAsia"/>
          <w:color w:val="auto"/>
          <w:highlight w:val="none"/>
        </w:rPr>
      </w:pPr>
    </w:p>
    <w:p w14:paraId="3B8B4217">
      <w:pPr>
        <w:rPr>
          <w:rFonts w:hint="eastAsia"/>
          <w:color w:val="auto"/>
          <w:highlight w:val="none"/>
        </w:rPr>
      </w:pPr>
    </w:p>
    <w:p w14:paraId="4EB97BD2">
      <w:pPr>
        <w:rPr>
          <w:rFonts w:hint="eastAsia"/>
          <w:color w:val="auto"/>
          <w:highlight w:val="none"/>
        </w:rPr>
      </w:pPr>
    </w:p>
    <w:p w14:paraId="41569F24">
      <w:pPr>
        <w:rPr>
          <w:rFonts w:hint="eastAsia"/>
          <w:color w:val="auto"/>
          <w:highlight w:val="none"/>
        </w:rPr>
      </w:pPr>
    </w:p>
    <w:p w14:paraId="1FE8992F">
      <w:pPr>
        <w:rPr>
          <w:rFonts w:hint="eastAsia"/>
          <w:color w:val="auto"/>
          <w:highlight w:val="none"/>
        </w:rPr>
      </w:pPr>
    </w:p>
    <w:p w14:paraId="5C493F54">
      <w:pPr>
        <w:spacing w:line="560" w:lineRule="exact"/>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      （公章）               乙方：         （公章）</w:t>
      </w:r>
    </w:p>
    <w:p w14:paraId="2E9E6880">
      <w:pPr>
        <w:spacing w:line="560" w:lineRule="exact"/>
        <w:ind w:firstLine="280" w:firstLineChars="100"/>
        <w:rPr>
          <w:rFonts w:hint="eastAsia" w:ascii="仿宋" w:hAnsi="仿宋" w:eastAsia="仿宋" w:cs="仿宋"/>
          <w:color w:val="auto"/>
          <w:sz w:val="28"/>
          <w:szCs w:val="28"/>
          <w:highlight w:val="none"/>
        </w:rPr>
      </w:pPr>
    </w:p>
    <w:p w14:paraId="3880DE2B">
      <w:pPr>
        <w:spacing w:line="560" w:lineRule="exact"/>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负责人                                 负责人  </w:t>
      </w:r>
    </w:p>
    <w:p w14:paraId="68CD2F79">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FFD1FE">
      <w:pPr>
        <w:spacing w:line="560" w:lineRule="exact"/>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    间： 年月日            时    间： 年月日</w:t>
      </w:r>
    </w:p>
    <w:p w14:paraId="15192322">
      <w:pPr>
        <w:pStyle w:val="8"/>
        <w:rPr>
          <w:rFonts w:hint="eastAsia"/>
          <w:color w:val="auto"/>
          <w:highlight w:val="none"/>
          <w:lang w:val="en-US" w:eastAsia="zh-Hans"/>
        </w:rPr>
      </w:pPr>
    </w:p>
    <w:p w14:paraId="70C32D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AC6D80"/>
    <w:multiLevelType w:val="singleLevel"/>
    <w:tmpl w:val="55AC6D8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7A4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4">
    <w:name w:val="Normal Indent"/>
    <w:basedOn w:val="1"/>
    <w:next w:val="1"/>
    <w:qFormat/>
    <w:uiPriority w:val="0"/>
    <w:pPr>
      <w:widowControl/>
      <w:ind w:firstLine="420"/>
      <w:jc w:val="left"/>
    </w:pPr>
    <w:rPr>
      <w:kern w:val="0"/>
      <w:sz w:val="20"/>
      <w:szCs w:val="20"/>
    </w:rPr>
  </w:style>
  <w:style w:type="paragraph" w:styleId="5">
    <w:name w:val="toc 4"/>
    <w:basedOn w:val="1"/>
    <w:next w:val="1"/>
    <w:qFormat/>
    <w:uiPriority w:val="0"/>
    <w:pPr>
      <w:ind w:left="1260" w:leftChars="6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空2格  1."/>
    <w:basedOn w:val="1"/>
    <w:qFormat/>
    <w:uiPriority w:val="99"/>
    <w:pPr>
      <w:kinsoku w:val="0"/>
      <w:autoSpaceDE w:val="0"/>
      <w:autoSpaceDN w:val="0"/>
      <w:adjustRightInd w:val="0"/>
      <w:snapToGrid w:val="0"/>
      <w:spacing w:line="360" w:lineRule="auto"/>
      <w:ind w:firstLine="480" w:firstLineChars="200"/>
    </w:pPr>
    <w:rPr>
      <w:rFonts w:ascii="宋体" w:eastAsia="仿宋" w:cs="宋体"/>
      <w:color w:val="000000"/>
      <w:kern w:val="0"/>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2026-07-11T01:58:19Z</dcterms:created>
  <dc:creator>Administrator</dc:creator>
  <cp:lastModifiedBy>文奕</cp:lastModifiedBy>
  <dcterms:modified xsi:type="dcterms:W3CDTF">2026-07-11T01:58:41Z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eyJoZGlkIjoiODRmYWVmYmY1YmRhZDcyYTNmZmE5Nzk0ZGUxNmRiZDgiLCJ1c2VySWQiOiI0NTg2NTgxODcifQ==</vt:lpwstr>
  </property>
  <property fmtid="{D5CDD505-2E9C-101B-9397-08002B2CF9AE}" pid="4" name="ICV">
    <vt:lpwstr>6E62DC5F02794CF4A906CC1F823C3BB0_12</vt:lpwstr>
  </property>
</Properties>
</file>