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版本号：SHZB202601620260624002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自动体外除颤器（AED）设备采购（二次）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SHZB2026016</w:t>
      </w:r>
      <w:r>
        <w:br/>
      </w:r>
      <w:r>
        <w:br/>
      </w:r>
      <w:r>
        <w:br/>
      </w:r>
    </w:p>
    <w:p>
      <w:pPr>
        <w:pStyle w:val="null3"/>
        <w:jc w:val="center"/>
        <w:outlineLvl w:val="2"/>
      </w:pPr>
      <w:r>
        <w:rPr>
          <w:rFonts w:ascii="仿宋_GB2312" w:hAnsi="仿宋_GB2312" w:cs="仿宋_GB2312" w:eastAsia="仿宋_GB2312"/>
          <w:sz w:val="28"/>
          <w:b/>
        </w:rPr>
        <w:t>汉中市公安局</w:t>
      </w:r>
    </w:p>
    <w:p>
      <w:pPr>
        <w:pStyle w:val="null3"/>
        <w:jc w:val="center"/>
        <w:outlineLvl w:val="2"/>
      </w:pPr>
      <w:r>
        <w:rPr>
          <w:rFonts w:ascii="仿宋_GB2312" w:hAnsi="仿宋_GB2312" w:cs="仿宋_GB2312" w:eastAsia="仿宋_GB2312"/>
          <w:sz w:val="28"/>
          <w:b/>
        </w:rPr>
        <w:t>陕西世豪项目管理有限公司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汉中市公安局</w:t>
      </w:r>
      <w:r>
        <w:rPr>
          <w:rFonts w:ascii="仿宋_GB2312" w:hAnsi="仿宋_GB2312" w:cs="仿宋_GB2312" w:eastAsia="仿宋_GB2312"/>
        </w:rPr>
        <w:t>委托，拟对</w:t>
      </w:r>
      <w:r>
        <w:rPr>
          <w:rFonts w:ascii="仿宋_GB2312" w:hAnsi="仿宋_GB2312" w:cs="仿宋_GB2312" w:eastAsia="仿宋_GB2312"/>
        </w:rPr>
        <w:t>自动体外除颤器（AED）设备采购（二次）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SHZB2026016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自动体外除颤器（AED）设备采购（二次）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帮助非专业人员在紧急情况下对心脏骤停人员的紧急抢救，拟采购数量1批（55台）。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如为代理商的应出具医疗器械经营许可证（或医疗器械经营备案证）和生产厂家的《医疗器械生产许可证》（或医疗器械生产备案凭证）；供应商如为制造商的应出具医疗器械生产许可证（或医疗器械生产备案证）和医疗器械经营许可证（或医疗器械经营备案证）；投标产品应具备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15399160337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陕西省西安市高新区锦业路绿地中心A座1208室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石拓、孙思雨、王芳妮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15691903320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础，根据国家发改委《招标代理服务收费管理暂行办法》（计价格〔2002〕1980号）以及《关于进一步放开建设项目专项业务服务价格的通知》（发改价格〔2015〕299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汉中市公安局</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联系人：王芳妮</w:t>
      </w:r>
    </w:p>
    <w:p>
      <w:pPr>
        <w:pStyle w:val="null3"/>
      </w:pPr>
      <w:r>
        <w:rPr>
          <w:rFonts w:ascii="仿宋_GB2312" w:hAnsi="仿宋_GB2312" w:cs="仿宋_GB2312" w:eastAsia="仿宋_GB2312"/>
        </w:rPr>
        <w:t>联系电话：15691903320</w:t>
      </w:r>
    </w:p>
    <w:p>
      <w:pPr>
        <w:pStyle w:val="null3"/>
      </w:pPr>
      <w:r>
        <w:rPr>
          <w:rFonts w:ascii="仿宋_GB2312" w:hAnsi="仿宋_GB2312" w:cs="仿宋_GB2312" w:eastAsia="仿宋_GB2312"/>
        </w:rPr>
        <w:t>地址：陕西省西安市高新区锦业路绿地中心A座1208室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帮助非专业人员在紧急情况下对心脏骤停人员的紧急抢救，拟采购数量1批（55台）。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自动体外除颤器（AED）设备采购（二次）</w:t>
            </w:r>
          </w:p>
        </w:tc>
        <w:tc>
          <w:tcPr>
            <w:tcW w:type="dxa" w:w="755"/>
          </w:tcPr>
          <w:p>
            <w:pPr>
              <w:pStyle w:val="null3"/>
              <w:jc w:val="right"/>
            </w:pPr>
            <w:r>
              <w:rPr>
                <w:rFonts w:ascii="仿宋_GB2312" w:hAnsi="仿宋_GB2312" w:cs="仿宋_GB2312" w:eastAsia="仿宋_GB2312"/>
              </w:rPr>
              <w:t>55.00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标的名称：自动体外除颤器（AED）设备采购（二次）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outlineLvl w:val="2"/>
            </w:pPr>
            <w:r>
              <w:rPr>
                <w:rFonts w:ascii="仿宋_GB2312" w:hAnsi="仿宋_GB2312" w:cs="仿宋_GB2312" w:eastAsia="仿宋_GB2312"/>
                <w:sz w:val="22"/>
                <w:b/>
                <w:color w:val="000000"/>
              </w:rPr>
              <w:t>（一）主要技术指标（强制性）</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1）★采用双相波除颤技术，除颤方式为半自动，成人最大除颤能量≤200J，儿童最大除颤能量≤70J。</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2）★设备支持开盖开机或按键开机。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3）★设备支持多种自检程序，包括：首次电池安装自检，开机自检，日自检，周自检，月自检，设备内部自动记录结果，对于异常情况能及时有警示灯和语音提示。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4）★设备支持零下温度环境中正常工作。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color w:val="000000"/>
              </w:rPr>
              <w:t>（二）一般技术指标（重要性参数）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1）▲设备本身具有便携提手，整机重量≤2.6Kg（含电池）。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2）▲防尘防水级别：设备具有良好的防尘防水设计，防尘防水级别为≥IP66。</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3）▲单副电极片有效期:≥5年，保修≥2年。</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4）▲设备具有彩色显示屏，屏幕尺寸≥7英寸，分辨率≥800*480，可支持动画指导用户进行急救操作。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5）▲设备能够根据环境噪音强度自动调节语音播放音量，适应急救现场嘈杂环境下使用。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6）▲操作提示：电极片粘贴不良或插头脱落时，具有及时给予语音和可视提示的功能，避免无效操作耽误抢救。</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7）▲心肺复苏提示：有辅助节拍音指导施救者进行心肺复苏。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操作安全防护：当遇到电极片脱离患者、拔出电极插头、患者心律转为不可电击心律时设备具备自动取消电击功能，防止发生意外伤害。自动监测患者是否属于心脏骤停需要电击提示，防止无效电击、造成二次伤害。</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9）▲电极片粘贴有效指示：左右电极片贴反等不影响正常使用。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10）▲抗冲击/跌落性能:机器六面均可承受≥1.5m跌落冲击。</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11）▲在室温温度环境下，电池待机寿命≥5年。</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12）▲在室温温度环境下，电池电量可支持 200J除颤治疗次数:≥200次。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13）▲开始AED分析到最大除颤能量放电准备就绪时间≤8s。</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14）▲可检测电池低电量并给出报警提示，低电量报警后至少还可持续30分钟工作时间和至少6次200J除颤充放电（适合条件下）。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15）▲单块电池的连续心电监护和心肺复苏指导工作时间≥18小时。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16）▲除颤模式：支持成人/小儿患者类型，并可快速一键切换。</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17）▲多语言支持：支持中英文语音提示，可一键快速切换。</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数据传输:支持内置无线数据传输功能，支持蓝牙、WiFi、4G/5G无线传输，可将自检数据、抢救数据(包括心电、阻抗和录音数据)、CPR持续时间、按压深度、频率、回弹状况、按压节拍数据无线传输到远程AED管理平台，无需USB等手动外联导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19）▲存储容量：设备可存储不少于3650份自检报告，36500条事件记录。</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20）▲提供设备状态指示灯和提示设备运行状态的语音：根据自检结果，采用符号指示设备状态，红绿色盲亦可看清设备状态；在设备故障时发出警报声，判断设备是否正常。</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21）▲按照设备数量1:1配备壁挂或立式机箱，可支持定制宣传。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22）▲产品售后服务全面周到，提供市区24小时上门服务，提供7x24小时在线服务。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23）▲针对本产品特点提供人员培训。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采购人所在地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进度款，合同签订后供应商开具发票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进度款，采购人收到货物并完成验收后供应商开具发票，达到付款条件起10个工作日内，支付合同总金额的50.0%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按照国家行业现行验收规范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AED设备主机使用寿命≥10年。 AED设备主机质保期≥5年。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2.为保障政府采购电子化交易平台项目 实施，供应商需要在线提交所有通过电子化交易平台实施的政府采购项目的响应文件，成交供应商在中标（成交）结果公示期 结束后须向采购人及代理机构提交纸质版响应文件正本1套、副本2套、电子版(U盘1份）。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响应的提供营业执照；事业单位响应的提供事业单位法人证书；其他组织响应的提供登记证书；个体工商户响应的提供个体工商户营业执照；自然人响应的提供身份证。（2）法定代表人或授权代表身份证明：法定代表人（负责人）参加投标的提供法定代表人（负责人）身份证明及身份证；授权代表参加投标的提供授权委托书及授权代表身份证。（3）税收缴纳证明：供应商自投标前1年内已缴纳任意时段、任意税种凭证或税务机关开具的完税证明；依法免税的应提供相关文件证明。（4）社保资金缴纳证明：供应商自投标前1年内已缴存的任意时段的社会保障资金缴存单据或社保机构开具的社会保险参保缴费情况证明；依法不需要缴纳社会保障资金的应提供相关文件证明。（5）供应商具备履行合同所必需的设备和专业技术能力承诺书。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为公益类事业单位或者自然人的无需提供。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如为代理商的应出具医疗器械经营许可证（或医疗器械经营备案证）和生产厂家的《医疗器械生产许可证》（或医疗器械生产备案凭证）；供应商如为制造商的应出具医疗器械生产许可证（或医疗器械生产备案证）和医疗器械经营许可证（或医疗器械经营备案证）；投标产品应具备医疗器械注册证。</w:t>
            </w:r>
          </w:p>
        </w:tc>
        <w:tc>
          <w:tcPr>
            <w:tcW w:type="dxa" w:w="1661"/>
          </w:tcPr>
          <w:p>
            <w:pPr>
              <w:pStyle w:val="null3"/>
            </w:pPr>
            <w:r>
              <w:rPr>
                <w:rFonts w:ascii="仿宋_GB2312" w:hAnsi="仿宋_GB2312" w:cs="仿宋_GB2312" w:eastAsia="仿宋_GB2312"/>
              </w:rPr>
              <w:t>残疾人福利性单位声明函 中小企业声明函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技术响应情况</w:t>
            </w:r>
          </w:p>
        </w:tc>
        <w:tc>
          <w:tcPr>
            <w:tcW w:type="dxa" w:w="2492"/>
          </w:tcPr>
          <w:p>
            <w:pPr>
              <w:pStyle w:val="null3"/>
            </w:pPr>
            <w:r>
              <w:rPr>
                <w:rFonts w:ascii="仿宋_GB2312" w:hAnsi="仿宋_GB2312" w:cs="仿宋_GB2312" w:eastAsia="仿宋_GB2312"/>
              </w:rPr>
              <w:t>技术服务规范书中“3.技术要求（硬件技术及性能要求）”，其中主要技术指标（以“★”标示的内容）不允许负偏离，投标人须完全满足，有负偏离的视为未实质性响应招标文件要求，投标无效。一般技术指标每有一项不满足的，扣5分，扣完为止。参数需逐条应答，证明材料不限于彩页、说明书、白皮书、检测报告、官网链接等。 （注：如发现提供虚假参数者技术分直接记为 0 分；中标设备交付标准必须以招标文件中技术参数为准，如有虚假应标采购人将追究其法律责任，并有权终止合同。）。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设备服务方案</w:t>
            </w:r>
          </w:p>
        </w:tc>
        <w:tc>
          <w:tcPr>
            <w:tcW w:type="dxa" w:w="2492"/>
          </w:tcPr>
          <w:p>
            <w:pPr>
              <w:pStyle w:val="null3"/>
            </w:pPr>
            <w:r>
              <w:rPr>
                <w:rFonts w:ascii="仿宋_GB2312" w:hAnsi="仿宋_GB2312" w:cs="仿宋_GB2312" w:eastAsia="仿宋_GB2312"/>
              </w:rPr>
              <w:t>根据供应商提供的设备服务方案进行对比，从到货时间、维修响应时限、零配件配备等方面进行打分，方案内容全面具体、针对性强、部署科学，且具有优秀的可操作性及可行性、无明显错误的得6分， 方案中每缺一项上述主要方案扣3分，每有一处缺陷扣2分，扣完为止（缺陷是指存在项目名称错误、地点区域错误、内容与本项目需求无关、方案内容矛盾或前后表述不一致、适用的标准（方法）错误、仅有标题或框架、无具体针对本项目的相关描述、明显复制与本项目无关的其他项目内容以及评标委员会认为其它不符合本项目实施的方案描述）。 完全不提供不得分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对供应商所提供的培训方案从培训计划、服务内容、故障维护机制、响应时间等方面进行综合评价。方案内容全面具体、针对性强、部署科学，且具有优秀的可操作性及可行性、无明显错误的得8分， 方案中每缺一项上述主要方案扣3分，每有一处缺陷扣2分，扣完为止（缺陷是指存在项目名称错误、地点区域错误、内容与本项目需求无关、方案内容矛盾或前后表述不一致、适用的标准（方法）错误、仅有标题或框架、无具体针对本项目的相关描述、明显复制与本项目无关的其他项目内容以及评标委员会认为其它不符合本项目实施的方案描述）。 完全不提供不得分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提供定制化网点风险应急处置预案及年度演练支持的，且具有可操作性，得3分，未提供或不具有操作性不得分。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每提供1份有价值的增值服务（包括但不限于免费提供AED管理平台及小程序、宣传与公益合作方案、急救事件法律援助等），得1分，最高3分。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提供近三年(自2023年1月1日至开标截止时间)所投标产品的主要产品的销售业绩。以提供的销售合同复印件为准，提供销售合同并附对应的银行存款进账凭证。 投标人为生产企业时，提供投标人销售合同。 投标人为代理商时，可以提供投标人代理销售合同，或提供生产企业销售合同;提供生产企业销售合同时，投标人代理销售合同无效。未盖章或盖章不清晰、总金额或数量不清晰的合同无效。 每有以上相关案例的，得2.5分，该项最高得5分。（须提供相关的合同及发票扫描件）。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产品成熟度</w:t>
            </w:r>
          </w:p>
        </w:tc>
        <w:tc>
          <w:tcPr>
            <w:tcW w:type="dxa" w:w="2492"/>
          </w:tcPr>
          <w:p>
            <w:pPr>
              <w:pStyle w:val="null3"/>
            </w:pPr>
            <w:r>
              <w:rPr>
                <w:rFonts w:ascii="仿宋_GB2312" w:hAnsi="仿宋_GB2312" w:cs="仿宋_GB2312" w:eastAsia="仿宋_GB2312"/>
              </w:rPr>
              <w:t>投标人提供所投产品近三年的市场应用情况，须提供相关证明材料，包括但不限于销售合同、验收报告及安装现场照片等，以真实反映产品投放市场的范围与规模，根据投标人提供的市场证明材料所体现的产品市场覆盖范围或应用规模，进行从高到低排序，第一名得满分5分，其余按排名递减打分，递减步长=分值/有效投标人个数。若投标人未提供材料，或所提供材料无法核实、不足以确认其市场情况的，该投标人按最后一名排序打分。 本条所称“有效投标人”指通过初步评审的投标人。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救人案例</w:t>
            </w:r>
          </w:p>
        </w:tc>
        <w:tc>
          <w:tcPr>
            <w:tcW w:type="dxa" w:w="2492"/>
          </w:tcPr>
          <w:p>
            <w:pPr>
              <w:pStyle w:val="null3"/>
            </w:pPr>
            <w:r>
              <w:rPr>
                <w:rFonts w:ascii="仿宋_GB2312" w:hAnsi="仿宋_GB2312" w:cs="仿宋_GB2312" w:eastAsia="仿宋_GB2312"/>
              </w:rPr>
              <w:t>投标人所投产品同品牌自动体外除颤器（AED）成功施救案例，每30个案例得1分，最高得5分。未提供证明材料的或证明材料不符合要求的不得分。 注：投标人应提供媒体报道相关证明材料并加盖制造商公章。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产品安全</w:t>
            </w:r>
          </w:p>
        </w:tc>
        <w:tc>
          <w:tcPr>
            <w:tcW w:type="dxa" w:w="2492"/>
          </w:tcPr>
          <w:p>
            <w:pPr>
              <w:pStyle w:val="null3"/>
            </w:pPr>
            <w:r>
              <w:rPr>
                <w:rFonts w:ascii="仿宋_GB2312" w:hAnsi="仿宋_GB2312" w:cs="仿宋_GB2312" w:eastAsia="仿宋_GB2312"/>
              </w:rPr>
              <w:t>投标产品的制造商近五年内（自2021年1月1日至今）无投标产品召回、医疗器械生产停产等严重事故事件的得5分。 注：投标人应提供承诺函。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满足招标文件要求且投标价格最低的投标报价为评标基准价，其价格分为满分30分。其他投标人的价格分统一按照下列公式计算： 投标报价得分=(评标基准价／投标报价)×30%×100 注：1、有效投标人是指通过符合性审查，未被废除投标资格的的投标人。 2、投标报价超过招标最高限价和经评委一致认为低于成本价的恶意竞标报价为无效标，此项不得分。 3、对小、微企业报价给予 10%的扣除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详见附件：详见附件：合同文本.docx.docx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