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版本号：2026-HZZB-01520260519002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病案寄存托管服务项目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2026-HZZB-015</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衡正国际工程咨询有限公司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衡正国际工程咨询有限公司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病案寄存托管服务项目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2026-HZZB-015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病案寄存托管服务项目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拟对陕西省人民医院病案寄存托管服务项目进行竞争性磋商采购，具体详见磋商文件。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采购包1（病案寄存托管服务）：属于专门面向中小企业采购。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1、营业执照：具有独立承担民事责任能力的法人、其他组织或自然人，并出具合法有效的营业执照或事业单位法人证书等国家规定的相关证明（副本）,自然人参与的提供其身份证明；</w:t>
      </w:r>
    </w:p>
    <w:p>
      <w:pPr>
        <w:pStyle w:val="null3"/>
      </w:pPr>
      <w:r>
        <w:rPr>
          <w:rFonts w:ascii="仿宋_GB2312" w:hAnsi="仿宋_GB2312" w:cs="仿宋_GB2312" w:eastAsia="仿宋_GB2312"/>
        </w:rPr>
        <w:t>2、法定代表授权书：法定代表人直接参加磋商的，须提供法定代表人身份证明及其身份证复印件加盖供应商公章；法定代表人授权本单位人员参加磋商的，须提供法定代表人授权委托书（附法定代表人、被授权人身份证复印件加盖供应商公章）；</w:t>
      </w:r>
    </w:p>
    <w:p>
      <w:pPr>
        <w:pStyle w:val="null3"/>
      </w:pPr>
      <w:r>
        <w:rPr>
          <w:rFonts w:ascii="仿宋_GB2312" w:hAnsi="仿宋_GB2312" w:cs="仿宋_GB2312" w:eastAsia="仿宋_GB2312"/>
        </w:rPr>
        <w:t>3、财务状况：提供经审计的2024或2025年度的财务报告（成立时间至响应文件递交截止时间不足一年的可提供成立后任意时段的资产负债表）或响应文件递交截止时间前六个月内银行出具的资信证明；其他组织和自然人提供银行出具的资信证明或财务报表；根据《财政部关于注册会计师行业统一监管平台上线运行的通知》财办〔2022〕32号文件要求，审计报告须有清晰可扫描查询的二维码，若审计报告未赋码视为无效；</w:t>
      </w:r>
    </w:p>
    <w:p>
      <w:pPr>
        <w:pStyle w:val="null3"/>
      </w:pPr>
      <w:r>
        <w:rPr>
          <w:rFonts w:ascii="仿宋_GB2312" w:hAnsi="仿宋_GB2312" w:cs="仿宋_GB2312" w:eastAsia="仿宋_GB2312"/>
        </w:rPr>
        <w:t>4、依法缴纳的税收和社保证明：提供2025年5月至今已缴纳的至少一个月的税收（时间以税款所属日期为准）缴纳证明（或完税证明）及社会保障资金缴纳证明，依法免缴的单位应提供相关证明材料；其他组织和自然人也须提供；</w:t>
      </w:r>
    </w:p>
    <w:p>
      <w:pPr>
        <w:pStyle w:val="null3"/>
      </w:pPr>
      <w:r>
        <w:rPr>
          <w:rFonts w:ascii="仿宋_GB2312" w:hAnsi="仿宋_GB2312" w:cs="仿宋_GB2312" w:eastAsia="仿宋_GB2312"/>
        </w:rPr>
        <w:t>5、信用中国：参加本次政府采购活动前三年内在经营活动中没有重大违纪，以及未被列入失信被执行人、重大税收违法案件当事人名单、政府采购严重违法失信行为记录名单的书面声明（附“信用中国”网站（www.creditchina.gov.cn)、中国政府采购网（www.ccgp.gov.cn）查询结果截图并加盖公章）；</w:t>
      </w:r>
    </w:p>
    <w:p>
      <w:pPr>
        <w:pStyle w:val="null3"/>
      </w:pPr>
      <w:r>
        <w:rPr>
          <w:rFonts w:ascii="仿宋_GB2312" w:hAnsi="仿宋_GB2312" w:cs="仿宋_GB2312" w:eastAsia="仿宋_GB2312"/>
        </w:rPr>
        <w:t>6、专业能力声明：提供具有履行本合同所必需的设备和专业技术能力的声明；</w:t>
      </w:r>
    </w:p>
    <w:p>
      <w:pPr>
        <w:pStyle w:val="null3"/>
      </w:pPr>
      <w:r>
        <w:rPr>
          <w:rFonts w:ascii="仿宋_GB2312" w:hAnsi="仿宋_GB2312" w:cs="仿宋_GB2312" w:eastAsia="仿宋_GB2312"/>
        </w:rPr>
        <w:t>7、控股管理关系：供应商负责人为同一人或者存在控股、管理关系的不同单位不得同时进行磋商；</w:t>
      </w:r>
    </w:p>
    <w:p>
      <w:pPr>
        <w:pStyle w:val="null3"/>
      </w:pPr>
      <w:r>
        <w:rPr>
          <w:rFonts w:ascii="仿宋_GB2312" w:hAnsi="仿宋_GB2312" w:cs="仿宋_GB2312" w:eastAsia="仿宋_GB2312"/>
        </w:rPr>
        <w:t>8、非联合体声明：本项目不接受联合体磋商，提供非联合体声明。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029-85251331-2204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衡正国际工程咨询有限公司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西安市雁塔区科技西路绿地博海大厦16层1603室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杨旭、仵严佳、张进花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029-88720501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开户名称：衡正国际工程咨询有限公司</w:t>
            </w:r>
          </w:p>
          <w:p>
            <w:pPr>
              <w:pStyle w:val="null3"/>
            </w:pPr>
            <w:r>
              <w:rPr>
                <w:rFonts w:ascii="仿宋_GB2312" w:hAnsi="仿宋_GB2312" w:cs="仿宋_GB2312" w:eastAsia="仿宋_GB2312"/>
              </w:rPr>
              <w:t>开户银行：中国银行西安科技路西段支行</w:t>
            </w:r>
          </w:p>
          <w:p>
            <w:pPr>
              <w:pStyle w:val="null3"/>
            </w:pPr>
            <w:r>
              <w:rPr>
                <w:rFonts w:ascii="仿宋_GB2312" w:hAnsi="仿宋_GB2312" w:cs="仿宋_GB2312" w:eastAsia="仿宋_GB2312"/>
              </w:rPr>
              <w:t>银行账号：103674378316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人在领取《成交通知书》之前，应向采购代理机构缴纳招标代理服务费。2、招标代理服务费依据《国家计委关于印发招标代理服务收费管理暂行办法的通知》（计价格【2002】1980号）和国家发改委办公厅颁发的《关于招标代理服务收费有关问题的通知》（发改办价格【2003】857号）文件规定标准下浮40%收取。对于服务类项目，按照第一年度的金额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衡正国际工程咨询有限公司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衡正国际工程咨询有限公司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衡正国际工程咨询有限公司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现场验收，由采购人和成交供应商共同对项目进行整体验收｡ 1.验收形式：现场验收 2.验收标准：按照病案寄存招标需求标准 3.验收方法：根据需求标准逐一验收。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联系电话：029-88720501</w:t>
      </w:r>
    </w:p>
    <w:p>
      <w:pPr>
        <w:pStyle w:val="null3"/>
      </w:pPr>
      <w:r>
        <w:rPr>
          <w:rFonts w:ascii="仿宋_GB2312" w:hAnsi="仿宋_GB2312" w:cs="仿宋_GB2312" w:eastAsia="仿宋_GB2312"/>
        </w:rPr>
        <w:t>地址：西安市雁塔区科技西路绿地博海大厦16层1603室</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拟对陕西省人民医院病案寄存托管服务进行采购，具体详见服务要求。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病案寄存托管服务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标的名称：病案寄存托管服务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技术要求</w:t>
            </w:r>
          </w:p>
          <w:p>
            <w:pPr>
              <w:pStyle w:val="null3"/>
              <w:ind w:firstLine="400"/>
            </w:pPr>
            <w:r>
              <w:rPr>
                <w:rFonts w:ascii="仿宋_GB2312" w:hAnsi="仿宋_GB2312" w:cs="仿宋_GB2312" w:eastAsia="仿宋_GB2312"/>
              </w:rPr>
              <w:t>（一）服务方案要求：供应商制定内容清晰、详细的服务方案及流程，根据档案整理、清查、存储等服务内容制定服务方案。</w:t>
            </w:r>
          </w:p>
          <w:p>
            <w:pPr>
              <w:pStyle w:val="null3"/>
              <w:ind w:firstLine="400"/>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）档案库房要求：</w:t>
            </w:r>
          </w:p>
          <w:p>
            <w:pPr>
              <w:pStyle w:val="null3"/>
              <w:ind w:firstLine="40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库房采用丙二类及以上标准，办公区、查阅室与库房须为同一地址实现一体化管理。</w:t>
            </w:r>
          </w:p>
          <w:p>
            <w:pPr>
              <w:pStyle w:val="null3"/>
              <w:ind w:firstLine="400"/>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库房所在地点满足远离易燃、易爆场所，不应设在有污染腐蚀性气体源的下风向；应选择地势较高、场地干燥、排水通畅、空气流通和环境安静的地段；应建在交通方便、便于利用，且城市公用设施比较完备的地区。高压输电线不得架空穿过馆区。</w:t>
            </w:r>
          </w:p>
          <w:p>
            <w:pPr>
              <w:pStyle w:val="null3"/>
              <w:ind w:firstLine="400"/>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档案库应集中布置，自成一区。库区内不应设置其他用房，其他用房之间的交通也不得穿越库区。库区的平面布局应简单紧凑。库区或库房入口处应设缓冲间，其面积不应小于</w:t>
            </w:r>
            <w:r>
              <w:rPr>
                <w:rFonts w:ascii="仿宋_GB2312" w:hAnsi="仿宋_GB2312" w:cs="仿宋_GB2312" w:eastAsia="仿宋_GB2312"/>
              </w:rPr>
              <w:t>6m2 ；当设专用封闭外廊时，可不再设缓冲间。库区内比库区外楼地面应高出 20mm。当采用水消防时，应设置排水口。档案库净高不应低于 2.40m。当有梁和通风管道时，其局部净高不应低于 2.20m。</w:t>
            </w:r>
          </w:p>
          <w:p>
            <w:pPr>
              <w:pStyle w:val="null3"/>
              <w:ind w:firstLine="400"/>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具备消防相关部门出具的为本项目提供服务的库房内部消防设施工程竣工消防验收备案证明或消防备案凭证。</w:t>
            </w:r>
          </w:p>
          <w:p>
            <w:pPr>
              <w:pStyle w:val="null3"/>
              <w:ind w:firstLine="400"/>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）档案室防护设施要求：</w:t>
            </w:r>
          </w:p>
          <w:p>
            <w:pPr>
              <w:pStyle w:val="null3"/>
              <w:ind w:firstLine="40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防火：配备烟感系统、档案室专用（惰性气体、二氧化碳）灭火器材。</w:t>
            </w:r>
          </w:p>
          <w:p>
            <w:pPr>
              <w:pStyle w:val="null3"/>
              <w:ind w:firstLine="400"/>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防水：配置漏水等水患检测预警系统。</w:t>
            </w:r>
          </w:p>
          <w:p>
            <w:pPr>
              <w:pStyle w:val="null3"/>
              <w:ind w:firstLine="400"/>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防盗：库区周界电子防盗设施与防护装置、库房电子门禁系统；智能报警系统、防盗数据保存至少</w:t>
            </w:r>
            <w:r>
              <w:rPr>
                <w:rFonts w:ascii="仿宋_GB2312" w:hAnsi="仿宋_GB2312" w:cs="仿宋_GB2312" w:eastAsia="仿宋_GB2312"/>
              </w:rPr>
              <w:t>90天；安保人员防护7*24小时，库房视频</w:t>
            </w:r>
            <w:r>
              <w:drawing>
                <wp:inline distT="0" distR="0" distB="0" distL="0">
                  <wp:extent cx="514350" cy="19050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514350" cy="190500"/>
                          </a:xfrm>
                          <a:prstGeom prst="rect">
                            <a:avLst/>
                          </a:prstGeom>
                        </pic:spPr>
                      </pic:pic>
                    </a:graphicData>
                  </a:graphic>
                </wp:inline>
              </w:drawing>
            </w:r>
            <w:r>
              <w:rPr>
                <w:rFonts w:ascii="仿宋_GB2312" w:hAnsi="仿宋_GB2312" w:cs="仿宋_GB2312" w:eastAsia="仿宋_GB2312"/>
              </w:rPr>
              <w:t>。</w:t>
            </w:r>
          </w:p>
          <w:p>
            <w:pPr>
              <w:pStyle w:val="null3"/>
              <w:ind w:firstLine="400"/>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防潮：配置智能恒湿系统。</w:t>
            </w:r>
          </w:p>
          <w:p>
            <w:pPr>
              <w:pStyle w:val="null3"/>
              <w:ind w:firstLine="400"/>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防霉：档案库房整体气体智能净化、消毒设施、档案专用消毒室。</w:t>
            </w:r>
          </w:p>
          <w:p>
            <w:pPr>
              <w:pStyle w:val="null3"/>
              <w:ind w:firstLine="400"/>
            </w:pP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防虫：具有防虫、杀虫设备。</w:t>
            </w:r>
          </w:p>
          <w:p>
            <w:pPr>
              <w:pStyle w:val="null3"/>
              <w:ind w:firstLine="400"/>
            </w:pP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防鼠：保管设备具备防鼠装置。</w:t>
            </w:r>
          </w:p>
          <w:p>
            <w:pPr>
              <w:pStyle w:val="null3"/>
              <w:ind w:firstLine="400"/>
            </w:pP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防光：保管设备防光。</w:t>
            </w:r>
          </w:p>
          <w:p>
            <w:pPr>
              <w:pStyle w:val="null3"/>
              <w:ind w:firstLine="400"/>
            </w:pPr>
            <w:r>
              <w:rPr>
                <w:rFonts w:ascii="仿宋_GB2312" w:hAnsi="仿宋_GB2312" w:cs="仿宋_GB2312" w:eastAsia="仿宋_GB2312"/>
              </w:rPr>
              <w:t>9</w:t>
            </w:r>
            <w:r>
              <w:rPr>
                <w:rFonts w:ascii="仿宋_GB2312" w:hAnsi="仿宋_GB2312" w:cs="仿宋_GB2312" w:eastAsia="仿宋_GB2312"/>
              </w:rPr>
              <w:t>、</w:t>
            </w:r>
            <w:r>
              <w:rPr>
                <w:rFonts w:ascii="仿宋_GB2312" w:hAnsi="仿宋_GB2312" w:cs="仿宋_GB2312" w:eastAsia="仿宋_GB2312"/>
              </w:rPr>
              <w:t>防尘：库区配备除尘设备。</w:t>
            </w:r>
          </w:p>
          <w:p>
            <w:pPr>
              <w:pStyle w:val="null3"/>
              <w:ind w:firstLine="400"/>
            </w:pPr>
            <w:r>
              <w:rPr>
                <w:rFonts w:ascii="仿宋_GB2312" w:hAnsi="仿宋_GB2312" w:cs="仿宋_GB2312" w:eastAsia="仿宋_GB2312"/>
              </w:rPr>
              <w:t>10</w:t>
            </w:r>
            <w:r>
              <w:rPr>
                <w:rFonts w:ascii="仿宋_GB2312" w:hAnsi="仿宋_GB2312" w:cs="仿宋_GB2312" w:eastAsia="仿宋_GB2312"/>
              </w:rPr>
              <w:t>、</w:t>
            </w:r>
            <w:r>
              <w:rPr>
                <w:rFonts w:ascii="仿宋_GB2312" w:hAnsi="仿宋_GB2312" w:cs="仿宋_GB2312" w:eastAsia="仿宋_GB2312"/>
              </w:rPr>
              <w:t>防有害气体：库区具有空气净化功能，配备自动空气净化设备，防止有害气体的留存。</w:t>
            </w:r>
          </w:p>
          <w:p>
            <w:pPr>
              <w:pStyle w:val="null3"/>
              <w:ind w:firstLine="400"/>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）服务计划与服务保障：</w:t>
            </w:r>
          </w:p>
          <w:p>
            <w:pPr>
              <w:pStyle w:val="null3"/>
              <w:ind w:firstLine="40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服务计划方案及服务质量保障措施详尽、合理、可行。</w:t>
            </w:r>
          </w:p>
          <w:p>
            <w:pPr>
              <w:pStyle w:val="null3"/>
              <w:ind w:firstLine="400"/>
            </w:pPr>
            <w:r>
              <w:rPr>
                <w:rFonts w:ascii="仿宋_GB2312" w:hAnsi="仿宋_GB2312" w:cs="仿宋_GB2312" w:eastAsia="仿宋_GB2312"/>
              </w:rPr>
              <w:t>2、</w:t>
            </w:r>
            <w:r>
              <w:rPr>
                <w:rFonts w:ascii="仿宋_GB2312" w:hAnsi="仿宋_GB2312" w:cs="仿宋_GB2312" w:eastAsia="仿宋_GB2312"/>
              </w:rPr>
              <w:t>配备专门的服务人员及配送车辆。</w:t>
            </w:r>
          </w:p>
          <w:p>
            <w:pPr>
              <w:pStyle w:val="null3"/>
              <w:ind w:firstLine="400"/>
            </w:pPr>
            <w:r>
              <w:rPr>
                <w:rFonts w:ascii="仿宋_GB2312" w:hAnsi="仿宋_GB2312" w:cs="仿宋_GB2312" w:eastAsia="仿宋_GB2312"/>
              </w:rPr>
              <w:t>（五）其他要求：★供应商需符合《档案保管外包服务管理规范》（DA/T 67—2017）的要求并在省级或市级档案管理部门备案。</w:t>
            </w:r>
          </w:p>
          <w:p>
            <w:pPr>
              <w:pStyle w:val="null3"/>
              <w:ind w:firstLine="400"/>
            </w:pPr>
            <w:r>
              <w:rPr>
                <w:rFonts w:ascii="仿宋_GB2312" w:hAnsi="仿宋_GB2312" w:cs="仿宋_GB2312" w:eastAsia="仿宋_GB2312"/>
              </w:rPr>
              <w:t xml:space="preserve"> 打“★”号条款为实质性条款，若</w:t>
            </w:r>
            <w:r>
              <w:rPr>
                <w:rFonts w:ascii="仿宋_GB2312" w:hAnsi="仿宋_GB2312" w:cs="仿宋_GB2312" w:eastAsia="仿宋_GB2312"/>
              </w:rPr>
              <w:t>有</w:t>
            </w:r>
            <w:r>
              <w:rPr>
                <w:rFonts w:ascii="仿宋_GB2312" w:hAnsi="仿宋_GB2312" w:cs="仿宋_GB2312" w:eastAsia="仿宋_GB2312"/>
              </w:rPr>
              <w:t>不满足</w:t>
            </w:r>
            <w:r>
              <w:rPr>
                <w:rFonts w:ascii="仿宋_GB2312" w:hAnsi="仿宋_GB2312" w:cs="仿宋_GB2312" w:eastAsia="仿宋_GB2312"/>
              </w:rPr>
              <w:t>或</w:t>
            </w:r>
            <w:r>
              <w:rPr>
                <w:rFonts w:ascii="仿宋_GB2312" w:hAnsi="仿宋_GB2312" w:cs="仿宋_GB2312" w:eastAsia="仿宋_GB2312"/>
              </w:rPr>
              <w:t>负偏离</w:t>
            </w:r>
            <w:r>
              <w:rPr>
                <w:rFonts w:ascii="仿宋_GB2312" w:hAnsi="仿宋_GB2312" w:cs="仿宋_GB2312" w:eastAsia="仿宋_GB2312"/>
              </w:rPr>
              <w:t>则导致投标无效。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本项目服务期为3年，采取一次招标3年沿用，合同一年一签。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现场验收，由采购人和成交供应商共同对项目进行整体验收｡ 1.验收形式：现场验收 2.验收标准：按照病案寄存招标需求标准 3.验收方法：根据需求标准逐一验收。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完成病案寄存，验收合格后据实结算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 未按合同或磋商文件要求的或者质量不能满足采购人要求的,采购人有权终止合同,并对供应商违约行为进行追究｡ 供应商的磋商响应文件为签订正式书面合同书不可分割的部分,磋商响应应履行相应的责任｡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1、采购预算：500000.00元/年；2、最高限价：500000.00元/年；3、单价限价：0.4元/卷/年；4、款项结算：本项目采购预算为50万元/年，病案寄存托管最终数量=50万元/年÷成交单价。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具有独立承担民事责任能力的法人、其他组织或自然人，并出具合法有效的营业执照或事业单位法人证书等国家规定的相关证明（副本）,自然人参与的提供其身份证明；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直接参加磋商的，须提供法定代表人身份证明及其身份证复印件加盖供应商公章；法定代表人授权本单位人员参加磋商的，须提供法定代表人授权委托书（附法定代表人、被授权人身份证复印件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经审计的2024或2025年度的财务报告（成立时间至响应文件递交截止时间不足一年的可提供成立后任意时段的资产负债表）或响应文件递交截止时间前六个月内银行出具的资信证明；其他组织和自然人提供银行出具的资信证明或财务报表；根据《财政部关于注册会计师行业统一监管平台上线运行的通知》财办〔2022〕32号文件要求，审计报告须有清晰可扫描查询的二维码，若审计报告未赋码视为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依法缴纳的税收和社保证明</w:t>
            </w:r>
          </w:p>
        </w:tc>
        <w:tc>
          <w:tcPr>
            <w:tcW w:type="dxa" w:w="3322"/>
          </w:tcPr>
          <w:p>
            <w:pPr>
              <w:pStyle w:val="null3"/>
            </w:pPr>
            <w:r>
              <w:rPr>
                <w:rFonts w:ascii="仿宋_GB2312" w:hAnsi="仿宋_GB2312" w:cs="仿宋_GB2312" w:eastAsia="仿宋_GB2312"/>
              </w:rPr>
              <w:t>提供2025年5月至今已缴纳的至少一个月的税收（时间以税款所属日期为准）缴纳证明（或完税证明）及社会保障资金缴纳证明，依法免缴的单位应提供相关证明材料；其他组织和自然人也须提供；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附“信用中国”网站（www.creditchina.gov.cn)、中国政府采购网（www.ccgp.gov.cn）查询结果截图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供应商负责人为同一人或者存在控股、管理关系的不同单位不得同时进行磋商；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 业绩一览表.docx 中小企业声明函 残疾人福利性单位声明函 标的清单 报价表 响应函 响应偏离表.docx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法定代表人或被授权人的签字或盖章齐全并加盖公章</w:t>
            </w:r>
          </w:p>
        </w:tc>
        <w:tc>
          <w:tcPr>
            <w:tcW w:type="dxa" w:w="1661"/>
          </w:tcPr>
          <w:p>
            <w:pPr>
              <w:pStyle w:val="null3"/>
            </w:pPr>
            <w:r>
              <w:rPr>
                <w:rFonts w:ascii="仿宋_GB2312" w:hAnsi="仿宋_GB2312" w:cs="仿宋_GB2312" w:eastAsia="仿宋_GB2312"/>
              </w:rPr>
              <w:t>响应文件封面 业绩一览表.docx 中小企业声明函 残疾人福利性单位声明函 标的清单 报价表 响应函 响应偏离表.docx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 业绩一览表.docx 中小企业声明函 残疾人福利性单位声明函 标的清单 报价表 响应函 响应偏离表.docx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业绩一览表.docx 中小企业声明函 残疾人福利性单位声明函 标的清单 报价表 响应函 响应偏离表.docx 资格证明文件.docx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业绩一览表.docx 中小企业声明函 残疾人福利性单位声明函 标的清单 报价表 响应函 响应偏离表.docx 资格证明文件.docx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服务方案与管理制度</w:t>
            </w:r>
          </w:p>
        </w:tc>
        <w:tc>
          <w:tcPr>
            <w:tcW w:type="dxa" w:w="2492"/>
          </w:tcPr>
          <w:p>
            <w:pPr>
              <w:pStyle w:val="null3"/>
            </w:pPr>
            <w:r>
              <w:rPr>
                <w:rFonts w:ascii="仿宋_GB2312" w:hAnsi="仿宋_GB2312" w:cs="仿宋_GB2312" w:eastAsia="仿宋_GB2312"/>
              </w:rPr>
              <w:t>供应商针对本项目制定整体服务方案及质量保证措施。方案具有完善的质量控制措施和质量检验标准，有明确的质量目标和完善的档案库房安全管理、档案保管、信息保密、档案借阅交接等规章制度。方案内容完整详细，针对性强，服务流程科学合理，能充分满足项目需求，得10分；方案基本完整，针对性一般，基本满足项目需求，得6分；方案内容不完整，针对性较弱，不能满足项目需求，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调阅与运输服务能力</w:t>
            </w:r>
          </w:p>
        </w:tc>
        <w:tc>
          <w:tcPr>
            <w:tcW w:type="dxa" w:w="2492"/>
          </w:tcPr>
          <w:p>
            <w:pPr>
              <w:pStyle w:val="null3"/>
            </w:pPr>
            <w:r>
              <w:rPr>
                <w:rFonts w:ascii="仿宋_GB2312" w:hAnsi="仿宋_GB2312" w:cs="仿宋_GB2312" w:eastAsia="仿宋_GB2312"/>
              </w:rPr>
              <w:t>供应商针对本项目制定完善的调阅服务响应机制、档案运输管理制度和流程，配备专用运输车辆和人员，实施全过程安全管控，书面承诺调阅响应时间（普通件24小时内送达，加急件4小时内送达），并提供具体服务流程和保障措施。调阅服务响应机制、档案运输管理制度及流程内容完善，能够满足项目需求得6分；内容基本完善，基本满足项目需求得4分；内容存在明显的不合理，不能满足项目需求，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制定应急预案，包但不限于制定针对火灾、水灾、盗窃等突发事件的应急预案，定期组织演练并有记录。应急预案内容完整详细，能充分满足项目需求，得6分；方案内容基本完整，基本满足项目需求，得4分；方案内容存在明显的不合理，不能满足项目需求的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供应商针对本项目服务内容提供增值服务，包括但不限于免费提供紧急档案调阅送达次数等。服务内容合理、全面、可行性强得4分；服务内容较为合理、较为全面、可行性一般得2分；未提供不得分。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提供详细的保密方案，严格遵守采购人有关保密规定，制定完善的档案保密管理制度，包括人员保密教育、保密承诺书签订、泄密责任追究等内容；提供书面安全保密承诺函，承诺成交后签订保密协议，并接受采购人定期或不定期现场检查。方案内容完整详细，承诺明确清晰，符合采购人规定，得7分；方案内容基本完整，承诺较为清晰，基本符合采购人规定，得3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库房安全防护措施</w:t>
            </w:r>
          </w:p>
        </w:tc>
        <w:tc>
          <w:tcPr>
            <w:tcW w:type="dxa" w:w="2492"/>
          </w:tcPr>
          <w:p>
            <w:pPr>
              <w:pStyle w:val="null3"/>
            </w:pPr>
            <w:r>
              <w:rPr>
                <w:rFonts w:ascii="仿宋_GB2312" w:hAnsi="仿宋_GB2312" w:cs="仿宋_GB2312" w:eastAsia="仿宋_GB2312"/>
              </w:rPr>
              <w:t>库房保存档案符合“十防”安全防护标准，提供详细的档案库房防护措施，具备防高温、防潮湿、防盗、防火、防霉菌、防光、防尘、防虫、防鼠、防污染等“十防”设施设备，温度控制在14-24℃，湿度控制在45%—60%。安全防护措施科学合理、符合以上全部需求，得10分；安全防护措施合理性一般、措施简单，基本满足以上需求，得6分；安全防护措施或安排不合理，不满足以上需求，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负责人：①拟派项目负责人具有档案类馆员及以上职称；②供应商需出具承诺书，承诺项目负责人在服务期间无特殊原因不得更换，如需更换提前1个月书面通知采购人并征得同意。满分4分，以上两项每缺一项扣2分；未提供不得分。（须提供职称证书及磋商时间截止前供应商为其缴纳的近三个月的社保证明。） 2、项目团队成员：拟派团队成员中具有档案相关专业初级及以上职称或档案岗位培训证书的，每提供1人得1分，满分3分；未提供不得分。（须提供证书扫描件及磋商时间截止前供应商为其缴纳的近一个月的社保证明。）</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档案管理系统与信息化能力</w:t>
            </w:r>
          </w:p>
        </w:tc>
        <w:tc>
          <w:tcPr>
            <w:tcW w:type="dxa" w:w="2492"/>
          </w:tcPr>
          <w:p>
            <w:pPr>
              <w:pStyle w:val="null3"/>
            </w:pPr>
            <w:r>
              <w:rPr>
                <w:rFonts w:ascii="仿宋_GB2312" w:hAnsi="仿宋_GB2312" w:cs="仿宋_GB2312" w:eastAsia="仿宋_GB2312"/>
              </w:rPr>
              <w:t>供应商针对本项目需具备档案管理系统与信息化能力，包括但不限于：①提供线上档案查借阅系统，具备电子档案上传、在线检索及打印等功能，应用条形码或RFID技术实现档案精准定位；②具有档案管理相关的软件著作权登记证书；③承诺按照采购人要求对托管病案进行检索著录。满分6分，以上3项每缺一项扣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库房硬件条件</w:t>
            </w:r>
          </w:p>
        </w:tc>
        <w:tc>
          <w:tcPr>
            <w:tcW w:type="dxa" w:w="2492"/>
          </w:tcPr>
          <w:p>
            <w:pPr>
              <w:pStyle w:val="null3"/>
            </w:pPr>
            <w:r>
              <w:rPr>
                <w:rFonts w:ascii="仿宋_GB2312" w:hAnsi="仿宋_GB2312" w:cs="仿宋_GB2312" w:eastAsia="仿宋_GB2312"/>
              </w:rPr>
              <w:t>1、库房面积：库房总面积≥3000㎡，得2分；库房总面积3000㎡以下，得1分；不满足需求或未提供不得分。注：如库房是自有物业，须提供不动产权证书（房产证）复印件加盖公章；如库房是租赁场地，须提供库房租赁合同复印件及发票加盖公章，合同有效期需覆盖本项目服务期。 2、库房位置：档案库房位于项目所在市行政区域内，便于档案搬运与调阅，周边环境安全（须提供库房位置截图并标明与被服务单位的距离、周边环境图片），得2分，不满足需求或未提供不得分。 3、耐火等级：库房耐火等级不低于二级，提供消防验收证明文件（高层库房耐火等级不低于一级，提供相关证明），得2分，不满足需求或未提供不得分。 4、防火设施：配置符合国家标准的自动灭火系统（推荐气体灭火系统）、火灾自动报警系统、灭火器，并提供定期检测记录，得2分，不满足需求或未提供不得分。 5、安防监控：配置24小时监控视频，库区内外无缝隙监控，录像保存不少于180天；配备门禁系统，进出记录保存不少于180天，得2分，不满足需求或未提供不得分。 注：以上1-5项需提供库房设施设备的相关证明材料（包括但不限于设施设备购买发票、库房图片等）。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1、质量管理体系认证（1.5分）：具有质量管理体系认证证书（ISO9001），认证范围须包含档案管理服务相关内容，得1.5分，未提供不得分。 2、环境管理体系认证（1.5分）：具有环境管理体系认证证书（ISO14001），认证范围须包含档案管理服务相关内容，得1.5分，未提供不得分。 3、职业健康安全管理体系认证（1.5分）：具有职业健康安全管理体系认证证书（ISO45001），认证范围须包含档案管理服务相关内容，得1.5分，未提供不得分。 4、供应商具备《国家秘密载体印制资质》乙级及以上资质证书，得1.5分，未提供不得分。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业绩与满意度</w:t>
            </w:r>
          </w:p>
        </w:tc>
        <w:tc>
          <w:tcPr>
            <w:tcW w:type="dxa" w:w="2492"/>
          </w:tcPr>
          <w:p>
            <w:pPr>
              <w:pStyle w:val="null3"/>
            </w:pPr>
            <w:r>
              <w:rPr>
                <w:rFonts w:ascii="仿宋_GB2312" w:hAnsi="仿宋_GB2312" w:cs="仿宋_GB2312" w:eastAsia="仿宋_GB2312"/>
              </w:rPr>
              <w:t>1、业绩（5分）：提供近三年（2023年4月1日至今）病案/档案托管服务同类业绩，每提供一个有效合同得1分，满分5分，未提供不得分。（提供完整的合同扫描件，扫描件应能辨识买卖双方公章或合同专用章、标的信息。） 2、满意度评价（3分）：上述业绩合同中，每提供一份被服务单位出具加盖公章或业务部门章的满意度评价（评价为满意/优秀），得1分，满分3分，未提供不得分。 注：以上2项同一个被服务单位提供多个业绩或满意度评价的各视为一份证明材料。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价格分统一采用低价优先法计算,即满足磋商文件要求且投标价格最低的投标报价为评标基准价,其价格分为满分｡其他供应商的价格分统一按照下列公式计算: 投标报价得分=(评标基准价/投标报价)×价格权值×100 计算分数时四舍五入取小数点后两位。 投标报价以投标单价进行计算得分。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