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版本号：SXTW-2026-050520260610001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陕西省第十八届运动会2026年志愿者餐饮采购项目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SXTW-2026-0505</w:t>
      </w:r>
      <w:r>
        <w:br/>
      </w:r>
      <w:r>
        <w:br/>
      </w:r>
      <w:r>
        <w:br/>
      </w:r>
    </w:p>
    <w:p>
      <w:pPr>
        <w:pStyle w:val="null3"/>
        <w:jc w:val="center"/>
        <w:outlineLvl w:val="2"/>
      </w:pPr>
      <w:r>
        <w:rPr>
          <w:rFonts w:ascii="仿宋_GB2312" w:hAnsi="仿宋_GB2312" w:cs="仿宋_GB2312" w:eastAsia="仿宋_GB2312"/>
          <w:sz w:val="28"/>
          <w:b/>
        </w:rPr>
        <w:t>陕西省第十八届运动会筹委会办公室</w:t>
      </w:r>
    </w:p>
    <w:p>
      <w:pPr>
        <w:pStyle w:val="null3"/>
        <w:jc w:val="center"/>
        <w:outlineLvl w:val="2"/>
      </w:pPr>
      <w:r>
        <w:rPr>
          <w:rFonts w:ascii="仿宋_GB2312" w:hAnsi="仿宋_GB2312" w:cs="仿宋_GB2312" w:eastAsia="仿宋_GB2312"/>
          <w:sz w:val="28"/>
          <w:b/>
        </w:rPr>
        <w:t>陕西侗伟项目管理有限公司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陕西侗伟项目管理有限公司</w:t>
      </w:r>
      <w:r>
        <w:rPr>
          <w:rFonts w:ascii="仿宋_GB2312" w:hAnsi="仿宋_GB2312" w:cs="仿宋_GB2312" w:eastAsia="仿宋_GB2312"/>
        </w:rPr>
        <w:t>（以下简称“代理机构”）受</w:t>
      </w:r>
      <w:r>
        <w:rPr>
          <w:rFonts w:ascii="仿宋_GB2312" w:hAnsi="仿宋_GB2312" w:cs="仿宋_GB2312" w:eastAsia="仿宋_GB2312"/>
        </w:rPr>
        <w:t>陕西省第十八届运动会筹委会办公室</w:t>
      </w:r>
      <w:r>
        <w:rPr>
          <w:rFonts w:ascii="仿宋_GB2312" w:hAnsi="仿宋_GB2312" w:cs="仿宋_GB2312" w:eastAsia="仿宋_GB2312"/>
        </w:rPr>
        <w:t>委托，拟对</w:t>
      </w:r>
      <w:r>
        <w:rPr>
          <w:rFonts w:ascii="仿宋_GB2312" w:hAnsi="仿宋_GB2312" w:cs="仿宋_GB2312" w:eastAsia="仿宋_GB2312"/>
        </w:rPr>
        <w:t>陕西省第十八届运动会2026年志愿者餐饮采购项目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SXTW-2026-0505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陕西省第十八届运动会2026年志愿者餐饮采购项目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志愿服务期间基本供餐保障。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采购包1（陕西省第十八届运动会2026年志愿者餐饮采购项目）：属于专门面向中小企业采购。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合法有效，具有独立承担民事责任的能力且具备向采购人提供相关服务的企业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法定代表人身份证明书：法定代表人直接参加投标的，须提供法定代表人身份证明及其身份证扫描件；法定代表人授权他人参加投标的，须提供法定代表人身份证明及法定代表人授权委托书；</w:t>
      </w:r>
    </w:p>
    <w:p>
      <w:pPr>
        <w:pStyle w:val="null3"/>
      </w:pPr>
      <w:r>
        <w:rPr>
          <w:rFonts w:ascii="仿宋_GB2312" w:hAnsi="仿宋_GB2312" w:cs="仿宋_GB2312" w:eastAsia="仿宋_GB2312"/>
        </w:rPr>
        <w:t>3、企业资质：供应商为生产厂家的须具有《食品生产许可证》及《食品经营许可证》；供应商为代理商的须提供《食品经营许可证》；且《食品经营许可证》上需注明有集体用餐配送。</w:t>
      </w:r>
    </w:p>
    <w:p>
      <w:pPr>
        <w:pStyle w:val="null3"/>
      </w:pPr>
      <w:r>
        <w:rPr>
          <w:rFonts w:ascii="仿宋_GB2312" w:hAnsi="仿宋_GB2312" w:cs="仿宋_GB2312" w:eastAsia="仿宋_GB2312"/>
        </w:rPr>
        <w:t>4、财务状况报告：提供具有财务审计资质单位出具的2024年度或2025年度财务审计报告（若成立时间至投标文件递交截止时间前不足一年的可提供成立后任意时段的资产负债表）或投标文件递交截止时间前六个月内其基本账户银行出具的资信证明（附基本账户证明）或政府采购信用担保机构出具的投标担保函；</w:t>
      </w:r>
    </w:p>
    <w:p>
      <w:pPr>
        <w:pStyle w:val="null3"/>
      </w:pPr>
      <w:r>
        <w:rPr>
          <w:rFonts w:ascii="仿宋_GB2312" w:hAnsi="仿宋_GB2312" w:cs="仿宋_GB2312" w:eastAsia="仿宋_GB2312"/>
        </w:rPr>
        <w:t>5、税收缴纳证明：提供递交投标文件截止之日前一年内任意一个月的依法缴纳税收的相关凭据(时间以税款所属日期为准、任意税种)，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6、社会保障资金缴纳证明：提供递交投标文件截止之日前一年内任意一个月的社会保障资金缴存单据或社保机构开具的社会保险参保缴费情况证明；依法不需要缴纳社会保障资金的供应商应提供相关证明文件；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7、具有履行合同的声明：提供具有履行本合同所必需的设备和专业技术能力的说明及承诺</w:t>
      </w:r>
    </w:p>
    <w:p>
      <w:pPr>
        <w:pStyle w:val="null3"/>
      </w:pPr>
      <w:r>
        <w:rPr>
          <w:rFonts w:ascii="仿宋_GB2312" w:hAnsi="仿宋_GB2312" w:cs="仿宋_GB2312" w:eastAsia="仿宋_GB2312"/>
        </w:rPr>
        <w:t>8、无重大违法记录书面声明：参加政府采购活动前三年内在经营活动中无重大违法记录的书面声明；</w:t>
      </w:r>
    </w:p>
    <w:p>
      <w:pPr>
        <w:pStyle w:val="null3"/>
      </w:pPr>
      <w:r>
        <w:rPr>
          <w:rFonts w:ascii="仿宋_GB2312" w:hAnsi="仿宋_GB2312" w:cs="仿宋_GB2312" w:eastAsia="仿宋_GB2312"/>
        </w:rPr>
        <w:t>9、信誉信息：投标人不得为“信用中国”网站（www.creditchina.gov.cn）中列入重大税收违法失信主体的投标人；不得为“中国执行信息公开网”（https://zxgk.court.gov.cn/）中列入失信被执行人名单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10、无控股、管理承诺：单位负责人为同一人或者存在直接控股、管理关系的不同投标人，不得同时参加同一合同项下的政府采购活动；</w:t>
      </w:r>
    </w:p>
    <w:p>
      <w:pPr>
        <w:pStyle w:val="null3"/>
      </w:pPr>
      <w:r>
        <w:rPr>
          <w:rFonts w:ascii="仿宋_GB2312" w:hAnsi="仿宋_GB2312" w:cs="仿宋_GB2312" w:eastAsia="仿宋_GB2312"/>
        </w:rPr>
        <w:t>11、非联合体投标：提供非联合体声明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陕西省第十八届运动会筹委会办公室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陕西省渭南市渭渭南市本级陕西省渭南市临渭区渭南市体育中心体育场北侧一楼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刘旭东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13399137560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陕西侗伟项目管理有限公司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陕西省渭南市临渭区胜利大街与前进路十字西200米路南雅馨花园C座C08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李思瑶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13310933306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开户名称：陕西侗伟项目管理有限公司</w:t>
            </w:r>
          </w:p>
          <w:p>
            <w:pPr>
              <w:pStyle w:val="null3"/>
            </w:pPr>
            <w:r>
              <w:rPr>
                <w:rFonts w:ascii="仿宋_GB2312" w:hAnsi="仿宋_GB2312" w:cs="仿宋_GB2312" w:eastAsia="仿宋_GB2312"/>
              </w:rPr>
              <w:t>开户银行：中国建设银行股份有限公司渭南前进路支行</w:t>
            </w:r>
          </w:p>
          <w:p>
            <w:pPr>
              <w:pStyle w:val="null3"/>
            </w:pPr>
            <w:r>
              <w:rPr>
                <w:rFonts w:ascii="仿宋_GB2312" w:hAnsi="仿宋_GB2312" w:cs="仿宋_GB2312" w:eastAsia="仿宋_GB2312"/>
              </w:rPr>
              <w:t>银行账号：6105 0164 1600 0000 1333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由中标单位支付，按照《国家发展改革委关于进一步放开建设项目专业服务价格的通知》（发改价格﹝2015﹞299号）的要求，参照《国家计委关于印发&lt;招标代理服务收费管理暂行办法&gt;的通知》（计价格〔2002〕1980号）文件规定的计费标准计取。 2.由中标单位在领取中标通知书前，须向采购代理机构一次性支付招标代理服务费。 3.采购代理服务费账户 户 名：陕西侗伟项目管理有限公司 账 号：6105 0164 1400 0000 0348 开户银行：中国建设银行股份有限公司渭南胜利大街支行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陕西省第十八届运动会筹委会办公室</w:t>
      </w:r>
      <w:r>
        <w:rPr>
          <w:rFonts w:ascii="仿宋_GB2312" w:hAnsi="仿宋_GB2312" w:cs="仿宋_GB2312" w:eastAsia="仿宋_GB2312"/>
        </w:rPr>
        <w:t>和</w:t>
      </w:r>
      <w:r>
        <w:rPr>
          <w:rFonts w:ascii="仿宋_GB2312" w:hAnsi="仿宋_GB2312" w:cs="仿宋_GB2312" w:eastAsia="仿宋_GB2312"/>
        </w:rPr>
        <w:t>陕西侗伟项目管理有限公司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陕西省第十八届运动会筹委会办公室</w:t>
      </w:r>
      <w:r>
        <w:rPr>
          <w:rFonts w:ascii="仿宋_GB2312" w:hAnsi="仿宋_GB2312" w:cs="仿宋_GB2312" w:eastAsia="仿宋_GB2312"/>
        </w:rPr>
        <w:t>负责解释。除上述招标文件内容，其他内容由</w:t>
      </w:r>
      <w:r>
        <w:rPr>
          <w:rFonts w:ascii="仿宋_GB2312" w:hAnsi="仿宋_GB2312" w:cs="仿宋_GB2312" w:eastAsia="仿宋_GB2312"/>
        </w:rPr>
        <w:t>陕西侗伟项目管理有限公司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陕西省第十八届运动会筹委会办公室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陕西侗伟项目管理有限公司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按磋商文件、磋商响应文件等服务指标进行逐项验收，各项指标均应符合验收标准及要求。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陕西侗伟项目管理有限公司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陕西侗伟项目管理有限公司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陕西侗伟项目管理有限公司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联系人：李思瑶</w:t>
      </w:r>
    </w:p>
    <w:p>
      <w:pPr>
        <w:pStyle w:val="null3"/>
      </w:pPr>
      <w:r>
        <w:rPr>
          <w:rFonts w:ascii="仿宋_GB2312" w:hAnsi="仿宋_GB2312" w:cs="仿宋_GB2312" w:eastAsia="仿宋_GB2312"/>
        </w:rPr>
        <w:t>联系电话：13310933306</w:t>
      </w:r>
    </w:p>
    <w:p>
      <w:pPr>
        <w:pStyle w:val="null3"/>
      </w:pPr>
      <w:r>
        <w:rPr>
          <w:rFonts w:ascii="仿宋_GB2312" w:hAnsi="仿宋_GB2312" w:cs="仿宋_GB2312" w:eastAsia="仿宋_GB2312"/>
        </w:rPr>
        <w:t>地址：渭南市胜利大街与前进路十字西200米（雅馨花园C座东二楼）</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志愿服务期间基本供餐保障。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陕西省第十八届运动会2026年志愿者餐饮采购项目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标的名称：陕西省第十八届运动会2026年志愿者餐饮采购项目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1.天数：60天</w:t>
            </w:r>
          </w:p>
          <w:p>
            <w:pPr>
              <w:pStyle w:val="null3"/>
            </w:pPr>
            <w:r>
              <w:rPr>
                <w:rFonts w:ascii="仿宋_GB2312" w:hAnsi="仿宋_GB2312" w:cs="仿宋_GB2312" w:eastAsia="仿宋_GB2312"/>
                <w:sz w:val="21"/>
              </w:rPr>
              <w:t>2.人数：约900人，早餐（18000人次），午餐（37800人次），晚餐（35000人次）。</w:t>
            </w:r>
          </w:p>
          <w:p>
            <w:pPr>
              <w:pStyle w:val="null3"/>
            </w:pPr>
            <w:r>
              <w:rPr>
                <w:rFonts w:ascii="仿宋_GB2312" w:hAnsi="仿宋_GB2312" w:cs="仿宋_GB2312" w:eastAsia="仿宋_GB2312"/>
                <w:sz w:val="21"/>
              </w:rPr>
              <w:t>3.餐饮标准：在岗期间一日三餐统一保障，每天人均不高于60元，营养均衡、荤素搭配、足量供应。</w:t>
            </w:r>
          </w:p>
          <w:p>
            <w:pPr>
              <w:pStyle w:val="null3"/>
            </w:pPr>
            <w:r>
              <w:rPr>
                <w:rFonts w:ascii="仿宋_GB2312" w:hAnsi="仿宋_GB2312" w:cs="仿宋_GB2312" w:eastAsia="仿宋_GB2312"/>
                <w:sz w:val="21"/>
              </w:rPr>
              <w:t>菜品配置</w:t>
            </w:r>
          </w:p>
          <w:p>
            <w:pPr>
              <w:pStyle w:val="null3"/>
            </w:pPr>
            <w:r>
              <w:rPr>
                <w:rFonts w:ascii="仿宋_GB2312" w:hAnsi="仿宋_GB2312" w:cs="仿宋_GB2312" w:eastAsia="仿宋_GB2312"/>
                <w:sz w:val="21"/>
              </w:rPr>
              <w:t>餐：粥品、鸡蛋、面点、小菜、饮品，保障基础能量。（早餐的单价限价≤10元）</w:t>
            </w:r>
          </w:p>
          <w:p>
            <w:pPr>
              <w:pStyle w:val="null3"/>
            </w:pPr>
            <w:r>
              <w:rPr>
                <w:rFonts w:ascii="仿宋_GB2312" w:hAnsi="仿宋_GB2312" w:cs="仿宋_GB2312" w:eastAsia="仿宋_GB2312"/>
                <w:sz w:val="21"/>
              </w:rPr>
              <w:t>午晚餐：一荤、一半荤、两素、一汤、主食、时令水果，菜品每日轮换，清淡少油、兼顾口味。（午、晚餐的单价限价均≤25元）</w:t>
            </w:r>
          </w:p>
          <w:p>
            <w:pPr>
              <w:pStyle w:val="null3"/>
            </w:pPr>
            <w:r>
              <w:rPr>
                <w:rFonts w:ascii="仿宋_GB2312" w:hAnsi="仿宋_GB2312" w:cs="仿宋_GB2312" w:eastAsia="仿宋_GB2312"/>
                <w:sz w:val="21"/>
              </w:rPr>
              <w:t>供餐方式：实行盒饭配送，提供盒饭，保障热餐。</w:t>
            </w:r>
          </w:p>
          <w:p>
            <w:pPr>
              <w:pStyle w:val="null3"/>
            </w:pPr>
            <w:r>
              <w:rPr>
                <w:rFonts w:ascii="仿宋_GB2312" w:hAnsi="仿宋_GB2312" w:cs="仿宋_GB2312" w:eastAsia="仿宋_GB2312"/>
                <w:sz w:val="21"/>
              </w:rPr>
              <w:t>4.注意事项：每100份配备2份清真餐，针对素食、忌口、过敏等情况，建立台账，单独备餐，做到一人一档。</w:t>
            </w:r>
          </w:p>
          <w:p>
            <w:pPr>
              <w:pStyle w:val="null3"/>
            </w:pPr>
            <w:r>
              <w:rPr>
                <w:rFonts w:ascii="仿宋_GB2312" w:hAnsi="仿宋_GB2312" w:cs="仿宋_GB2312" w:eastAsia="仿宋_GB2312"/>
                <w:sz w:val="21"/>
              </w:rPr>
              <w:t>严格落实食材采购、留样、消杀制度，餐具高温消毒，食材新鲜合规，杜绝生冷、变质、不洁食品。</w:t>
            </w:r>
          </w:p>
          <w:p>
            <w:pPr>
              <w:pStyle w:val="null3"/>
            </w:pPr>
            <w:r>
              <w:rPr>
                <w:rFonts w:ascii="仿宋_GB2312" w:hAnsi="仿宋_GB2312" w:cs="仿宋_GB2312" w:eastAsia="仿宋_GB2312"/>
                <w:sz w:val="21"/>
              </w:rPr>
              <w:t>外购食品必须由集中用餐配送单位配餐的，其应具有合法有效的食品经营许可，量化等级应当为A级或具备与A级标准相当的条件，具备与供餐人数、供餐方式相适应的设施、设备、运输保障等能力。</w:t>
            </w:r>
          </w:p>
          <w:p>
            <w:pPr>
              <w:pStyle w:val="null3"/>
            </w:pPr>
            <w:r>
              <w:rPr>
                <w:rFonts w:ascii="仿宋_GB2312" w:hAnsi="仿宋_GB2312" w:cs="仿宋_GB2312" w:eastAsia="仿宋_GB2312"/>
                <w:sz w:val="21"/>
              </w:rPr>
              <w:t>集体用餐配送单位的场所管理，原料采购，加工，包装，贮存和配送等应严格遵循《餐饮服务食品安全操作规范》，《食品安全国家标准 食品生产通用卫生规范》(GB14881-2013)，《食品安全国家标准食品经营过程卫生规范》(GB31621-2014)，《食品安全国家标准 食品冷链物流卫生规范》(GB31605-2020)要求。不得配送冷食类，生食类和裱花类糕点，以及加工配送法律法规禁止生产经营的食品。</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满足本项目建设需要</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7月3日-8月30日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渭南市体育馆及采购人指定地点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按磋商文件、磋商响应文件等服务指标进行逐项验收，各项指标均应符合验收标准及要求。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 ，达到付款条件起15个工作日内，支付合同总金额的40.0%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进度款，完成服务内容并验收合格后，达到付款条件起15个工作日内，支付合同总金额的60.0%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3.5.1具有供餐、配送、分发能力，建立全流程食品安全监控体系，确保所有餐食符合国家《食品安全法》及相关卫生标准。 3.5.2中标人应在成交结果公示后2个工作日内提供纸质版投标文件两份、电子版（PDF格式）一份（经编标工具生成的投标文件进行下载、打印），提供的纸质版文件内容确保与线上电子投标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资格证明文件.pdf</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合法有效，具有独立承担民事责任的能力且具备向采购人提供相关服务的企业法人、其他组织或自然人；出具合法有效的营业执照或事业单位法人证书等国家规定的相关证明，自然人参与的提供其身份证明。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法定代表人授权书/法定代表人身份证明书</w:t>
            </w:r>
          </w:p>
        </w:tc>
        <w:tc>
          <w:tcPr>
            <w:tcW w:type="dxa" w:w="3322"/>
          </w:tcPr>
          <w:p>
            <w:pPr>
              <w:pStyle w:val="null3"/>
            </w:pPr>
            <w:r>
              <w:rPr>
                <w:rFonts w:ascii="仿宋_GB2312" w:hAnsi="仿宋_GB2312" w:cs="仿宋_GB2312" w:eastAsia="仿宋_GB2312"/>
              </w:rPr>
              <w:t>法定代表人直接参加投标的，须提供法定代表人身份证明及其身份证扫描件；法定代表人授权他人参加投标的，须提供法定代表人身份证明及法定代表人授权委托书；</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供应商为生产厂家的须具有《食品生产许可证》及《食品经营许可证》；供应商为代理商的须提供《食品经营许可证》；且《食品经营许可证》上需注明有集体用餐配送。</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财务审计报告（若成立时间至投标文件递交截止时间前不足一年的可提供成立后任意时段的资产负债表）或投标文件递交截止时间前六个月内其基本账户银行出具的资信证明（附基本账户证明）或政府采购信用担保机构出具的投标担保函；</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日期为准、任意税种)，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信誉信息</w:t>
            </w:r>
          </w:p>
        </w:tc>
        <w:tc>
          <w:tcPr>
            <w:tcW w:type="dxa" w:w="3322"/>
          </w:tcPr>
          <w:p>
            <w:pPr>
              <w:pStyle w:val="null3"/>
            </w:pPr>
            <w:r>
              <w:rPr>
                <w:rFonts w:ascii="仿宋_GB2312" w:hAnsi="仿宋_GB2312" w:cs="仿宋_GB2312" w:eastAsia="仿宋_GB2312"/>
              </w:rPr>
              <w:t>投标人不得为“信用中国”网站（www.creditchina.gov.cn）中列入重大税收违法失信主体的投标人；不得为“中国执行信息公开网”（https://zxgk.court.gov.cn/）中列入失信被执行人名单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无控股、管理承诺</w:t>
            </w:r>
          </w:p>
        </w:tc>
        <w:tc>
          <w:tcPr>
            <w:tcW w:type="dxa" w:w="3322"/>
          </w:tcPr>
          <w:p>
            <w:pPr>
              <w:pStyle w:val="null3"/>
            </w:pPr>
            <w:r>
              <w:rPr>
                <w:rFonts w:ascii="仿宋_GB2312" w:hAnsi="仿宋_GB2312" w:cs="仿宋_GB2312" w:eastAsia="仿宋_GB2312"/>
              </w:rPr>
              <w:t>单位负责人为同一人或者存在直接控股、管理关系的不同投标人，不得同时参加同一合同项下的政府采购活动；</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提供非联合体声明</w:t>
            </w:r>
          </w:p>
        </w:tc>
        <w:tc>
          <w:tcPr>
            <w:tcW w:type="dxa" w:w="1661"/>
          </w:tcPr>
          <w:p>
            <w:pPr>
              <w:pStyle w:val="null3"/>
            </w:pPr>
            <w:r>
              <w:rPr>
                <w:rFonts w:ascii="仿宋_GB2312" w:hAnsi="仿宋_GB2312" w:cs="仿宋_GB2312" w:eastAsia="仿宋_GB2312"/>
              </w:rPr>
              <w:t>资格证明文件.pdf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政府采购供应商拒绝政府采购领域商业贿赂承诺书.pdf 投标人认为需要提供的其他资料.pdf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与营业执照或其他主体证明资料一致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投标文件按招标文件要求进行签署、盖章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报价唯一且未超过本项目最高限价</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满足招标文件规定</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满足招标文件规定</w:t>
            </w:r>
          </w:p>
        </w:tc>
        <w:tc>
          <w:tcPr>
            <w:tcW w:type="dxa" w:w="1661"/>
          </w:tcPr>
          <w:p>
            <w:pPr>
              <w:pStyle w:val="null3"/>
            </w:pPr>
            <w:r>
              <w:rPr>
                <w:rFonts w:ascii="仿宋_GB2312" w:hAnsi="仿宋_GB2312" w:cs="仿宋_GB2312" w:eastAsia="仿宋_GB2312"/>
              </w:rPr>
              <w:t>投标函 标的清单 服务内容及服务要求应答表.pdf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对服务和商务要求响应</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商务应答表.pdf 服务内容及服务要求应答表.pdf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投标保证金.pdf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提供的内容包括但不限于以下内容：①食材配送整体服务方案②食材日常管理及制作方案③节假日供餐方案，针对性地提出可行性方案。每项方案内容描述完整、节点明确、切实可行得4 分，满分12分。每有一处不合理扣 0.5分；扣完为止。 （不合理是指不适用项目实际情况、内容粗略不够全面、不够合理、可行性不足或缺少关键点、非专门针对本项目或不适用本项目特性、对同一问题前后表述矛盾:存在逻辑漏洞，科学原理或常识错误:凭空捏造、套用其他无关内容、节点不明确，现有技术条件下不可能出现的情形、与本项目无关、涉及的规范标准与本项目要求不一致等情况。）</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整体服务方案.pdf</w:t>
            </w:r>
          </w:p>
        </w:tc>
      </w:tr>
      <w:tr>
        <w:tc>
          <w:tcPr>
            <w:tcW w:type="dxa" w:w="831"/>
            <w:vMerge/>
          </w:tcPr>
          <w:p/>
        </w:tc>
        <w:tc>
          <w:tcPr>
            <w:tcW w:type="dxa" w:w="1661"/>
          </w:tcPr>
          <w:p>
            <w:pPr>
              <w:pStyle w:val="null3"/>
            </w:pPr>
            <w:r>
              <w:rPr>
                <w:rFonts w:ascii="仿宋_GB2312" w:hAnsi="仿宋_GB2312" w:cs="仿宋_GB2312" w:eastAsia="仿宋_GB2312"/>
              </w:rPr>
              <w:t>供应商设备</w:t>
            </w:r>
          </w:p>
        </w:tc>
        <w:tc>
          <w:tcPr>
            <w:tcW w:type="dxa" w:w="2492"/>
          </w:tcPr>
          <w:p>
            <w:pPr>
              <w:pStyle w:val="null3"/>
            </w:pPr>
            <w:r>
              <w:rPr>
                <w:rFonts w:ascii="仿宋_GB2312" w:hAnsi="仿宋_GB2312" w:cs="仿宋_GB2312" w:eastAsia="仿宋_GB2312"/>
              </w:rPr>
              <w:t>供应商设备包括但不限于以下内容：生产场所配套的主要设备数量、布局①供应商主要生产设备列表（含车辆）；②主要设备购买发票（或入库清单）扫描件及配送车辆产权证明（自有车辆）或租赁合同（租赁车辆）；③生产现场设备照片及配送车辆照片。每项方案内容描述完整、节点明确、切实可行得3 分，满分9分。每有一处不合理扣 0.5分；扣完为止。 （不合理是指不适用项目实际情况、内容粗略不够全面、不够合理、可行性不足或缺少关键点、非专门针对本项目或不适用本项目特性、对同一问题前后表述矛盾:存在逻辑漏洞，科学原理或常识错误:凭空捏造、套用其他无关内容、节点不明确，现有技术条件下不可能出现的情形等情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供应商设备.pdf</w:t>
            </w:r>
          </w:p>
        </w:tc>
      </w:tr>
      <w:tr>
        <w:tc>
          <w:tcPr>
            <w:tcW w:type="dxa" w:w="831"/>
            <w:vMerge/>
          </w:tcPr>
          <w:p/>
        </w:tc>
        <w:tc>
          <w:tcPr>
            <w:tcW w:type="dxa" w:w="1661"/>
          </w:tcPr>
          <w:p>
            <w:pPr>
              <w:pStyle w:val="null3"/>
            </w:pPr>
            <w:r>
              <w:rPr>
                <w:rFonts w:ascii="仿宋_GB2312" w:hAnsi="仿宋_GB2312" w:cs="仿宋_GB2312" w:eastAsia="仿宋_GB2312"/>
              </w:rPr>
              <w:t>经营服务方案</w:t>
            </w:r>
          </w:p>
        </w:tc>
        <w:tc>
          <w:tcPr>
            <w:tcW w:type="dxa" w:w="2492"/>
          </w:tcPr>
          <w:p>
            <w:pPr>
              <w:pStyle w:val="null3"/>
            </w:pPr>
            <w:r>
              <w:rPr>
                <w:rFonts w:ascii="仿宋_GB2312" w:hAnsi="仿宋_GB2312" w:cs="仿宋_GB2312" w:eastAsia="仿宋_GB2312"/>
              </w:rPr>
              <w:t>经营服务方案应包括但不限于以下内容：①食品采购、储存、加工、留样、配送、检验安全管理方案；②人员安全培训方案，内部监督检查方案；③合理化建议等。 每项方案内容描述完整、节点明确、切实可行得4分，满分12分。每有一处不合理扣0.5分；扣完为止。 （不合理是指不适用项目实际情况、内容粗略不够全面、不够合理、可行性不足或缺少关键点、非专门针对本项目或不适用本项目特性、对同一问题前后表述矛盾:存在逻辑漏洞，科学原理或常识错误:凭空捏造、套用其他无关内容、节点不明确，现有技术条件下不可能出现的情形等情况。）</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经营服务方案.pdf</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应急预案包括但不限于以下内容：①食品安全类（食客食物中毒、过敏、食材变质） ②消防安全类（停水、停电、燃气故障）③突发事件（临时加餐且在半天内完成配送等）每项方案内容描述完整、节点明确、切实可行得4分，满分12分。每有一处不 合理扣 0.5分；扣完为止。 （不合理是指不适用项目实际情况、内容粗略不够全面、不够合理、可行性不足或缺少关键点、非专门针对本项目或不适用本项目特性、对同一问题前后表述矛盾:存在逻辑漏洞，科学原理或常识错误:凭空捏造、套用其他无关内容、节点不明确，现有技术条件下不可能出现的情形、与本项目无关、涉及的规范标准与本项目要求不一致等情况。）</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服务承诺包括但不限于以下内容：①食品配送能力承诺、食品质量承诺、食材管理、订餐管理、风险责任承诺、食品安全承诺。②整体服务承诺、服务态度（文明经营）、卫生及消防等符合国家或者采购人要求等内容。每项方案内容描述完整、节点明确、切实可行得4分，满分8分。每有一处不 合理扣 0.5分；扣完为止。 （不合理是指不适用项目实际情况、内容粗略不够全面、不够合理、可行性不足或缺少关键点、非专门针对本项目或不适用本项目特性、对同一问题前后表述矛盾:存在逻辑漏洞，科学原理或常识错误:凭空捏造、套用其他无关内容、节点不明确，现有技术条件下不可能出现的情形、与本项目无关、涉及的规范标准与本项目要求不一致等情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服务承诺.pdf</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1.项目负责人须为本单位在职人员且提供近1个月社保和身份证得3分。 2.烹饪在职人员需提供职业资格证、在有效期的健康证、近1个月社保和身份证一个得2分；烹饪临聘人员需提供在有效期的健康证和身份证一个得1分；最高8分。 3.配送人员需提供在有效期的健康证、驾驶证和身份证的一个得1分，最高得4分。 注：提供材料与人员一一对应，资料不全或出现不对应情况不得分。上述人员不兼任，专人专职。</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供应商具有2023年至今承担过（以合同签订时间为准）的类似项目业绩，每提供一个计4分，满分12分；未提供不得分。 注：类似项目业绩以投标文件中提供加盖投标人公章的合同扫描件或复印件为准。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类似项目业绩表.pdf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满足招标文件要求且投标总报价最低的投标人的价格为评标基准价，其价格分为满分20分，其他各投标人的投标报价得分按下列公式计算：投标报价得分=（投标基准价/投标报价）×20%×100。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详见附件：服务内容及服务要求应答表.pdf</w:t>
      </w:r>
    </w:p>
    <w:p>
      <w:pPr>
        <w:pStyle w:val="null3"/>
        <w:ind w:firstLine="960"/>
      </w:pPr>
      <w:r>
        <w:rPr>
          <w:rFonts w:ascii="仿宋_GB2312" w:hAnsi="仿宋_GB2312" w:cs="仿宋_GB2312" w:eastAsia="仿宋_GB2312"/>
        </w:rPr>
        <w:t>详见附件：商务应答表.pdf</w:t>
      </w:r>
    </w:p>
    <w:p>
      <w:pPr>
        <w:pStyle w:val="null3"/>
        <w:ind w:firstLine="960"/>
      </w:pPr>
      <w:r>
        <w:rPr>
          <w:rFonts w:ascii="仿宋_GB2312" w:hAnsi="仿宋_GB2312" w:cs="仿宋_GB2312" w:eastAsia="仿宋_GB2312"/>
        </w:rPr>
        <w:t>详见附件：投标保证金.pdf</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详见附件：投标人认为需要提供的其他资料.pdf</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详见附件：供应商设备.pdf</w:t>
      </w:r>
    </w:p>
    <w:p>
      <w:pPr>
        <w:pStyle w:val="null3"/>
        <w:ind w:firstLine="960"/>
      </w:pPr>
      <w:r>
        <w:rPr>
          <w:rFonts w:ascii="仿宋_GB2312" w:hAnsi="仿宋_GB2312" w:cs="仿宋_GB2312" w:eastAsia="仿宋_GB2312"/>
        </w:rPr>
        <w:t>详见附件：经营服务方案.pdf</w:t>
      </w:r>
    </w:p>
    <w:p>
      <w:pPr>
        <w:pStyle w:val="null3"/>
        <w:ind w:firstLine="960"/>
      </w:pPr>
      <w:r>
        <w:rPr>
          <w:rFonts w:ascii="仿宋_GB2312" w:hAnsi="仿宋_GB2312" w:cs="仿宋_GB2312" w:eastAsia="仿宋_GB2312"/>
        </w:rPr>
        <w:t>详见附件：类似项目业绩表.pdf</w:t>
      </w:r>
    </w:p>
    <w:p>
      <w:pPr>
        <w:pStyle w:val="null3"/>
        <w:ind w:firstLine="960"/>
      </w:pPr>
      <w:r>
        <w:rPr>
          <w:rFonts w:ascii="仿宋_GB2312" w:hAnsi="仿宋_GB2312" w:cs="仿宋_GB2312" w:eastAsia="仿宋_GB2312"/>
        </w:rPr>
        <w:t>详见附件：人员配备.pdf</w:t>
      </w:r>
    </w:p>
    <w:p>
      <w:pPr>
        <w:pStyle w:val="null3"/>
        <w:ind w:firstLine="960"/>
      </w:pPr>
      <w:r>
        <w:rPr>
          <w:rFonts w:ascii="仿宋_GB2312" w:hAnsi="仿宋_GB2312" w:cs="仿宋_GB2312" w:eastAsia="仿宋_GB2312"/>
        </w:rPr>
        <w:t>详见附件：应急预案.pdf</w:t>
      </w:r>
    </w:p>
    <w:p>
      <w:pPr>
        <w:pStyle w:val="null3"/>
        <w:ind w:firstLine="960"/>
      </w:pPr>
      <w:r>
        <w:rPr>
          <w:rFonts w:ascii="仿宋_GB2312" w:hAnsi="仿宋_GB2312" w:cs="仿宋_GB2312" w:eastAsia="仿宋_GB2312"/>
        </w:rPr>
        <w:t>详见附件：整体服务方案.pdf</w:t>
      </w:r>
    </w:p>
    <w:p>
      <w:pPr>
        <w:pStyle w:val="null3"/>
        <w:ind w:firstLine="960"/>
      </w:pPr>
      <w:r>
        <w:rPr>
          <w:rFonts w:ascii="仿宋_GB2312" w:hAnsi="仿宋_GB2312" w:cs="仿宋_GB2312" w:eastAsia="仿宋_GB2312"/>
        </w:rPr>
        <w:t>详见附件：服务承诺.pdf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