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版本号：YJZB-2026-050120260515001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关于采购功能科B超机维保项目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YJZB-2026-0501</w:t>
      </w:r>
      <w:r>
        <w:br/>
      </w:r>
      <w:r>
        <w:br/>
      </w:r>
      <w:r>
        <w:br/>
      </w:r>
    </w:p>
    <w:p>
      <w:pPr>
        <w:pStyle w:val="null3"/>
        <w:jc w:val="center"/>
        <w:outlineLvl w:val="2"/>
      </w:pPr>
      <w:r>
        <w:rPr>
          <w:rFonts w:ascii="仿宋_GB2312" w:hAnsi="仿宋_GB2312" w:cs="仿宋_GB2312" w:eastAsia="仿宋_GB2312"/>
          <w:sz w:val="28"/>
          <w:b/>
        </w:rPr>
        <w:t>铜川市耀州区人民医院</w:t>
      </w:r>
    </w:p>
    <w:p>
      <w:pPr>
        <w:pStyle w:val="null3"/>
        <w:jc w:val="center"/>
        <w:outlineLvl w:val="2"/>
      </w:pPr>
      <w:r>
        <w:rPr>
          <w:rFonts w:ascii="仿宋_GB2312" w:hAnsi="仿宋_GB2312" w:cs="仿宋_GB2312" w:eastAsia="仿宋_GB2312"/>
          <w:sz w:val="28"/>
          <w:b/>
        </w:rPr>
        <w:t>陕西云界招标管理有限公司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陕西云界招标管理有限公司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铜川市耀州区人民医院</w:t>
      </w:r>
      <w:r>
        <w:rPr>
          <w:rFonts w:ascii="仿宋_GB2312" w:hAnsi="仿宋_GB2312" w:cs="仿宋_GB2312" w:eastAsia="仿宋_GB2312"/>
        </w:rPr>
        <w:t>委托，拟对</w:t>
      </w:r>
      <w:r>
        <w:rPr>
          <w:rFonts w:ascii="仿宋_GB2312" w:hAnsi="仿宋_GB2312" w:cs="仿宋_GB2312" w:eastAsia="仿宋_GB2312"/>
        </w:rPr>
        <w:t>关于采购功能科B超机维保项目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YJZB-2026-0501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关于采购功能科B超机维保项目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采购包1（关于采购功能科B超机维保项目）：预算金额：329,000.00元 。 采购包最高限价：329,000.00元 。</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采购包1（关于采购功能科B超机维保项目）：属于专门面向小微企业采购。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1、主体资格证明：供应商具有独立承担民事责任能力的法人、其他组织或自然人，并出具合法有效的营业执照或事业单 位法人证书等国家规定的相关证明，自然人参与的提供其身份证明;</w:t>
      </w:r>
    </w:p>
    <w:p>
      <w:pPr>
        <w:pStyle w:val="null3"/>
      </w:pPr>
      <w:r>
        <w:rPr>
          <w:rFonts w:ascii="仿宋_GB2312" w:hAnsi="仿宋_GB2312" w:cs="仿宋_GB2312" w:eastAsia="仿宋_GB2312"/>
        </w:rPr>
        <w:t>2、法人代表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w:t>
      </w:r>
    </w:p>
    <w:p>
      <w:pPr>
        <w:pStyle w:val="null3"/>
      </w:pPr>
      <w:r>
        <w:rPr>
          <w:rFonts w:ascii="仿宋_GB2312" w:hAnsi="仿宋_GB2312" w:cs="仿宋_GB2312" w:eastAsia="仿宋_GB2312"/>
        </w:rPr>
        <w:t>3、财务状况报告：提供2024或2025年度经审计的财务报告（包括三表一注，成立时间至提交响应文件截止时间不足一年的可提供成立后任意时段的资产负债表) ，或其开标前三个月内基本存款账户开户银行出具的资信证明，或信用担保机构出具的投标担保函（以上三种形式的资料提供任何一种即可）; 注：根据“【财办2022】32 号 ” 的 规 定 ， 2022 年 后 出 具的 审计 报 告 须 在 注 册会计师行业统一监管平台（http://acc.mof.gov.cn)进行自动赋码验证，未赋码的视为审计报告无效；</w:t>
      </w:r>
    </w:p>
    <w:p>
      <w:pPr>
        <w:pStyle w:val="null3"/>
      </w:pPr>
      <w:r>
        <w:rPr>
          <w:rFonts w:ascii="仿宋_GB2312" w:hAnsi="仿宋_GB2312" w:cs="仿宋_GB2312" w:eastAsia="仿宋_GB2312"/>
        </w:rPr>
        <w:t>4、税收缴纳证明：供应商须提供投标截止时间6个月内任意1个月的缴税证明，纳税证明或完税证明上应有代收机构或税务机关的公章或业务专用章（注：依法免税或零申报的供应商应提供相关文件证明）；</w:t>
      </w:r>
    </w:p>
    <w:p>
      <w:pPr>
        <w:pStyle w:val="null3"/>
      </w:pPr>
      <w:r>
        <w:rPr>
          <w:rFonts w:ascii="仿宋_GB2312" w:hAnsi="仿宋_GB2312" w:cs="仿宋_GB2312" w:eastAsia="仿宋_GB2312"/>
        </w:rPr>
        <w:t>5、社会保障资金缴纳证明：供应商须提供投标截止时间6个月内任意1个月的社会保险缴纳证明缴存单据或社保机构开具的社会保险参保缴费情况证明（注：依法不需要缴纳社会保障资金的供应商应提供相关文件证明）；</w:t>
      </w:r>
    </w:p>
    <w:p>
      <w:pPr>
        <w:pStyle w:val="null3"/>
      </w:pPr>
      <w:r>
        <w:rPr>
          <w:rFonts w:ascii="仿宋_GB2312" w:hAnsi="仿宋_GB2312" w:cs="仿宋_GB2312" w:eastAsia="仿宋_GB2312"/>
        </w:rPr>
        <w:t>6、专业技术能力：供应商须提供具有履行合同所必需的设备和专业技术能力的承诺函；</w:t>
      </w:r>
    </w:p>
    <w:p>
      <w:pPr>
        <w:pStyle w:val="null3"/>
      </w:pPr>
      <w:r>
        <w:rPr>
          <w:rFonts w:ascii="仿宋_GB2312" w:hAnsi="仿宋_GB2312" w:cs="仿宋_GB2312" w:eastAsia="仿宋_GB2312"/>
        </w:rPr>
        <w:t>7、无重大违法记录书面声明：供应商应具备良好的商业信誉，提供参加政府采购活动前3年内在经营活动中没有重大违法记录的书面声明；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8、信用信息：供应商未被“信用中国” 网站（https://www.creditchina.gov.cn/）列入失信被执行人（页面跳转至“中国执行信息公开网”http://zxgk.court.gov.cn/shixin/）和重大税收违法失信主体，未被中国政府采购网（http://www.ccgp.gov.cn/）列入政府采购严重违法失信行为记录（处罚期限届满的除外）；</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10、资质要求：供应商需根据备件产品提供二类医疗器械备案凭证或三类医疗器械经营许可证；</w:t>
      </w:r>
    </w:p>
    <w:p>
      <w:pPr>
        <w:pStyle w:val="null3"/>
      </w:pPr>
      <w:r>
        <w:rPr>
          <w:rFonts w:ascii="仿宋_GB2312" w:hAnsi="仿宋_GB2312" w:cs="仿宋_GB2312" w:eastAsia="仿宋_GB2312"/>
        </w:rPr>
        <w:t>11、本项目不接受联合体投标：本项目不接受联合体投标（提供书面声明材料）。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铜川市耀州区华原路中段北侧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刘晓静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0919-6285612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陕西云界招标管理有限公司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陕西省西安市长缨西路1号1幢32011室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段婧超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13772529819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代理服务费收费标准：代理服务费收费标准：参照国家计委关于印发《招标代理服务收费管理暂行办法》的通知（计价格〔2002〕1980 号）规定标准按成交金额以货物计取。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铜川市耀州区人民医院</w:t>
      </w:r>
      <w:r>
        <w:rPr>
          <w:rFonts w:ascii="仿宋_GB2312" w:hAnsi="仿宋_GB2312" w:cs="仿宋_GB2312" w:eastAsia="仿宋_GB2312"/>
        </w:rPr>
        <w:t>和</w:t>
      </w:r>
      <w:r>
        <w:rPr>
          <w:rFonts w:ascii="仿宋_GB2312" w:hAnsi="仿宋_GB2312" w:cs="仿宋_GB2312" w:eastAsia="仿宋_GB2312"/>
        </w:rPr>
        <w:t>陕西云界招标管理有限公司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陕西云界招标管理有限公司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陕西云界招标管理有限公司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1、现行的国家标准或国家行政部门颁布的法律法规、规章制度。没有国家标准的，可以参考行业标准。 2、采购文件、响应文件、澄清表（函）。 3、合同及合同附件。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陕西云界招标管理有限公司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陕西云界招标管理有限公司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陕西云界招标管理有限公司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联系人：侯文娟</w:t>
      </w:r>
    </w:p>
    <w:p>
      <w:pPr>
        <w:pStyle w:val="null3"/>
      </w:pPr>
      <w:r>
        <w:rPr>
          <w:rFonts w:ascii="仿宋_GB2312" w:hAnsi="仿宋_GB2312" w:cs="仿宋_GB2312" w:eastAsia="仿宋_GB2312"/>
        </w:rPr>
        <w:t>联系电话：13772529819</w:t>
      </w:r>
    </w:p>
    <w:p>
      <w:pPr>
        <w:pStyle w:val="null3"/>
      </w:pPr>
      <w:r>
        <w:rPr>
          <w:rFonts w:ascii="仿宋_GB2312" w:hAnsi="仿宋_GB2312" w:cs="仿宋_GB2312" w:eastAsia="仿宋_GB2312"/>
        </w:rPr>
        <w:t>地址：陕西省西安市新城区长缨西路1号1幢32011室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采购包1（关于采购功能科B超机维保项目）：预算金额：329,000.00元 。 采购包最高限价：329,000.00元 。</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329,000.00</w:t>
      </w:r>
    </w:p>
    <w:p>
      <w:pPr>
        <w:pStyle w:val="null3"/>
      </w:pPr>
      <w:r>
        <w:rPr>
          <w:rFonts w:ascii="仿宋_GB2312" w:hAnsi="仿宋_GB2312" w:cs="仿宋_GB2312" w:eastAsia="仿宋_GB2312"/>
        </w:rPr>
        <w:t>采购包最高限价（元）: 329,000.00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区人民医院关于采购功能科B超机维保项目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标的名称：区人民医院关于采购功能科B超机维保项目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一、维保设备清单</w:t>
            </w:r>
          </w:p>
          <w:tbl>
            <w:tblPr>
              <w:tblInd w:type="dxa" w:w="90"/>
              <w:tblBorders>
                <w:top w:val="none" w:color="000000" w:sz="4"/>
                <w:left w:val="none" w:color="000000" w:sz="4"/>
                <w:bottom w:val="none" w:color="000000" w:sz="4"/>
                <w:right w:val="none" w:color="000000" w:sz="4"/>
                <w:insideH w:val="none"/>
                <w:insideV w:val="none"/>
              </w:tblBorders>
            </w:tblPr>
            <w:tblGrid>
              <w:gridCol w:w="225"/>
              <w:gridCol w:w="1603"/>
              <w:gridCol w:w="724"/>
            </w:tblGrid>
            <w:tr>
              <w:tc>
                <w:tcPr>
                  <w:tcW w:type="dxa" w:w="22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60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72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设备数量（台）</w:t>
                  </w:r>
                </w:p>
              </w:tc>
            </w:tr>
            <w:tr>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便携式飞利浦</w:t>
                  </w:r>
                  <w:r>
                    <w:rPr>
                      <w:rFonts w:ascii="仿宋_GB2312" w:hAnsi="仿宋_GB2312" w:cs="仿宋_GB2312" w:eastAsia="仿宋_GB2312"/>
                      <w:sz w:val="24"/>
                      <w:color w:val="000000"/>
                    </w:rPr>
                    <w:t>CX50彩超</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0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飞利浦</w:t>
                  </w:r>
                  <w:r>
                    <w:rPr>
                      <w:rFonts w:ascii="仿宋_GB2312" w:hAnsi="仿宋_GB2312" w:cs="仿宋_GB2312" w:eastAsia="仿宋_GB2312"/>
                      <w:sz w:val="24"/>
                      <w:color w:val="000000"/>
                    </w:rPr>
                    <w:t>IU-Elite彩超</w:t>
                  </w:r>
                </w:p>
              </w:tc>
              <w:tc>
                <w:tcPr>
                  <w:tcW w:type="dxa" w:w="7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飞利浦</w:t>
                  </w:r>
                  <w:r>
                    <w:rPr>
                      <w:rFonts w:ascii="仿宋_GB2312" w:hAnsi="仿宋_GB2312" w:cs="仿宋_GB2312" w:eastAsia="仿宋_GB2312"/>
                      <w:sz w:val="24"/>
                      <w:color w:val="000000"/>
                    </w:rPr>
                    <w:t>HD15彩超</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三星</w:t>
                  </w:r>
                  <w:r>
                    <w:rPr>
                      <w:rFonts w:ascii="仿宋_GB2312" w:hAnsi="仿宋_GB2312" w:cs="仿宋_GB2312" w:eastAsia="仿宋_GB2312"/>
                      <w:sz w:val="24"/>
                      <w:color w:val="000000"/>
                    </w:rPr>
                    <w:t>XW80A彩超</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便携式迈瑞</w:t>
                  </w:r>
                  <w:r>
                    <w:rPr>
                      <w:rFonts w:ascii="仿宋_GB2312" w:hAnsi="仿宋_GB2312" w:cs="仿宋_GB2312" w:eastAsia="仿宋_GB2312"/>
                      <w:sz w:val="24"/>
                      <w:color w:val="000000"/>
                    </w:rPr>
                    <w:t>M7Series彩超</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西门子</w:t>
                  </w:r>
                  <w:r>
                    <w:rPr>
                      <w:rFonts w:ascii="仿宋_GB2312" w:hAnsi="仿宋_GB2312" w:cs="仿宋_GB2312" w:eastAsia="仿宋_GB2312"/>
                      <w:sz w:val="24"/>
                      <w:color w:val="000000"/>
                    </w:rPr>
                    <w:t>ACUSON X300 PREMIUM EDITION彩超</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b/>
                <w:color w:val="000000"/>
              </w:rPr>
              <w:t>二、服务要求</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对以上设备</w:t>
            </w:r>
            <w:r>
              <w:rPr>
                <w:rFonts w:ascii="仿宋_GB2312" w:hAnsi="仿宋_GB2312" w:cs="仿宋_GB2312" w:eastAsia="仿宋_GB2312"/>
                <w:sz w:val="22"/>
                <w:color w:val="000000"/>
              </w:rPr>
              <w:t>(含探头)进行为期1年整机维保，</w:t>
            </w:r>
            <w:r>
              <w:rPr>
                <w:rFonts w:ascii="仿宋_GB2312" w:hAnsi="仿宋_GB2312" w:cs="仿宋_GB2312" w:eastAsia="仿宋_GB2312"/>
                <w:sz w:val="22"/>
                <w:color w:val="000000"/>
              </w:rPr>
              <w:t>出现故障免费维修，免除在保机器的任何备件及人工费用，提供原厂备件，保修期内将免费提供机器的维修及养护服务。保修期后提供终身上门维修服务，只收取零配件费，不收上门服务费， 以保证设备长期稳定的工作性能，同时保证快速响应；</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在保修期内，对院方的此</w:t>
            </w:r>
            <w:r>
              <w:rPr>
                <w:rFonts w:ascii="仿宋_GB2312" w:hAnsi="仿宋_GB2312" w:cs="仿宋_GB2312" w:eastAsia="仿宋_GB2312"/>
                <w:sz w:val="22"/>
                <w:color w:val="000000"/>
              </w:rPr>
              <w:t>6台设备提供每年不低于四次全面的整机维护保养(设备的安全检查、影像质量检查、设备除尘保养、运行状况检查、性能测试及校准、必要的机械或者电气检查，以及非紧急性质的预防性维护);</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提供专业的临床支持，使设备性能保持最优异的表现，有助于提高医院科室在病人中的口碑并避免医患纠纷的发生；</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解决</w:t>
            </w:r>
            <w:r>
              <w:rPr>
                <w:rFonts w:ascii="仿宋_GB2312" w:hAnsi="仿宋_GB2312" w:cs="仿宋_GB2312" w:eastAsia="仿宋_GB2312"/>
                <w:sz w:val="22"/>
                <w:color w:val="000000"/>
              </w:rPr>
              <w:t>6台设备现存的故障问题，并在保修期内负责对院方的此六台设备进行全包保修服务(不限次叫修，定期维护保养及远程诊断)且承担因此产生的所有维修及配件费用，院方不再支付除保修费之外的任何费用；</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在保修期内发生故障时，在接到院方通知后</w:t>
            </w:r>
            <w:r>
              <w:rPr>
                <w:rFonts w:ascii="仿宋_GB2312" w:hAnsi="仿宋_GB2312" w:cs="仿宋_GB2312" w:eastAsia="仿宋_GB2312"/>
                <w:sz w:val="22"/>
                <w:color w:val="000000"/>
              </w:rPr>
              <w:t>30分钟内响应，并提供技术支持，如以上技术支持无法解决设备故障，服务</w:t>
            </w:r>
            <w:r>
              <w:rPr>
                <w:rFonts w:ascii="仿宋_GB2312" w:hAnsi="仿宋_GB2312" w:cs="仿宋_GB2312" w:eastAsia="仿宋_GB2312"/>
                <w:sz w:val="22"/>
                <w:color w:val="000000"/>
              </w:rPr>
              <w:t>工程师</w:t>
            </w:r>
            <w:r>
              <w:rPr>
                <w:rFonts w:ascii="仿宋_GB2312" w:hAnsi="仿宋_GB2312" w:cs="仿宋_GB2312" w:eastAsia="仿宋_GB2312"/>
                <w:sz w:val="22"/>
                <w:color w:val="000000"/>
              </w:rPr>
              <w:t>12小时内到达现场进行维修排除故障，如需更换零配件的72小时内保证设备恢复正常使用，确保设备开机率达到</w:t>
            </w:r>
            <w:r>
              <w:rPr>
                <w:rFonts w:ascii="仿宋_GB2312" w:hAnsi="仿宋_GB2312" w:cs="仿宋_GB2312" w:eastAsia="仿宋_GB2312"/>
                <w:sz w:val="22"/>
                <w:color w:val="000000"/>
              </w:rPr>
              <w:t>98%(按全年365天计算)，否则提供备用机。保修期按停机天数顺延(每超过一天保修延长3天);</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所有更换的零部件为原厂认证</w:t>
            </w:r>
            <w:r>
              <w:rPr>
                <w:rFonts w:ascii="仿宋_GB2312" w:hAnsi="仿宋_GB2312" w:cs="仿宋_GB2312" w:eastAsia="仿宋_GB2312"/>
                <w:sz w:val="22"/>
                <w:color w:val="000000"/>
              </w:rPr>
              <w:t>/测试合格的全新的原装备件，并且在本地设有专业、充足的设备零备件仓库及备用整机。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自合同签订之日起1年，1年后根据考核情况可按年续签，续签不超过两年。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1、现行的国家标准或国家行政部门颁布的法律法规、规章制度。没有国家标准的，可以参考行业标准。 2、采购文件、响应文件、澄清表（函）。 3、合同及合同附件。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第一次对设备进行全面维保后经甲方验收合格后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半年后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一年内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 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提供2024或2025年度经审计的财务报告（包括三表一注，成立时间至提交响应文件截止时间不足一年的可提供成立后任意时段的资产负债表) ，或其开标前三个月内基本存款账户开户银行出具的资信证明，或信用担保机构出具的投标担保函（以上三种形式的资料提供任何一种即可）; 注：根据“【财办2022】32 号 ” 的 规 定 ， 2022 年 后 出 具的 审计 报 告 须 在 注 册会计师行业统一监管平台（http://acc.mof.gov.cn)进行自动赋码验证，未赋码的视为审计报告无效；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供应商须提供投标截止时间6个月内任意1个月的缴税证明，纳税证明或完税证明上应有代收机构或税务机关的公章或业务专用章（注：依法免税或零申报的供应商应提供相关文件证明）；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供应商须提供投标截止时间6个月内任意1个月的社会保险缴纳证明缴存单据或社保机构开具的社会保险参保缴费情况证明（注：依法不需要缴纳社会保障资金的供应商应提供相关文件证明）；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供应商未被“信用中国” 网站（https://www.creditchina.gov.cn/）列入失信被执行人（页面跳转至“中国执行信息公开网”http://zxgk.court.gov.cn/shixin/）和重大税收违法失信主体，未被中国政府采购网（http://www.ccgp.gov.cn/）列入政府采购严重违法失信行为记录（处罚期限届满的除外）；</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供应商需根据备件产品提供二类医疗器械备案凭证或三类医疗器械经营许可证；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响应文件审查</w:t>
            </w:r>
          </w:p>
        </w:tc>
        <w:tc>
          <w:tcPr>
            <w:tcW w:type="dxa" w:w="3322"/>
          </w:tcPr>
          <w:p>
            <w:pPr>
              <w:pStyle w:val="null3"/>
            </w:pPr>
            <w:r>
              <w:rPr>
                <w:rFonts w:ascii="仿宋_GB2312" w:hAnsi="仿宋_GB2312" w:cs="仿宋_GB2312" w:eastAsia="仿宋_GB2312"/>
              </w:rPr>
              <w:t>依据采购文件规定，从响应文件的有效性、完整性和响应程度进行审查。出现下列情况之一（但不限于）不得进入评审环节：（1）响应文件未按照采购文件的要求编写；（2）响应文件未按采购文件要求签字、盖章；（3）供应商的响应报价超过采购预算或最高限价的； （4）无投标有效期或有效期达不到采购文件要求的；（5）响应文件未实质性响应采购文件要求的；（6）响应文件附加了采购人难以接受的条件或条款的； （7）不符合法律、法规和采购文件中规定的其他实质性要求的。</w:t>
            </w:r>
          </w:p>
        </w:tc>
        <w:tc>
          <w:tcPr>
            <w:tcW w:type="dxa" w:w="1661"/>
          </w:tcPr>
          <w:p>
            <w:pPr>
              <w:pStyle w:val="null3"/>
            </w:pPr>
            <w:r>
              <w:rPr>
                <w:rFonts w:ascii="仿宋_GB2312" w:hAnsi="仿宋_GB2312" w:cs="仿宋_GB2312" w:eastAsia="仿宋_GB2312"/>
              </w:rPr>
              <w:t>响应文件封面 业绩一览表.docx 分项报价表.docx 中小企业声明函 残疾人福利性单位声明函 商务应答表 标的清单 服务内容及服务要求应答表 响应函 陕西省政府采购供应商拒绝政府采购领域商业贿赂承诺书.docx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（一）评审内容①健全的维护管理工具与手段；②设备日常巡检、维护、保养方案；③设备维修、配件免费更换方案；④维保服务流程。 （二）评审标准：每一条评审内容无缺陷得5分，满分20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（一）评审内容：①维保服务质量保障体系；②备配备件质量保证；③质量控制措施。 （二）评审标准：每一条评审内容无缺陷得5分，满分15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（一）评审内容：①进度保障措施；②各阶段时间节点合理安排措施；③维修、保养资料及档案记录的完整性。 （二）评审标准：每一条评审内容无缺陷得3分，满分9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响应履约保障</w:t>
            </w:r>
          </w:p>
        </w:tc>
        <w:tc>
          <w:tcPr>
            <w:tcW w:type="dxa" w:w="2492"/>
          </w:tcPr>
          <w:p>
            <w:pPr>
              <w:pStyle w:val="null3"/>
            </w:pPr>
            <w:r>
              <w:rPr>
                <w:rFonts w:ascii="仿宋_GB2312" w:hAnsi="仿宋_GB2312" w:cs="仿宋_GB2312" w:eastAsia="仿宋_GB2312"/>
              </w:rPr>
              <w:t>（一）评审内容：①设备出现故障及时响应保障措施；②设备检定和校准准确措施；③设备保养预防性维护措施；④项目实施过程中针对突发事件的风险防范措施及应急突发事件的处理预案。 （二）评审标准：每一条评审内容无缺陷得3分，满分12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（一）评审内容：①服务体系及响应时间；②操作人员技术培训；③软件免费升级服务。 （二）评审标准：每一条评审内容无缺陷得3分，满分9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零配件储备</w:t>
            </w:r>
          </w:p>
        </w:tc>
        <w:tc>
          <w:tcPr>
            <w:tcW w:type="dxa" w:w="2492"/>
          </w:tcPr>
          <w:p>
            <w:pPr>
              <w:pStyle w:val="null3"/>
            </w:pPr>
            <w:r>
              <w:rPr>
                <w:rFonts w:ascii="仿宋_GB2312" w:hAnsi="仿宋_GB2312" w:cs="仿宋_GB2312" w:eastAsia="仿宋_GB2312"/>
              </w:rPr>
              <w:t>（一）评审内容：①具有备品备件库，并提供备品备件库的证明材料；②备品备件种类齐全，提供备品备件清单。 （二）评审标准：每一条评审内容无缺陷得3分，满分6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一）评审内容：①团队配置齐全，职责任务、分工明确；②人员工作计划符合项目实际情况、针对性强。（二）评审标准：每一条评审内容无缺陷得3分，满分6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针对设备日常保养维护方法，能够提出有价值的合理化建议，且具体切实可行，有利于延长设备使用寿命得3分；2、设备日常保养维护方法完整，提供了合理化建议但缺乏针对性得2分；3、设备日常保养维护方法有缺陷，合理化建议内容简单得1分；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供应商具有近三年（2023年5月至今）的类似业绩（合同复印件并加盖供应商公章，以合同签订时间为准）每个计2.5分，最多得5分；未提供或提供不完全不得分。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满足磋商文件要求且磋商后报价最低的供应商的价格为磋商基准价，其价格分为满分。其他供应商的价格分统一按照下列公式计算： 磋商报价得分=（磋商基准价/磋商报价）×15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