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版本号：政采-渭南市-2026-01069、SCZB2026-ZB-0090-420260610001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国家重点专科智慧ICU智能升级改造项目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政采-渭南市-2026-01069、SCZB2026-ZB-0090-4</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国家重点专科智慧ICU智能升级改造项目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政采-渭南市-2026-01069、SCZB2026-ZB-0090-4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国家重点专科智慧ICU智能升级改造项目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建设一套智慧重症诊疗分析平台，通过整合渭南市中心医院现有信息系统及医疗设备数据，构建集重症患者全生命周期管理、智能临床决策支持与区域协同救治为一体的综合体系。平台将打通院内分散的ICU、CCU、EICU、RICU等临床科室数据资源，实现跨科室业务流程优化与护理质控自动化，动态生成国家重症质控指标并闭环管理医嘱执行；同时基于AI算法集群与重症专科大模型，提供智能评分、智能护理计划纠偏及脓毒症等单病种诊疗辅助决策。</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采购包1（国家重点专科智慧ICU智能升级改造项目）：属于专门面向中小企业采购。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熊磊、刘艳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会议一体机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w:t>
            </w:r>
          </w:p>
          <w:p>
            <w:pPr>
              <w:pStyle w:val="null3"/>
            </w:pPr>
            <w:r>
              <w:rPr>
                <w:rFonts w:ascii="仿宋_GB2312" w:hAnsi="仿宋_GB2312" w:cs="仿宋_GB2312" w:eastAsia="仿宋_GB2312"/>
              </w:rPr>
              <w:t>银行账号：103262467227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代理服务费收费标准：代理服务费参照《国家计委关于印发&lt;招标代理服务收费管理暂行办法&gt;的通知》（计价格[2002]1980号）规定标准按（按采购包）收取。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建设一套智慧重症诊疗分析平台，通过整合渭南市中心医院现有信息系统及医疗设备数据，构建集重症患者全生命周期管理、智能临床决策支持与区域协同救治为一体的综合体系。平台将打通院内分散的ICU、CCU、EICU、RICU等临床科室数据资源，实现跨科室业务流程优化与护理质控自动化，动态生成国家重症质控指标并闭环管理医嘱执行；同时基于AI算法集群与重症专科大模型，提供智能评分、智能护理计划纠偏及脓毒症等单病种诊疗辅助决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国家重点专科智慧ICU智能升级改造项目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标的名称：国家重点专科智慧ICU智能升级改造项目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1.建设内容及要求</w:t>
            </w:r>
          </w:p>
          <w:tbl>
            <w:tblPr>
              <w:tblBorders>
                <w:top w:val="none" w:color="000000" w:sz="4"/>
                <w:left w:val="none" w:color="000000" w:sz="4"/>
                <w:bottom w:val="none" w:color="000000" w:sz="4"/>
                <w:right w:val="none" w:color="000000" w:sz="4"/>
                <w:insideH w:val="none"/>
                <w:insideV w:val="none"/>
              </w:tblBorders>
            </w:tblPr>
            <w:tblGrid>
              <w:gridCol w:w="572"/>
              <w:gridCol w:w="616"/>
              <w:gridCol w:w="1365"/>
            </w:tblGrid>
            <w:tr>
              <w:tc>
                <w:tcPr>
                  <w:tcW w:type="dxa" w:w="1188"/>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建设内容</w:t>
                  </w:r>
                </w:p>
              </w:tc>
              <w:tc>
                <w:tcPr>
                  <w:tcW w:type="dxa" w:w="136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具体内容</w:t>
                  </w:r>
                </w:p>
              </w:tc>
            </w:tr>
            <w:tr>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国家重点专科智慧ICU项目软件部分</w:t>
                  </w:r>
                </w:p>
              </w:tc>
              <w:tc>
                <w:tcPr>
                  <w:tcW w:type="dxa" w:w="6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智慧ICU生命体征平台</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智慧数据互联改造</w:t>
                  </w:r>
                </w:p>
              </w:tc>
            </w:tr>
            <w:tr>
              <w:tc>
                <w:tcPr>
                  <w:tcW w:type="dxa" w:w="572"/>
                  <w:vMerge/>
                  <w:tcBorders>
                    <w:top w:val="none" w:color="000000" w:sz="4"/>
                    <w:left w:val="single" w:color="000000" w:sz="4"/>
                    <w:bottom w:val="single" w:color="000000" w:sz="4"/>
                    <w:right w:val="single" w:color="000000" w:sz="4"/>
                  </w:tcBorders>
                </w:tcPr>
                <w:p/>
              </w:tc>
              <w:tc>
                <w:tcPr>
                  <w:tcW w:type="dxa" w:w="616"/>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生命体征数据实时分析系统</w:t>
                  </w:r>
                </w:p>
              </w:tc>
            </w:tr>
            <w:tr>
              <w:tc>
                <w:tcPr>
                  <w:tcW w:type="dxa" w:w="572"/>
                  <w:vMerge/>
                  <w:tcBorders>
                    <w:top w:val="none" w:color="000000" w:sz="4"/>
                    <w:left w:val="single" w:color="000000" w:sz="4"/>
                    <w:bottom w:val="single" w:color="000000" w:sz="4"/>
                    <w:right w:val="single" w:color="000000" w:sz="4"/>
                  </w:tcBorders>
                </w:tcPr>
                <w:p/>
              </w:tc>
              <w:tc>
                <w:tcPr>
                  <w:tcW w:type="dxa" w:w="616"/>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生命体征数据分析报告系统</w:t>
                  </w:r>
                </w:p>
              </w:tc>
            </w:tr>
            <w:tr>
              <w:tc>
                <w:tcPr>
                  <w:tcW w:type="dxa" w:w="572"/>
                  <w:vMerge/>
                  <w:tcBorders>
                    <w:top w:val="none" w:color="000000" w:sz="4"/>
                    <w:left w:val="single" w:color="000000" w:sz="4"/>
                    <w:bottom w:val="single" w:color="000000" w:sz="4"/>
                    <w:right w:val="single" w:color="000000" w:sz="4"/>
                  </w:tcBorders>
                </w:tcPr>
                <w:p/>
              </w:tc>
              <w:tc>
                <w:tcPr>
                  <w:tcW w:type="dxa" w:w="616"/>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数据管理系统</w:t>
                  </w:r>
                </w:p>
              </w:tc>
            </w:tr>
            <w:tr>
              <w:tc>
                <w:tcPr>
                  <w:tcW w:type="dxa" w:w="572"/>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单病种智慧诊疗中枢</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脓毒症诊疗中心</w:t>
                  </w:r>
                </w:p>
                <w:p>
                  <w:pPr>
                    <w:pStyle w:val="null3"/>
                    <w:jc w:val="center"/>
                  </w:pPr>
                  <w:r>
                    <w:rPr>
                      <w:rFonts w:ascii="仿宋_GB2312" w:hAnsi="仿宋_GB2312" w:cs="仿宋_GB2312" w:eastAsia="仿宋_GB2312"/>
                    </w:rPr>
                    <w:t>ARDS</w:t>
                  </w:r>
                  <w:r>
                    <w:rPr>
                      <w:rFonts w:ascii="仿宋_GB2312" w:hAnsi="仿宋_GB2312" w:cs="仿宋_GB2312" w:eastAsia="仿宋_GB2312"/>
                    </w:rPr>
                    <w:t>诊疗中心</w:t>
                  </w:r>
                </w:p>
              </w:tc>
            </w:tr>
            <w:tr>
              <w:tc>
                <w:tcPr>
                  <w:tcW w:type="dxa" w:w="572"/>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重症监护临床信息系统</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包含患者管理、护士工作站、医生工作站、移动工作站、智慧移动交接班等</w:t>
                  </w:r>
                </w:p>
              </w:tc>
            </w:tr>
            <w:tr>
              <w:tc>
                <w:tcPr>
                  <w:tcW w:type="dxa" w:w="572"/>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系统集成</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包括重症系统、区域重症智慧诊疗分析平台与院内其他系统集成，支持与现有重症评分、文书管理、重症护理系统接口对接。</w:t>
                  </w:r>
                </w:p>
              </w:tc>
            </w:tr>
          </w:tbl>
          <w:p>
            <w:pPr>
              <w:pStyle w:val="null3"/>
              <w:jc w:val="both"/>
            </w:pPr>
            <w:r>
              <w:rPr>
                <w:rFonts w:ascii="仿宋_GB2312" w:hAnsi="仿宋_GB2312" w:cs="仿宋_GB2312" w:eastAsia="仿宋_GB2312"/>
              </w:rPr>
              <w:t>2.系统功能参数要求</w:t>
            </w:r>
          </w:p>
          <w:tbl>
            <w:tblPr>
              <w:tblBorders>
                <w:top w:val="none" w:color="000000" w:sz="4"/>
                <w:left w:val="none" w:color="000000" w:sz="4"/>
                <w:bottom w:val="none" w:color="000000" w:sz="4"/>
                <w:right w:val="none" w:color="000000" w:sz="4"/>
                <w:insideH w:val="none"/>
                <w:insideV w:val="none"/>
              </w:tblBorders>
            </w:tblPr>
            <w:tblGrid>
              <w:gridCol w:w="438"/>
              <w:gridCol w:w="438"/>
              <w:gridCol w:w="542"/>
              <w:gridCol w:w="1135"/>
            </w:tblGrid>
            <w:tr>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系统名称</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功能名称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子功能名称</w:t>
                  </w:r>
                </w:p>
              </w:tc>
              <w:tc>
                <w:tcPr>
                  <w:tcW w:type="dxa" w:w="1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功能描述</w:t>
                  </w:r>
                </w:p>
              </w:tc>
            </w:tr>
            <w:tr>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智慧ICU生命体征平台</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身份认证</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用户登录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通过登录验证功能对用户身份验证识别，用户输入账号、密码，向服务端发送校验用户身份请求，根据账号密码匹配和用户权限返回校验结果，以实现基于账号关联用户角色权限分配对应功能页面。</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工号登录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能够实现对接院内工号体系，用户可使用工号密码进行身份识别</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科室管理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科室管理</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可实现创建和统一管理科室信息，将科室信息、病区信息、床位信息新建与编辑或进行床位排序等进行统一化管理，包括新建科室、编辑科室、停用科室、新建病区、编辑病区、新建床位、编辑床位、床位排序，管理员角色可对医疗功能布局统一管理。</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员工管理</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人员管理通过创建人员账号信息，统一管理，权限分配。包括:新建人员、人员查询、人员修改、人员详情、停用人员和导出数据，实现医院管理人员对系统软件使用人员的分配与管理。</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权限分配</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系统通过授权角色进行权限控制，不同角色可灵活分配数据权限、功能权限，支持新增、修改、删除、查看角色。</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床位管理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床位管理</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能够对床位统一化管理，包括新建床位、编辑床位、删除床位、床位排序、查看床位详情，床位与设备绑定等。</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设备管理</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具备监护设备管理功能，通过管理页面可快速查询与编辑设备，并提供床位与设备进行绑定，为实时采集监护仪设备与呼吸机设备的快速监护流程创造条件。</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床位安排</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能够拖拽式安排病人上床、下床、换床、分配监护仪、换监护仪、出科、再入科等操作。</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数据采集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自动采集</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自动采集床旁监护仪的数据并持久化存储，自动记录重症监护期间所有体征趋势。从监护仪等设备采集病人心率、呼吸、血氧、脉搏、无创血压、有创血压、体温、中心静脉平均压等多种生命体征参数。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手动录入</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对无法提供数据接口的设备可以采取手工录入。</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数据修正</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允许人工修正由于外界干扰造成数据不准的生命体征数据，并且系统自动记录数据修正痕迹，用于事件追溯。</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报警功能</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具备报警功能，根据设定自动报警、发出提示信息，对单个病人进行自定义设置。</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自定义采集频率</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具备多种方式采集频率设置，即系统级采集频率和单病人采集频率。</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多品牌支持</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支持多种品牌的监护仪设备采集，自动获取到的监护体征数据按医疗规范要求的时间间隔自动在护理单上快捷录入生命体征；数据实时传送到服务器数据库内存储。</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其它</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支持多种采集方式，包括但不限于对接第三方中央监护、内网集中采集、专网集中采集、床旁一对一及一对多等各种形式。</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实时监护大屏</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患者床头卡</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在首页集中展示病人监护信息，包括患者基本信息、监护类型、体征实时数据、最近报警信息、生成报告等</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▲生命体征</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生命体征中央监护大屏，集中展示科室内所有患者的生命体征实时监护信息，具备弹窗事件报警功能，支持自定义调整展示布局及展示体征数据</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患者生命体征实时监护大屏，针对某个患者大屏展示生命体征实时监护信息，支持弹窗事件报警，支持自定义维护展示体征数据</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▲机械通气</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机械通气中央监护大屏，集中展示科室内所有患者的机械通气实时监护信息，支持弹窗事件报警，支持自定义调整展示布局及展示体征数据</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患者机械通气实时监护大屏，针对某个患者大屏展示机械通气实时监护信息，支持弹窗事件报警，支持自定义维护展示体征数据</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患者管理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患者信息</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支持对接院内HIS、LIS、PACS等系统，同一页面集中展示患者基本信息、医嘱记录、出入科记录和检查报告</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监护概况</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实时体征：展示各体征指标的实时数值和波形图。</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动态趋势：展示截止到查询时间前的生命体征指标折线图，支持自定义选择趋势查询时间</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事件预警：展示该患者所有报警事件列表，支持统计事件报警情况</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▲实时监护</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能够快速进入患者实时监护页面，查看患者当前最新的体征数据</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▲数据回顾</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监护仪和呼吸机的监护过程的数据回顾，支持自定义时间范围，在数据回顾中用户可查看当前时间段患者的体征数据，同时系统自动标注当前时间段内产生的报警事件的时间范围、患者医嘱执行记录等</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趋势回顾：至少支持趋势图和趋势表两种查看方式，趋势图展示事件报警前一分钟的体征数据形成波形图；趋势表展示每秒体征数据；异常数据标红展示</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波形图回顾：展示患者该时段内的体征波形图，支持调节走速、增益、时间</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特征参数：展示报警时间的各生命体征数据</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事件列表：展示查询时间内发生的事件，支持点击定位按钮可在波形图中定位事件</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事件预警</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支持查看患者所有的事件预警列表，支持查看预警详情，支持查看预警发生时患者的生命体征数据，可打印、下载事件预警报告</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▲数据报告</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系统支持自定义生成患者24小时监护报告，或用户自定义时间段导出患者的监护报告</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事件报警</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异常指标报警</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当监护仪和呼吸机产生异常指标时，系统通过比对前后的数据，排除误报警后进行报警</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特殊事件报警</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系统支持自定义特殊事件，当满足事件条件后系统自动进行事件报警</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事件回顾</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支持回顾事件发生的时段内患者的生命体征数据变化，支持数值展示和波形图展示</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▲事件报告</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事件发生后系统支持自动针对本次事件生成事件报告，用户可打印、下载进行查看。</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多模态数据报告</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24小时远程多参数监测报告</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医护人员查看数据分析报告，包括患者信息、异常数据图形和、趋势图、直方图、数据标注等，便于评估和量化患者病理生理转归状态，辅助临床诊疗决策，辅助制定或调整治疗方案，提高医疗质量和救治成功率，缩短患者ICU入住时间和治疗周期。</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机械通气数据分析报告</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为各院区ICU提供远程机械通气数据总结分析报告，包括患者信息、重要参数趋势图、监测参数记录表、报警监测记录表及分布图、设置参数的变更等，供医护人员阅读浏览，作为临床医疗决策参考。</w:t>
                  </w:r>
                </w:p>
              </w:tc>
            </w:tr>
            <w:tr>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单病种智慧诊疗中枢</w:t>
                  </w:r>
                </w:p>
                <w:p>
                  <w:pPr>
                    <w:pStyle w:val="null3"/>
                    <w:jc w:val="both"/>
                  </w:pPr>
                  <w:r>
                    <w:rPr>
                      <w:rFonts w:ascii="仿宋_GB2312" w:hAnsi="仿宋_GB2312" w:cs="仿宋_GB2312" w:eastAsia="仿宋_GB2312"/>
                    </w:rPr>
                    <w:t xml:space="preserve"> </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数据同步与预警</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实时数据同步</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实时同步患者生命体征数据及实验室检查数据，为脓毒症、急性呼吸窘迫综合征（ARDS）判断提供全面及时的数据支撑及时的数据支撑</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脓毒症预警触发</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内置脓毒症预警规则模型，通过分析同步的生命体征与实验室数据，自动识别脓毒症早期预警信号，触发预警机制</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ARDS预警触发</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内置急性呼吸窘迫综合征（ARDS）预警规则模型，通过分析同步的生命体征与实验室数据，自动识别ARDS早期预警信号，触发预警机制</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多渠道预警通知</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支持系统声光报警、医护人员移动端推送提醒等多渠道预警通知方式，确保预警信息快速传达至相关医护人员，避免延误干预时机</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诊疗流程管理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标准化急诊流程触发</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当系统识别到脓毒症、急性呼吸窘迫综合征（ARDS）预警信号时，自动推送预设标准化急诊处理流程指引，明确诊疗步骤与时间节点，规范诊疗操作</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诊疗流程进度追踪</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实时显示脓毒症、急性呼吸窘迫综合征（ARDS）诊疗当前所处环节、已完成的操作内容及待执行的任务清单，便于医护人员掌握诊疗进展，确保流程有序推进</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诊疗流程自定义调整</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支持根据患者个体病情差异、医院诊疗规范更新等情况，灵活修改急诊流程内容，适配不同临床场景需求</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数据记录与报告</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诊疗全流程数据记录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自动记录脓毒症、急性呼吸窘迫综合征（ARDS）诊疗全流程关键数据，包括预警触发时间、各环节诊疗操作记录、用药明细、检查结果、病情变化节点等信息，形成完整诊疗档案</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脓毒症诊疗专项报告生成</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支持生成脓毒症诊疗专项报告，内容涵盖患者基本信息、诊疗过程概述、关键指标变化趋势图、治疗效果评估结论等，为临床复盘、病例讨论提供数据支持</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急性呼吸窘迫综合征（ARDS）诊疗专项报告生成</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支持生成急性呼吸窘迫综合征（ARDS）诊疗专项报告，内容涵盖患者基本信息、诊疗过程概述、关键指标变化趋势图、治疗效果评估结论等，为临床复盘、病例讨论提供数据支持</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诊疗数据导出</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提供诊疗数据导出功能，支持将脓毒症、急性呼吸窘迫综合征（ARDS）诊疗相关数据以规范格式导出，便于纳入患者住院病历存档，满足医疗文书管理要求</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诊疗数据统计分析</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支持按时间段、患者类型等维度，统计脓毒症、急性呼吸窘迫综合征（ARDS）发病情况、治疗成功率、并发症发生率等指标，为科室质量管理与科研工作提供数据参考</w:t>
                  </w:r>
                </w:p>
              </w:tc>
            </w:tr>
            <w:tr>
              <w:tc>
                <w:tcPr>
                  <w:tcW w:type="dxa" w:w="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重症监护临床信息系统</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床旁护理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患者出入科</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自动同步his数据，完成患者出入科。</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患者信息</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患者信息查询、编辑，默认从his获取病人信息，同时支持手动录入病人。</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体征数据采集</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自动采集床旁监护仪数据，支持自定义患者采集频率。</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体征数据抓取</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支持选择时间一键抓取任何时间点的生命体征，辅助记录。</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▲体征数据报警</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支持自动分析生命体征并对异常指标进行报警，支持一键记录异常体征到护理记录。</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▲检验检查</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支持对接检验检查系统获取数据，展示患者检验检查报告。</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病历集成</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支持对接EMR病历系统，集成患者病历，通过重症系统查看。</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▲患者日志</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自动提取医嘱数据，生成患者日志，对护理过程中单次事件及持续性事件进行智能分析，生成日志数据，并针对危急值或关键事件进行消息提醒。患者日志统计需支持溯源功能，可查看每个统计数值对应的数据来源及明细；支持导出。</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手术信息</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支持记录病人的手术信息，可自动同步。</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关键事件</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应支持自动提取患者数据，生成患者关键事件，以时间轴形式展示；支持记录患者的入科、出科、分娩、死亡、手术、外出等重大节点信息；并支持点击时间轴事件，精准跳转至关键事件对应的系统页面。</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护理模板维护</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提供专业的可维护的模板，方便护士记录病人的病情、护理措施。</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医嘱管理</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查询病人的已执行医嘱，复核药嘱信息并自动记录到护理记录单入量信息，支持单条复核和批量复核。</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患者标签</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支持对患者进行大标签。</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床位管理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床位安排</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支持拖拽式安排病人上床、下床、换床、分配监护仪、换监护仪、出科、再入科等操作。</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预约列表</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支持床位的预约和查询</w:t>
                  </w:r>
                </w:p>
              </w:tc>
            </w:tr>
            <w:tr>
              <w:tc>
                <w:tcPr>
                  <w:tcW w:type="dxa" w:w="438"/>
                  <w:vMerge/>
                  <w:tcBorders>
                    <w:top w:val="none" w:color="000000" w:sz="4"/>
                    <w:left w:val="singl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出科登记</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出科登记</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支持患者的外出登记</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护理评估</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获得性肺炎评估单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对病人获得性肺炎风险进行评估，针对获得性肺炎风险高的病人有效预防肺炎的发生，并支持打印。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保护性约束知情同意书</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针对特殊条件病人进行保护性约束，有效预防病人受伤的危险的发生，并支持打印。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入科宣教</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对病人进行入科宣教，提高患者满意度，便于更好的开展优质护理工作。减轻病人焦虑消除陌生感，尽快熟悉和适应医院环境，以稳定的情绪配合治疗，并支持打印。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预防跌倒告知书</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针对可能发生跌倒的病人进行预防跌倒告知，有效避免病人发生跌倒的危险，并支持打印。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患者转科交接单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转科病人病情内容描述，信息传递更加准确、详细，提高科室之间交接的效率，杜绝了危重症病人院内转科交接时交代不清的现象，并支持打印。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手术患者交接记录单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完善病房与手术室转交接患者的工作流程,确保手术患者,手术方式,手术部位的安全,预防手术患者交接过程中护理差错事故的发生，并支持打印。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护理工作告知程序</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支持记录护理工作告知程序记录，并支持打印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自费材料、诊疗项目告知同意书</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支持记录自费材料、诊疗项目告知同意书记录，并支持打印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出院指导记录单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支持记录出院指导记录单记录，并支持打印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患者病情介绍及家属沟通</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支持记录患者病情介绍及家属沟通记录，并支持打印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患者出院评估</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支持记录患者出院评估记录，并支持打印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压疮监测</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压疮记录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支持记录病人压疮记录，包括发生时间、位置、大小、严重程度、护理措施等；</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压疮评分</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根据选择的压疮评分评分项目自动计算总分；支持选择对应的护理错误措施，对评分进行图形化界面的统计分析，并支持打印。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护理计划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护理计划</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支持记录病人的护理计划并支持审批及驳回等功能；</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护理计划单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记录病人的护理计划单，根据执行时间、执行人生成时间轴，并支持打印。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交接班</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交班</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支持提取生命体征信息并一键生成交接班报告，支持查询历史交班记录，支持sbar交班模式，并支持打印。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重症评分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评分管理</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包括评分管理、评分记录单、CPOT评分、RASS评分、apacheⅡ、morse、braden、adl、VTE、导管滑脱、面部表情疼痛评分、格拉斯哥评分、导管风险因素、导管风险脱落等几十种专业评分。支持修改评分和评分打印。支持自动评分，自动抓取监测数值，系统根据数值及原有算法自动计算出分值，支持手动输入并自动计算分值，支持一键复制评分，对评分进行图形化界面的统计分析，支持评分同步至护理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护理文书</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整体护理</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支持对生命体征、基础护理、呼吸机、出入量、口服鼻饲、签名、医嘱信息的维护。</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护理记录单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支持病人生命体征的管理，包括神志、瞳孔、呼吸音等基本情况，支持病人生命体征异常值报警显示。</w:t>
                  </w:r>
                </w:p>
                <w:p>
                  <w:pPr>
                    <w:pStyle w:val="null3"/>
                    <w:jc w:val="both"/>
                  </w:pPr>
                  <w:r>
                    <w:rPr>
                      <w:rFonts w:ascii="仿宋_GB2312" w:hAnsi="仿宋_GB2312" w:cs="仿宋_GB2312" w:eastAsia="仿宋_GB2312"/>
                    </w:rPr>
                    <w:t>对病人的出量及入量进行录入、修改及出入量自动统计；</w:t>
                  </w:r>
                </w:p>
                <w:p>
                  <w:pPr>
                    <w:pStyle w:val="null3"/>
                    <w:jc w:val="both"/>
                  </w:pPr>
                  <w:r>
                    <w:rPr>
                      <w:rFonts w:ascii="仿宋_GB2312" w:hAnsi="仿宋_GB2312" w:cs="仿宋_GB2312" w:eastAsia="仿宋_GB2312"/>
                    </w:rPr>
                    <w:t>对病人进行引流管、静脉置管、动脉置管等管路自动维护；</w:t>
                  </w:r>
                </w:p>
                <w:p>
                  <w:pPr>
                    <w:pStyle w:val="null3"/>
                    <w:jc w:val="both"/>
                  </w:pPr>
                  <w:r>
                    <w:rPr>
                      <w:rFonts w:ascii="仿宋_GB2312" w:hAnsi="仿宋_GB2312" w:cs="仿宋_GB2312" w:eastAsia="仿宋_GB2312"/>
                    </w:rPr>
                    <w:t>支持行复制，监护数据自动抓取，手动抓取，实时统计，入量余量交接，实时累加，医嘱自动同步，模板化录入；</w:t>
                  </w:r>
                </w:p>
                <w:p>
                  <w:pPr>
                    <w:pStyle w:val="null3"/>
                    <w:jc w:val="both"/>
                  </w:pPr>
                  <w:r>
                    <w:rPr>
                      <w:rFonts w:ascii="仿宋_GB2312" w:hAnsi="仿宋_GB2312" w:cs="仿宋_GB2312" w:eastAsia="仿宋_GB2312"/>
                    </w:rPr>
                    <w:t>记录护理措施及其他的护理单，支持生命体征一键导入、护理措施模板等各种便捷录入方式。</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血液净化记录单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记录血液净化信息及维护记录，并支持打印。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入科护理评估单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对病人进行入科护理评估，明确护理对象所需要解决的护理问题或需要，并支持打印。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围手术期护理记录单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手术期间记录患者生命体征、用药及其他的记录单，并支持打印。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ECMO护理记录单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记录病人ECMO使用情况及检测项目，并支持打印。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术后患者护理记录单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记录手术后患者生命体征、瞳孔和病情记录等信息的护理单，并支持打印。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CVC导管维护记录单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记录患者CVC导管维护记录信息，并支持打印。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PICC导管维护记录单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记录患者PICC导管维护记录信息，并支持打印。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ROPT导管维护记录单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记录患者ROPT导管维护记录信息，并支持打印。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中心静脉导管拔管评估表</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对病人中心静脉导管进行拔管指征和评价结论等的信息记录，并支持打印。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呼吸机撤机指征评估表</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对病人呼吸机撤机进行拔管指征和评价结论等的信息记录，并支持打印。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导尿管拔管评估表</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对病人导尿管拔管进行拔管指征和评价结论等的信息记录，并支持打印。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血糖监测单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记录患者血糖信息，并支持打印。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体温单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记录患者体温、呼吸、血压、以及出入量等信息的护理单，支持记录关键事件，支持项目从护理单一键导入，并支持打印。支持对接电子病历系统，实现体温单数据全院共享，该功能需电子病历系统提供接口。</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心电监护观察记录单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记录病人心电监护观察，并支持打印。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下肢周径测量表</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记录患者发生下肢静脉血栓信息的测量表</w:t>
                  </w:r>
                  <w:r>
                    <w:rPr>
                      <w:rFonts w:ascii="仿宋_GB2312" w:hAnsi="仿宋_GB2312" w:cs="仿宋_GB2312" w:eastAsia="仿宋_GB2312"/>
                      <w:color w:val="000000"/>
                    </w:rPr>
                    <w:t>，</w:t>
                  </w:r>
                  <w:r>
                    <w:rPr>
                      <w:rFonts w:ascii="仿宋_GB2312" w:hAnsi="仿宋_GB2312" w:cs="仿宋_GB2312" w:eastAsia="仿宋_GB2312"/>
                    </w:rPr>
                    <w:t>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输血记录单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记录病人输血信息，并支持打印。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气管切开护理记录单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记录病人气管切开、套管等的信息，并支持打印。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血浆置换治疗记录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记录病人血浆置换的治疗记录，并支持打印。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血液灌流治疗记录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记录病人血液灌流的治疗记录，并支持打印。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介入治疗患者交接记录单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支持记录介入治疗患者交接记录单记录，并支持打印。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内窥镜手术患者交接记录单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支持记录内窥镜手术患者交接记录单记录，并支持打印。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PICCO监测记录单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支持记录PICCO监测记录单记录，并支持打印。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PICC穿刺记录单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支持记录PICC穿刺记录单记录。</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PORT维护</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支持记录PORT维护记录，并支持打印。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CRRT维护</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支持CRRT治疗记录，并支持打印。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PICC穿刺核查表</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支持记录PICC穿刺核查表记录，并支持打印。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血液净化治疗医嘱单</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记录血液净化治疗医嘱单记录，并支持打印。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血液导管拔管评估表</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支持记录血液导管拔管评估表记录。</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气管插管保留或拔管指征评估表</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支持记录气管插管保留或拔管指征评估表记录。</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导尿管保留或撤管指征评估表</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支持导尿管保留或撤管指征评估表记录。</w:t>
                  </w:r>
                </w:p>
              </w:tc>
            </w:tr>
            <w:tr>
              <w:tc>
                <w:tcPr>
                  <w:tcW w:type="dxa" w:w="438"/>
                  <w:vMerge/>
                  <w:tcBorders>
                    <w:top w:val="none" w:color="000000" w:sz="4"/>
                    <w:left w:val="singl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排班管理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护士排班</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支持对人员类别进行快速排班，可根据提前设置好的排班规则，进行方便快捷的整月排班，支持打印。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智慧交接班</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移动交班</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通过语音识别技术，将医护口述的患者情况自动转换为文字，并提取关键词填入交班模板对应字段</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对于病情稳定、护理措施延续性强的患者，支持一键复用前一班次的交班记录，仅需补充修改变化部分</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支持医护在工作中快速记录临时信息，如患者突发的微小病情变化、临时沟通事项等，可选择文字或语音片段形式</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与医院现有重症系统、HIS、EMR、LIS系统深度对接，自动拉取患者医嘱、检查结果、生命体征等医疗数据，并填充到交班模板中</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交班报告</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自动生成标准化交班报告，包括患者基本信息、今日病情变化、已执行护理措施、当前医嘱、待办事项等模块</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系统内置交班内容校验规则库，自动检查报告是否缺失关键信息并提示</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与上一班次记录自动对比，识别病情变化、护理措施调整等差异点并高亮提示</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针对新收入患者，自动推送病种模型护理建议，供医护参考</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移动接班</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系统自动展示当前医护人员负责的患者列表，支持添加特殊标签，突出需重点关注的对象</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支持查看交接班的完整详情，对患者结构化交班记录，提供语音合成播报</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内置快速问答功能，护理过程随时针对患者病情互动问答</w:t>
                  </w:r>
                </w:p>
              </w:tc>
            </w:tr>
            <w:tr>
              <w:tc>
                <w:tcPr>
                  <w:tcW w:type="dxa" w:w="438"/>
                  <w:vMerge/>
                  <w:tcBorders>
                    <w:top w:val="none" w:color="000000" w:sz="4"/>
                    <w:left w:val="singl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排班管理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医生排班</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支持对人员类别进行快速排班，可根据提前设置好的排班规则，进行方便快捷的整月排班，支持打印。</w:t>
                  </w:r>
                </w:p>
              </w:tc>
            </w:tr>
            <w:tr>
              <w:tc>
                <w:tcPr>
                  <w:tcW w:type="dxa" w:w="438"/>
                  <w:vMerge/>
                  <w:tcBorders>
                    <w:top w:val="none" w:color="000000" w:sz="4"/>
                    <w:left w:val="singl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▲患者日志视图</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VTE</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系统支持自动提取VTE医嘱数据，并生成结构化的患者日志，支持基于患者日志进行数据汇总展示患者VTE情况，并展示具体治疗方式等。</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抗生素</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系统支持自动提取抗生素医嘱数据，并生成结构化的患者日志，支持基于患者日志进行数据汇总展示患者抗生素使用记录，并支持以时间轴、甘特图等清晰易懂的形式展示给医生。</w:t>
                  </w:r>
                </w:p>
              </w:tc>
            </w:tr>
            <w:tr>
              <w:tc>
                <w:tcPr>
                  <w:tcW w:type="dxa" w:w="438"/>
                  <w:vMerge/>
                  <w:tcBorders>
                    <w:top w:val="none" w:color="000000" w:sz="4"/>
                    <w:left w:val="singl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肠内营养</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rPr>
                    <w:t>系统支持自动提取肠内营养医嘱数据，并生成结构化的患者日志，支持基于患者日志进行数据汇总展示患者肠内营养使用明细，包括类型、热量等，方便医生查询浏览。</w:t>
                  </w:r>
                </w:p>
              </w:tc>
            </w:tr>
          </w:tbl>
          <w:p>
            <w:pPr>
              <w:pStyle w:val="null3"/>
              <w:jc w:val="both"/>
            </w:pPr>
            <w:r>
              <w:rPr>
                <w:rFonts w:ascii="仿宋_GB2312" w:hAnsi="仿宋_GB2312" w:cs="仿宋_GB2312" w:eastAsia="仿宋_GB2312"/>
              </w:rPr>
              <w:t>3.配套硬件功能参数要求</w:t>
            </w:r>
          </w:p>
          <w:tbl>
            <w:tblPr>
              <w:tblBorders>
                <w:top w:val="none" w:color="000000" w:sz="4"/>
                <w:left w:val="none" w:color="000000" w:sz="4"/>
                <w:bottom w:val="none" w:color="000000" w:sz="4"/>
                <w:right w:val="none" w:color="000000" w:sz="4"/>
                <w:insideH w:val="none"/>
                <w:insideV w:val="none"/>
              </w:tblBorders>
            </w:tblPr>
            <w:tblGrid>
              <w:gridCol w:w="255"/>
              <w:gridCol w:w="383"/>
              <w:gridCol w:w="1694"/>
              <w:gridCol w:w="221"/>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名称</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配置描述</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数量</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服务器</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机架式服务器</w:t>
                  </w:r>
                </w:p>
                <w:p>
                  <w:pPr>
                    <w:pStyle w:val="null3"/>
                    <w:jc w:val="both"/>
                  </w:pPr>
                  <w:r>
                    <w:rPr>
                      <w:rFonts w:ascii="仿宋_GB2312" w:hAnsi="仿宋_GB2312" w:cs="仿宋_GB2312" w:eastAsia="仿宋_GB2312"/>
                    </w:rPr>
                    <w:t>配置处理器数量≥2，单颗处理器础频率≥2.9GHz、最大睿频≥3.5GHz、≥16核心、≥32 线程；</w:t>
                  </w:r>
                </w:p>
                <w:p>
                  <w:pPr>
                    <w:pStyle w:val="null3"/>
                    <w:jc w:val="both"/>
                  </w:pPr>
                  <w:r>
                    <w:rPr>
                      <w:rFonts w:ascii="仿宋_GB2312" w:hAnsi="仿宋_GB2312" w:cs="仿宋_GB2312" w:eastAsia="仿宋_GB2312"/>
                    </w:rPr>
                    <w:t>配置≥256GB ECC内存；</w:t>
                  </w:r>
                </w:p>
                <w:p>
                  <w:pPr>
                    <w:pStyle w:val="null3"/>
                    <w:jc w:val="both"/>
                  </w:pPr>
                  <w:r>
                    <w:rPr>
                      <w:rFonts w:ascii="仿宋_GB2312" w:hAnsi="仿宋_GB2312" w:cs="仿宋_GB2312" w:eastAsia="仿宋_GB2312"/>
                    </w:rPr>
                    <w:t>配置≥1TB NVMe SSD，配置≥4TB HDD；</w:t>
                  </w:r>
                </w:p>
                <w:p>
                  <w:pPr>
                    <w:pStyle w:val="null3"/>
                    <w:jc w:val="both"/>
                  </w:pPr>
                  <w:r>
                    <w:rPr>
                      <w:rFonts w:ascii="仿宋_GB2312" w:hAnsi="仿宋_GB2312" w:cs="仿宋_GB2312" w:eastAsia="仿宋_GB2312"/>
                    </w:rPr>
                    <w:t>配置2 块 GPU 加速卡，单卡FP32单精度浮点算力不低于40TFLops，CUDA核心数≥16000，显存容量≥24GB GDDR6X，显存带宽≥1TB/s；</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w:t>
                  </w:r>
                  <w:r>
                    <w:rPr>
                      <w:rFonts w:ascii="仿宋_GB2312" w:hAnsi="仿宋_GB2312" w:cs="仿宋_GB2312" w:eastAsia="仿宋_GB2312"/>
                    </w:rPr>
                    <w:t>全彩屏</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集中展示患者数据，≤P1.5（4m*2.3m）</w:t>
                  </w:r>
                </w:p>
                <w:p>
                  <w:pPr>
                    <w:pStyle w:val="null3"/>
                    <w:jc w:val="both"/>
                  </w:pPr>
                  <w:r>
                    <w:rPr>
                      <w:rFonts w:ascii="仿宋_GB2312" w:hAnsi="仿宋_GB2312" w:cs="仿宋_GB2312" w:eastAsia="仿宋_GB2312"/>
                    </w:rPr>
                    <w:t>包含LED全彩屏、视频控制器、接收卡、LED专用电源、播控软件、挂壁支架结构、LED包边、屏幕内部辅料、线缆布线</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会议一体机</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显示屏幕：有效显示尺寸≥ 75 英寸，采用一体化触控大屏设计；</w:t>
                  </w:r>
                </w:p>
                <w:p>
                  <w:pPr>
                    <w:pStyle w:val="null3"/>
                    <w:jc w:val="both"/>
                  </w:pPr>
                  <w:r>
                    <w:rPr>
                      <w:rFonts w:ascii="仿宋_GB2312" w:hAnsi="仿宋_GB2312" w:cs="仿宋_GB2312" w:eastAsia="仿宋_GB2312"/>
                    </w:rPr>
                    <w:t>分辨率：物理分辨率不低于 3840×2160（4K）；</w:t>
                  </w:r>
                </w:p>
                <w:p>
                  <w:pPr>
                    <w:pStyle w:val="null3"/>
                    <w:jc w:val="both"/>
                  </w:pPr>
                  <w:r>
                    <w:rPr>
                      <w:rFonts w:ascii="仿宋_GB2312" w:hAnsi="仿宋_GB2312" w:cs="仿宋_GB2312" w:eastAsia="仿宋_GB2312"/>
                    </w:rPr>
                    <w:t>系统性能：内置操作系统，运行流畅，支持多任务处理、应用安装与投屏功能；</w:t>
                  </w:r>
                </w:p>
                <w:p>
                  <w:pPr>
                    <w:pStyle w:val="null3"/>
                    <w:jc w:val="both"/>
                  </w:pPr>
                  <w:r>
                    <w:rPr>
                      <w:rFonts w:ascii="仿宋_GB2312" w:hAnsi="仿宋_GB2312" w:cs="仿宋_GB2312" w:eastAsia="仿宋_GB2312"/>
                    </w:rPr>
                    <w:t>触控技术：支持多点触控，响应灵敏，支持手写批注、手势缩放、拖拽等操作；</w:t>
                  </w:r>
                </w:p>
                <w:p>
                  <w:pPr>
                    <w:pStyle w:val="null3"/>
                    <w:jc w:val="both"/>
                  </w:pPr>
                  <w:r>
                    <w:rPr>
                      <w:rFonts w:ascii="仿宋_GB2312" w:hAnsi="仿宋_GB2312" w:cs="仿宋_GB2312" w:eastAsia="仿宋_GB2312"/>
                    </w:rPr>
                    <w:t>接口配置：配备 HDMI、USB、网口、音频输入输出等常用接口，支持电脑、手机、摄像头等外设接入；</w:t>
                  </w:r>
                </w:p>
                <w:p>
                  <w:pPr>
                    <w:pStyle w:val="null3"/>
                    <w:jc w:val="both"/>
                  </w:pPr>
                  <w:r>
                    <w:rPr>
                      <w:rFonts w:ascii="仿宋_GB2312" w:hAnsi="仿宋_GB2312" w:cs="仿宋_GB2312" w:eastAsia="仿宋_GB2312"/>
                    </w:rPr>
                    <w:t>显示效果：亮度、对比度满足室内强光环境可视，色彩还原真实，画面清晰稳定；</w:t>
                  </w:r>
                </w:p>
                <w:p>
                  <w:pPr>
                    <w:pStyle w:val="null3"/>
                    <w:jc w:val="both"/>
                  </w:pPr>
                  <w:r>
                    <w:rPr>
                      <w:rFonts w:ascii="仿宋_GB2312" w:hAnsi="仿宋_GB2312" w:cs="仿宋_GB2312" w:eastAsia="仿宋_GB2312"/>
                    </w:rPr>
                    <w:t>结构与安装：整机一体化设计，配备壁挂 / 落地支架。</w:t>
                  </w:r>
                </w:p>
                <w:p>
                  <w:pPr>
                    <w:pStyle w:val="null3"/>
                    <w:jc w:val="both"/>
                  </w:pPr>
                  <w:r>
                    <w:rPr>
                      <w:rFonts w:ascii="仿宋_GB2312" w:hAnsi="仿宋_GB2312" w:cs="仿宋_GB2312" w:eastAsia="仿宋_GB2312"/>
                    </w:rPr>
                    <w:t>注：本项目采购会议一体机产品属于节能产品政府采购品目清单中应强制采购的产品范围，供应商应当提供国家确定的认证机构出具的、处于有效期之内的节能产品认证证书，否则作无效投标处理。</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移动工作站</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配置电脑：内存 ≥8G ，CPU主频≥2.9GHz，≥6核心，≥12线程，硬盘≥128GB固态硬盘+512GB机械硬盘，支持windows操作系统，支持无线网络802.11ac/a/b/g/n,显示器尺寸≥21寸。</w:t>
                  </w:r>
                </w:p>
                <w:p>
                  <w:pPr>
                    <w:pStyle w:val="null3"/>
                    <w:jc w:val="both"/>
                  </w:pPr>
                  <w:r>
                    <w:rPr>
                      <w:rFonts w:ascii="仿宋_GB2312" w:hAnsi="仿宋_GB2312" w:cs="仿宋_GB2312" w:eastAsia="仿宋_GB2312"/>
                    </w:rPr>
                    <w:t>工作站应使用医用静音轮，电脑安装高度可调整，整体调节高度≥415mm，显示可调角度≥40°、可左右360°转动。方便安装电脑或显示器。</w:t>
                  </w:r>
                </w:p>
                <w:p>
                  <w:pPr>
                    <w:pStyle w:val="null3"/>
                    <w:jc w:val="both"/>
                  </w:pPr>
                  <w:r>
                    <w:rPr>
                      <w:rFonts w:ascii="仿宋_GB2312" w:hAnsi="仿宋_GB2312" w:cs="仿宋_GB2312" w:eastAsia="仿宋_GB2312"/>
                    </w:rPr>
                    <w:t>工作站台面高度≥760mm，满足操作人员站着或坐着操作使用。承重≥2.5kg，鼠标托板可以左右抽拉（抽拉长度≥200mm），不用时隐藏。带防护硅胶垫，可以拆掉清洗消毒，配备ABS材质篮筐。</w:t>
                  </w:r>
                </w:p>
                <w:p>
                  <w:pPr>
                    <w:pStyle w:val="null3"/>
                    <w:jc w:val="both"/>
                  </w:pPr>
                  <w:r>
                    <w:rPr>
                      <w:rFonts w:ascii="仿宋_GB2312" w:hAnsi="仿宋_GB2312" w:cs="仿宋_GB2312" w:eastAsia="仿宋_GB2312"/>
                    </w:rPr>
                    <w:t>含电脑供电移动电源，可供电脑正常使用≥8小时。</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供应商需派工程师驻场，项目实施期间工程师全程驻场，项目验收后工程师需驻场不少于一年，中途不得离场。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质保期限：供应商需提供5年的免费质保服务，质保期间内如遇科室新增或改造，新增重症床位不额外收费。 售后服务：供应商需提供7×24小时技术支持服务，响应时间不得超过2小时。维保期内允许科室免费定制化改造需求。 接口对接：接口费由中标公司承担，包括重症系统、区域重症智慧诊疗分析平台与院内其他系统集成，支持与现有重症评分、文书管理、重症护理系统接口对接。 工程师驻点：供应商需派工程师驻场，项目实施期间工程师全程驻场，项目验收后工程师需驻场不少于一年，中途不得离场。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项目实施周期不得超过12个月，供应商须在规定时间内完成软硬件部署、系统对接及验收工作。项目开始后，供应商需派驻点工程师现场驻点，项目实施期间工程师全程驻场，项目验收后工程师需驻场不少于一年，中途不得离场。免费质保期5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按照双方约定执行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进度款，经甲方终验收合格后，达到付款条件起10个工作日内，支付合同总金额的60.0%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★1、供应商所投产品必须实现与包括但不限于与ICU、CCU、RICU 等相关科室现有重症监护系统、护理系统及其他临床科室系统无缝对接，支持调用、查看、编辑原有系统历史及现有相关业务数据，保障各系统间数据实时互通、业务流程高效协同；供应商需承诺自项目验收合格之日起5年内，支持免费新增重症床位授权及功能适配，不收取任何扩容费用，需提供承诺函并加盖公章，否则作无效投标处理。 2、中标结果公示后，中标单位须提供纸质版文件一正二副（纸质版文件须与上传至陕西省政府采购网后台的电子版文件保持一致）送到陕西省采购招标有限责任公司（地址：西安市雁塔区锦业路都市之门C座9层招标二部 联系电话：029-88481271）。 2、若投标人采用保函形式缴纳投标保证金，请投标人在开标前一天告知代理机构并将保函扫描件发送到代理机构负责人邮箱（326411476@qq.com）。 3、异常低价审查 3.1评审中出现下列情形之一的，评标委员会应当启动异常低价投标审查程序：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3.2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4.支持本国产品。根据《国务院办公厅关于在政府采购中实施本国产品标准及相关政策的通知》（国办发﹝2025﹞34号）要求，政府采购货物项目和服务项目中涉及的货物，既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或财政部会同有关部门规定的有关证明文件，《声明函》或有关证明文件符合要求的，该产品视为本国产品。本项目不适用。 5.本项目开标时间为2026年07月01日09时00分，请参与演示的投标人在开标时间前至西安市高新区锦业路1号都市之门C座9层评标一室等候。各投标人自行携带相关设备，评标现场仅提供投影仪器。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投标人投标报价未出现选择性报价，未超出采购预算和最高限价。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投标文件的服务期、服务地点、保修期限、付款方式、合同等商务内容及3.4其他要求中★项条款符合招标文件要求。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开标一览表 投标函 商务应答表 服务内容及服务要求应答表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投标人2023年1月至今具有类似项目业绩，一份业绩计1分，最高得5分。 （提供合同复印件或扫描件并加盖供应商公章，以合同签订时间为准。）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系统功能设计方案</w:t>
            </w:r>
          </w:p>
        </w:tc>
        <w:tc>
          <w:tcPr>
            <w:tcW w:type="dxa" w:w="2492"/>
          </w:tcPr>
          <w:p>
            <w:pPr>
              <w:pStyle w:val="null3"/>
            </w:pPr>
            <w:r>
              <w:rPr>
                <w:rFonts w:ascii="仿宋_GB2312" w:hAnsi="仿宋_GB2312" w:cs="仿宋_GB2312" w:eastAsia="仿宋_GB2312"/>
              </w:rPr>
              <w:t>评审内容:投标人针对本项目提出具体的系统功能设计方案，方案各部分内容全面详细、阐述条理清晰详尽、符合采购要求。方案内容包含:①安全性；②扩展性；③可靠性；④性能指标。 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投标人针对本项目提出具体的实施方案，方案各部分内容全面详细、阐述条理清晰详尽、符合采购要求。方案内容包含:①项目团队配备方案；②进度计划；③质量保证措施；④安装调试方案；⑤文档管理；⑥项目验收方案。 评审标准:上述每项方案内容无缺陷得2分，满分为12分。方案内容每存在1处缺陷：扣0.5分，扣完为止；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根据投标人对第三章3.2服务内容及服务要求中的“▲”项技术指标响应情况，技术指标清晰明确，符合采购要求，响应准确无缺漏项，全部满足得20分，有一项不满足扣2分，扣完为止。 评审标准：所有技术指标均须提供技术支持资料（包括但不限于所报图形、文字方式、产品彩页、检测报告、技术白皮书或厂家使用说明书等），并在技术偏离表中标明页码，未提供或资料不能证明技术指标符合要求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数据安全方案</w:t>
            </w:r>
          </w:p>
        </w:tc>
        <w:tc>
          <w:tcPr>
            <w:tcW w:type="dxa" w:w="2492"/>
          </w:tcPr>
          <w:p>
            <w:pPr>
              <w:pStyle w:val="null3"/>
            </w:pPr>
            <w:r>
              <w:rPr>
                <w:rFonts w:ascii="仿宋_GB2312" w:hAnsi="仿宋_GB2312" w:cs="仿宋_GB2312" w:eastAsia="仿宋_GB2312"/>
              </w:rPr>
              <w:t>评审内容:投标人针对本项目提出具体的数据安全方案，方案各部分内容全面详细、阐述条理清晰详尽、符合采购要求。方案内容包含:①常见安全问题分析；②安全保障措施。 评审标准:上述每项方案内容无缺陷得2分，满分为4分。方案内容每存在1处缺陷：扣0.5分，扣完为止；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评审内容:根据投标人针对本项目提出的应急方案，方案各部分内容全面详细、阐述条理清晰详尽、符合磋商文件要求。方案内容包含①突发事件情况分析；②应急响应时间及应对措施。 评审标准:上述每项方案内容无缺陷得2分，满分为4分。方案内容每存在1处缺陷：扣0.5分，扣完为止；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保密工作方案</w:t>
            </w:r>
          </w:p>
        </w:tc>
        <w:tc>
          <w:tcPr>
            <w:tcW w:type="dxa" w:w="2492"/>
          </w:tcPr>
          <w:p>
            <w:pPr>
              <w:pStyle w:val="null3"/>
            </w:pPr>
            <w:r>
              <w:rPr>
                <w:rFonts w:ascii="仿宋_GB2312" w:hAnsi="仿宋_GB2312" w:cs="仿宋_GB2312" w:eastAsia="仿宋_GB2312"/>
              </w:rPr>
              <w:t>评审内容:根据投标人针对本项目提出的保密工作方案，方案各部分内容全面详细、阐述条理清晰详尽、符合磋商文件要求。方案内容包含①保密工作制度；②保密措施及承诺。 评审标准:上述每项方案内容无缺陷得2分，满分为4分。方案内容每存在1处缺陷：扣0.5分，扣完为止；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各部分内容全面详细、阐述条理清晰详尽、符合招标要求。方案内容包含:①售后服务机构地址、电话联系人、服务人员配备；②售后服务保障措施；③技术升级服务；④对故障的响应及处理时间。 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各投标人结合采购需求并根据下列须演示的内容自行准备系统演示材料。各投标人自行携带相关设备，评标现场仅提供投影仪器，每家供应商演示时间不超过20分钟。评标委员会根据演示内容的演示效果自主评分，每项计0-3分，满分15分。未演示或以PPT等其他非实际软件演示的不得分。 演示内容为： 1.报告生成：系统应支持生成24小时生命体征监护分析报告，展示报告内容包含但不限于血流动力学、心率、呼吸与血氧饱和度分析、各类事件统计等核心内容；演示医护工作站端调阅、查看、下载该报告的操作； 2.事件报告：系统应支持事件发生后，系统可自动针对本次事件生成事件报告。展示报告内容包含但不限于血流动力学、心率、呼吸与血氧饱和度分析等核心内容；演示医护工作站端根据事件调阅、查看、下载该报告的操作； 3.预警提醒：系统应支持实时事件报警触发功能，模拟患者体征异常场景，验证系统快速捕捉异常并发出预警。报警信息管理功能，包括报警查询、报警列表展示、报警详情查看的全流程。 4.体征大屏：系统应支持生命体征中央监护核心功能，展示全科室患者实时体征监护信息融合视图，并演示融合视图与独立监护业务视图的自由切换操作；包括多参数监护仪与呼吸机标签切换功能，验证实时体征参数、呼吸监测参数的分类展示效果。 5.体征回溯：系统应支持按监护时间范围检索患者历史生命体征数据的操作，包括但不限于参数回顾功能，验证参数区域数据与波形区域时间的精准匹配，以及对应时间点生命体征参数值的准确展示；趋势回顾功能，展示 HR、RR、SpO2、NIBP、有创血压、T1/T2等趋势图的生成与查看，以及趋势图与数据表的切换。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20。注：本项目已专门面向中小微企业，对小微企业、监狱企业、残疾人福利性单位不再给予价格扣除，投标人须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