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蒲城县教育体育局2026-2027学年度校园餐大宗食材采购项目招标公告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2026-2027学年度校园餐大宗食材采购项目</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2026年08月24日 09时00分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项目编号：ZCXG-ZB-2026059</w:t>
      </w:r>
    </w:p>
    <w:p>
      <w:pPr>
        <w:pStyle w:val="null3"/>
      </w:pPr>
      <w:r>
        <w:rPr>
          <w:rFonts w:ascii="仿宋_GB2312" w:hAnsi="仿宋_GB2312" w:cs="仿宋_GB2312" w:eastAsia="仿宋_GB2312"/>
        </w:rPr>
        <w:t>项目名称：2026-2027学年度校园餐大宗食材采购项目</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预算金额：69,000,000.00元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采购包1：一学年</w:t>
      </w:r>
    </w:p>
    <w:p>
      <w:pPr>
        <w:pStyle w:val="null3"/>
      </w:pPr>
      <w:r>
        <w:rPr>
          <w:rFonts w:ascii="仿宋_GB2312" w:hAnsi="仿宋_GB2312" w:cs="仿宋_GB2312" w:eastAsia="仿宋_GB2312"/>
        </w:rPr>
        <w:t>采购包2：一学年</w:t>
      </w:r>
    </w:p>
    <w:p>
      <w:pPr>
        <w:pStyle w:val="null3"/>
      </w:pPr>
      <w:r>
        <w:rPr>
          <w:rFonts w:ascii="仿宋_GB2312" w:hAnsi="仿宋_GB2312" w:cs="仿宋_GB2312" w:eastAsia="仿宋_GB2312"/>
        </w:rPr>
        <w:t>采购包3：一学年</w:t>
      </w:r>
    </w:p>
    <w:p>
      <w:pPr>
        <w:pStyle w:val="null3"/>
      </w:pPr>
      <w:r>
        <w:rPr>
          <w:rFonts w:ascii="仿宋_GB2312" w:hAnsi="仿宋_GB2312" w:cs="仿宋_GB2312" w:eastAsia="仿宋_GB2312"/>
        </w:rPr>
        <w:t>采购包4：一学年</w:t>
      </w:r>
    </w:p>
    <w:p>
      <w:pPr>
        <w:pStyle w:val="null3"/>
      </w:pPr>
      <w:r>
        <w:rPr>
          <w:rFonts w:ascii="仿宋_GB2312" w:hAnsi="仿宋_GB2312" w:cs="仿宋_GB2312" w:eastAsia="仿宋_GB2312"/>
        </w:rPr>
        <w:t>采购包5：一学年</w:t>
      </w:r>
    </w:p>
    <w:p>
      <w:pPr>
        <w:pStyle w:val="null3"/>
      </w:pPr>
      <w:r>
        <w:rPr>
          <w:rFonts w:ascii="仿宋_GB2312" w:hAnsi="仿宋_GB2312" w:cs="仿宋_GB2312" w:eastAsia="仿宋_GB2312"/>
        </w:rPr>
        <w:t>采购包6：一学年</w:t>
      </w:r>
    </w:p>
    <w:p>
      <w:pPr>
        <w:pStyle w:val="null3"/>
      </w:pPr>
      <w:r>
        <w:rPr>
          <w:rFonts w:ascii="仿宋_GB2312" w:hAnsi="仿宋_GB2312" w:cs="仿宋_GB2312" w:eastAsia="仿宋_GB2312"/>
        </w:rPr>
        <w:t>采购包7：一学年</w:t>
      </w:r>
    </w:p>
    <w:p>
      <w:pPr>
        <w:pStyle w:val="null3"/>
      </w:pPr>
      <w:r>
        <w:rPr>
          <w:rFonts w:ascii="仿宋_GB2312" w:hAnsi="仿宋_GB2312" w:cs="仿宋_GB2312" w:eastAsia="仿宋_GB2312"/>
        </w:rPr>
        <w:t>采购包8：一学年</w:t>
      </w:r>
    </w:p>
    <w:p>
      <w:pPr>
        <w:pStyle w:val="null3"/>
      </w:pPr>
      <w:r>
        <w:rPr>
          <w:rFonts w:ascii="仿宋_GB2312" w:hAnsi="仿宋_GB2312" w:cs="仿宋_GB2312" w:eastAsia="仿宋_GB2312"/>
        </w:rPr>
        <w:t>采购包9：一学年</w:t>
      </w:r>
    </w:p>
    <w:p>
      <w:pPr>
        <w:pStyle w:val="null3"/>
      </w:pPr>
      <w:r>
        <w:rPr>
          <w:rFonts w:ascii="仿宋_GB2312" w:hAnsi="仿宋_GB2312" w:cs="仿宋_GB2312" w:eastAsia="仿宋_GB2312"/>
        </w:rPr>
        <w:t>采购包10：一学年</w:t>
      </w:r>
    </w:p>
    <w:p>
      <w:pPr>
        <w:pStyle w:val="null3"/>
      </w:pPr>
      <w:r>
        <w:rPr>
          <w:rFonts w:ascii="仿宋_GB2312" w:hAnsi="仿宋_GB2312" w:cs="仿宋_GB2312" w:eastAsia="仿宋_GB2312"/>
        </w:rPr>
        <w:t>采购包11：一学年</w:t>
      </w:r>
    </w:p>
    <w:p>
      <w:pPr>
        <w:pStyle w:val="null3"/>
      </w:pPr>
      <w:r>
        <w:rPr>
          <w:rFonts w:ascii="仿宋_GB2312" w:hAnsi="仿宋_GB2312" w:cs="仿宋_GB2312" w:eastAsia="仿宋_GB2312"/>
        </w:rPr>
        <w:t>采购包12：一学年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pPr>
      <w:r>
        <w:rPr>
          <w:rFonts w:ascii="仿宋_GB2312" w:hAnsi="仿宋_GB2312" w:cs="仿宋_GB2312" w:eastAsia="仿宋_GB2312"/>
        </w:rPr>
        <w:t>采购包2：不接受联合体投标</w:t>
      </w:r>
    </w:p>
    <w:p>
      <w:pPr>
        <w:pStyle w:val="null3"/>
      </w:pPr>
      <w:r>
        <w:rPr>
          <w:rFonts w:ascii="仿宋_GB2312" w:hAnsi="仿宋_GB2312" w:cs="仿宋_GB2312" w:eastAsia="仿宋_GB2312"/>
        </w:rPr>
        <w:t>采购包3：不接受联合体投标</w:t>
      </w:r>
    </w:p>
    <w:p>
      <w:pPr>
        <w:pStyle w:val="null3"/>
      </w:pPr>
      <w:r>
        <w:rPr>
          <w:rFonts w:ascii="仿宋_GB2312" w:hAnsi="仿宋_GB2312" w:cs="仿宋_GB2312" w:eastAsia="仿宋_GB2312"/>
        </w:rPr>
        <w:t>采购包4：不接受联合体投标</w:t>
      </w:r>
    </w:p>
    <w:p>
      <w:pPr>
        <w:pStyle w:val="null3"/>
      </w:pPr>
      <w:r>
        <w:rPr>
          <w:rFonts w:ascii="仿宋_GB2312" w:hAnsi="仿宋_GB2312" w:cs="仿宋_GB2312" w:eastAsia="仿宋_GB2312"/>
        </w:rPr>
        <w:t>采购包5：不接受联合体投标</w:t>
      </w:r>
    </w:p>
    <w:p>
      <w:pPr>
        <w:pStyle w:val="null3"/>
      </w:pPr>
      <w:r>
        <w:rPr>
          <w:rFonts w:ascii="仿宋_GB2312" w:hAnsi="仿宋_GB2312" w:cs="仿宋_GB2312" w:eastAsia="仿宋_GB2312"/>
        </w:rPr>
        <w:t>采购包6：不接受联合体投标</w:t>
      </w:r>
    </w:p>
    <w:p>
      <w:pPr>
        <w:pStyle w:val="null3"/>
      </w:pPr>
      <w:r>
        <w:rPr>
          <w:rFonts w:ascii="仿宋_GB2312" w:hAnsi="仿宋_GB2312" w:cs="仿宋_GB2312" w:eastAsia="仿宋_GB2312"/>
        </w:rPr>
        <w:t>采购包7：不接受联合体投标</w:t>
      </w:r>
    </w:p>
    <w:p>
      <w:pPr>
        <w:pStyle w:val="null3"/>
      </w:pPr>
      <w:r>
        <w:rPr>
          <w:rFonts w:ascii="仿宋_GB2312" w:hAnsi="仿宋_GB2312" w:cs="仿宋_GB2312" w:eastAsia="仿宋_GB2312"/>
        </w:rPr>
        <w:t>采购包8：不接受联合体投标</w:t>
      </w:r>
    </w:p>
    <w:p>
      <w:pPr>
        <w:pStyle w:val="null3"/>
      </w:pPr>
      <w:r>
        <w:rPr>
          <w:rFonts w:ascii="仿宋_GB2312" w:hAnsi="仿宋_GB2312" w:cs="仿宋_GB2312" w:eastAsia="仿宋_GB2312"/>
        </w:rPr>
        <w:t>采购包9：不接受联合体投标</w:t>
      </w:r>
    </w:p>
    <w:p>
      <w:pPr>
        <w:pStyle w:val="null3"/>
      </w:pPr>
      <w:r>
        <w:rPr>
          <w:rFonts w:ascii="仿宋_GB2312" w:hAnsi="仿宋_GB2312" w:cs="仿宋_GB2312" w:eastAsia="仿宋_GB2312"/>
        </w:rPr>
        <w:t>采购包10：不接受联合体投标</w:t>
      </w:r>
    </w:p>
    <w:p>
      <w:pPr>
        <w:pStyle w:val="null3"/>
      </w:pPr>
      <w:r>
        <w:rPr>
          <w:rFonts w:ascii="仿宋_GB2312" w:hAnsi="仿宋_GB2312" w:cs="仿宋_GB2312" w:eastAsia="仿宋_GB2312"/>
        </w:rPr>
        <w:t>采购包11：不接受联合体投标</w:t>
      </w:r>
    </w:p>
    <w:p>
      <w:pPr>
        <w:pStyle w:val="null3"/>
      </w:pPr>
      <w:r>
        <w:rPr>
          <w:rFonts w:ascii="仿宋_GB2312" w:hAnsi="仿宋_GB2312" w:cs="仿宋_GB2312" w:eastAsia="仿宋_GB2312"/>
        </w:rPr>
        <w:t>采购包12：不接受联合体投标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合同包1(冷鲜肉1：五花肉、排骨、后腿肉、精瘦肉)特定资格要求如下: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(7)投标人为生产厂家的，须提供《动物防疫条件合格证》、《畜禽定点屠宰证》；投标人为代理商的，须提供《食品经营许可证》，并提供所代理产品厂家的《动物防疫条件合格证》、《畜禽定点屠宰证》；</w:t>
      </w:r>
    </w:p>
    <w:p>
      <w:pPr>
        <w:pStyle w:val="null3"/>
      </w:pPr>
      <w:r>
        <w:rPr>
          <w:rFonts w:ascii="仿宋_GB2312" w:hAnsi="仿宋_GB2312" w:cs="仿宋_GB2312" w:eastAsia="仿宋_GB2312"/>
        </w:rPr>
        <w:t>(8)本项目不接受联合体。</w:t>
      </w:r>
    </w:p>
    <w:p>
      <w:pPr>
        <w:pStyle w:val="null3"/>
      </w:pPr>
      <w:r>
        <w:rPr>
          <w:rFonts w:ascii="仿宋_GB2312" w:hAnsi="仿宋_GB2312" w:cs="仿宋_GB2312" w:eastAsia="仿宋_GB2312"/>
        </w:rPr>
        <w:t>合同包2(冷鲜肉2：五花肉、排骨、后腿肉、精瘦肉)特定资格要求如下: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(7)投标人为生产厂家的，须提供《动物防疫条件合格证》、《畜禽定点屠宰证》；投标人为代理商的，须提供《食品经营许可证》，并提供所代理产品厂家的《动物防疫条件合格证》、《畜禽定点屠宰证》；</w:t>
      </w:r>
    </w:p>
    <w:p>
      <w:pPr>
        <w:pStyle w:val="null3"/>
      </w:pPr>
      <w:r>
        <w:rPr>
          <w:rFonts w:ascii="仿宋_GB2312" w:hAnsi="仿宋_GB2312" w:cs="仿宋_GB2312" w:eastAsia="仿宋_GB2312"/>
        </w:rPr>
        <w:t>(8)本项目不接受联合体。</w:t>
      </w:r>
    </w:p>
    <w:p>
      <w:pPr>
        <w:pStyle w:val="null3"/>
      </w:pPr>
      <w:r>
        <w:rPr>
          <w:rFonts w:ascii="仿宋_GB2312" w:hAnsi="仿宋_GB2312" w:cs="仿宋_GB2312" w:eastAsia="仿宋_GB2312"/>
        </w:rPr>
        <w:t>合同包3(冷鲜牛肉1)特定资格要求如下: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(7)投标人为生产厂家的，须提供《动物防疫条件合格证》、《畜禽定点屠宰证》；投标人为代理商的，须提供《食品经营许可证》，并提供所代理产品厂家的《动物防疫条件合格证》、《畜禽定点屠宰证》；</w:t>
      </w:r>
    </w:p>
    <w:p>
      <w:pPr>
        <w:pStyle w:val="null3"/>
      </w:pPr>
      <w:r>
        <w:rPr>
          <w:rFonts w:ascii="仿宋_GB2312" w:hAnsi="仿宋_GB2312" w:cs="仿宋_GB2312" w:eastAsia="仿宋_GB2312"/>
        </w:rPr>
        <w:t>(8)本项目不接受联合体。</w:t>
      </w:r>
    </w:p>
    <w:p>
      <w:pPr>
        <w:pStyle w:val="null3"/>
      </w:pPr>
      <w:r>
        <w:rPr>
          <w:rFonts w:ascii="仿宋_GB2312" w:hAnsi="仿宋_GB2312" w:cs="仿宋_GB2312" w:eastAsia="仿宋_GB2312"/>
        </w:rPr>
        <w:t>合同包4(冷鲜牛肉2)特定资格要求如下: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(7)投标人为生产厂家的，须提供《动物防疫条件合格证》、《畜禽定点屠宰证》；投标人为代理商的，须提供《食品经营许可证》，并提供所代理产品厂家的《动物防疫条件合格证》、《畜禽定点屠宰证》；</w:t>
      </w:r>
    </w:p>
    <w:p>
      <w:pPr>
        <w:pStyle w:val="null3"/>
      </w:pPr>
      <w:r>
        <w:rPr>
          <w:rFonts w:ascii="仿宋_GB2312" w:hAnsi="仿宋_GB2312" w:cs="仿宋_GB2312" w:eastAsia="仿宋_GB2312"/>
        </w:rPr>
        <w:t>(8)本项目不接受联合体。</w:t>
      </w:r>
    </w:p>
    <w:p>
      <w:pPr>
        <w:pStyle w:val="null3"/>
      </w:pPr>
      <w:r>
        <w:rPr>
          <w:rFonts w:ascii="仿宋_GB2312" w:hAnsi="仿宋_GB2312" w:cs="仿宋_GB2312" w:eastAsia="仿宋_GB2312"/>
        </w:rPr>
        <w:t>合同包5(冷冻鸡肉1)特定资格要求如下: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(7)投标人为生产厂家的，须提供《动物防疫条件合格证》、《畜禽定点屠宰证》；投标人为代理商的，须提供《食品经营许可证》，并提供所代理产品厂家的《动物防疫条件合格证》、《畜禽定点屠宰证》；</w:t>
      </w:r>
    </w:p>
    <w:p>
      <w:pPr>
        <w:pStyle w:val="null3"/>
      </w:pPr>
      <w:r>
        <w:rPr>
          <w:rFonts w:ascii="仿宋_GB2312" w:hAnsi="仿宋_GB2312" w:cs="仿宋_GB2312" w:eastAsia="仿宋_GB2312"/>
        </w:rPr>
        <w:t>(8)本项目不接受联合体。</w:t>
      </w:r>
    </w:p>
    <w:p>
      <w:pPr>
        <w:pStyle w:val="null3"/>
      </w:pPr>
      <w:r>
        <w:rPr>
          <w:rFonts w:ascii="仿宋_GB2312" w:hAnsi="仿宋_GB2312" w:cs="仿宋_GB2312" w:eastAsia="仿宋_GB2312"/>
        </w:rPr>
        <w:t>合同包6(冷冻鸡肉2)特定资格要求如下: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(7)投标人为生产厂家的，须提供《动物防疫条件合格证》、《畜禽定点屠宰证》；投标人为代理商的，须提供《食品经营许可证》，并提供所代理产品厂家的《动物防疫条件合格证》、《畜禽定点屠宰证》；</w:t>
      </w:r>
    </w:p>
    <w:p>
      <w:pPr>
        <w:pStyle w:val="null3"/>
      </w:pPr>
      <w:r>
        <w:rPr>
          <w:rFonts w:ascii="仿宋_GB2312" w:hAnsi="仿宋_GB2312" w:cs="仿宋_GB2312" w:eastAsia="仿宋_GB2312"/>
        </w:rPr>
        <w:t>(8)本项目不接受联合体。</w:t>
      </w:r>
    </w:p>
    <w:p>
      <w:pPr>
        <w:pStyle w:val="null3"/>
      </w:pPr>
      <w:r>
        <w:rPr>
          <w:rFonts w:ascii="仿宋_GB2312" w:hAnsi="仿宋_GB2312" w:cs="仿宋_GB2312" w:eastAsia="仿宋_GB2312"/>
        </w:rPr>
        <w:t>合同包7(鸡蛋1)特定资格要求如下: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(7)投标人为生产厂家的，须提供有效的《动物防疫条件合格证》；投标人为代理商的，须提供有效的《食品经营许可证》，并提供所代理产品厂家有效的《动物防疫条件合格证》；</w:t>
      </w:r>
    </w:p>
    <w:p>
      <w:pPr>
        <w:pStyle w:val="null3"/>
      </w:pPr>
      <w:r>
        <w:rPr>
          <w:rFonts w:ascii="仿宋_GB2312" w:hAnsi="仿宋_GB2312" w:cs="仿宋_GB2312" w:eastAsia="仿宋_GB2312"/>
        </w:rPr>
        <w:t>(8)本项目不接受联合体。</w:t>
      </w:r>
    </w:p>
    <w:p>
      <w:pPr>
        <w:pStyle w:val="null3"/>
      </w:pPr>
      <w:r>
        <w:rPr>
          <w:rFonts w:ascii="仿宋_GB2312" w:hAnsi="仿宋_GB2312" w:cs="仿宋_GB2312" w:eastAsia="仿宋_GB2312"/>
        </w:rPr>
        <w:t>合同包8(鸡蛋2)特定资格要求如下: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(7)投标人为生产厂家的，须提供有效的《动物防疫条件合格证》；投标人为代理商的，须提供有效的《食品经营许可证》，并提供所代理产品厂家有效的《动物防疫条件合格证》；</w:t>
      </w:r>
    </w:p>
    <w:p>
      <w:pPr>
        <w:pStyle w:val="null3"/>
      </w:pPr>
      <w:r>
        <w:rPr>
          <w:rFonts w:ascii="仿宋_GB2312" w:hAnsi="仿宋_GB2312" w:cs="仿宋_GB2312" w:eastAsia="仿宋_GB2312"/>
        </w:rPr>
        <w:t>(8)本项目不接受联合体。</w:t>
      </w:r>
    </w:p>
    <w:p>
      <w:pPr>
        <w:pStyle w:val="null3"/>
      </w:pPr>
      <w:r>
        <w:rPr>
          <w:rFonts w:ascii="仿宋_GB2312" w:hAnsi="仿宋_GB2312" w:cs="仿宋_GB2312" w:eastAsia="仿宋_GB2312"/>
        </w:rPr>
        <w:t>合同包9(大米、小麦粉、菜籽油1)特定资格要求如下: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(7)投标人为生产厂家的，须提供有效的《食品生产许可证》；投标人为代理商的，须提供有效的《食品经营许可证》，并提供所代理产品厂家有效的《食品生产许可证》</w:t>
      </w:r>
    </w:p>
    <w:p>
      <w:pPr>
        <w:pStyle w:val="null3"/>
      </w:pPr>
      <w:r>
        <w:rPr>
          <w:rFonts w:ascii="仿宋_GB2312" w:hAnsi="仿宋_GB2312" w:cs="仿宋_GB2312" w:eastAsia="仿宋_GB2312"/>
        </w:rPr>
        <w:t>(8)本项目不接受联合体。</w:t>
      </w:r>
    </w:p>
    <w:p>
      <w:pPr>
        <w:pStyle w:val="null3"/>
      </w:pPr>
      <w:r>
        <w:rPr>
          <w:rFonts w:ascii="仿宋_GB2312" w:hAnsi="仿宋_GB2312" w:cs="仿宋_GB2312" w:eastAsia="仿宋_GB2312"/>
        </w:rPr>
        <w:t>合同包10(大米、小麦粉、菜籽油2)特定资格要求如下: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(7)投标人为生产厂家的，须提供有效的《食品生产许可证》；投标人为代理商的，须提供有效的《食品经营许可证》，并提供所代理产品厂家有效的《食品生产许可证》</w:t>
      </w:r>
    </w:p>
    <w:p>
      <w:pPr>
        <w:pStyle w:val="null3"/>
      </w:pPr>
      <w:r>
        <w:rPr>
          <w:rFonts w:ascii="仿宋_GB2312" w:hAnsi="仿宋_GB2312" w:cs="仿宋_GB2312" w:eastAsia="仿宋_GB2312"/>
        </w:rPr>
        <w:t>(8)本项目不接受联合体。</w:t>
      </w:r>
    </w:p>
    <w:p>
      <w:pPr>
        <w:pStyle w:val="null3"/>
      </w:pPr>
      <w:r>
        <w:rPr>
          <w:rFonts w:ascii="仿宋_GB2312" w:hAnsi="仿宋_GB2312" w:cs="仿宋_GB2312" w:eastAsia="仿宋_GB2312"/>
        </w:rPr>
        <w:t>合同包11(纯牛奶1)特定资格要求如下: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(7)投标人为生产厂家的，须提供有效的《食品生产许可证》；投标人为代理商的，须提供有效的《食品经营许可证》，并提供所代理产品厂家有效的《食品生产许可证》</w:t>
      </w:r>
    </w:p>
    <w:p>
      <w:pPr>
        <w:pStyle w:val="null3"/>
      </w:pPr>
      <w:r>
        <w:rPr>
          <w:rFonts w:ascii="仿宋_GB2312" w:hAnsi="仿宋_GB2312" w:cs="仿宋_GB2312" w:eastAsia="仿宋_GB2312"/>
        </w:rPr>
        <w:t>(8)本项目不接受联合体。</w:t>
      </w:r>
    </w:p>
    <w:p>
      <w:pPr>
        <w:pStyle w:val="null3"/>
      </w:pPr>
      <w:r>
        <w:rPr>
          <w:rFonts w:ascii="仿宋_GB2312" w:hAnsi="仿宋_GB2312" w:cs="仿宋_GB2312" w:eastAsia="仿宋_GB2312"/>
        </w:rPr>
        <w:t>合同包12(纯牛奶2)特定资格要求如下: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(2)提供具有履行合同所必需的设备和专业技术能力的承诺；</w:t>
      </w:r>
    </w:p>
    <w:p>
      <w:pPr>
        <w:pStyle w:val="null3"/>
      </w:pPr>
      <w:r>
        <w:rPr>
          <w:rFonts w:ascii="仿宋_GB2312" w:hAnsi="仿宋_GB2312" w:cs="仿宋_GB2312" w:eastAsia="仿宋_GB2312"/>
        </w:rPr>
        <w:t>(3)参加政府采购活动前3年内，在经营活动中没有重大违法记录的书面声明；</w:t>
      </w:r>
    </w:p>
    <w:p>
      <w:pPr>
        <w:pStyle w:val="null3"/>
      </w:pPr>
      <w:r>
        <w:rPr>
          <w:rFonts w:ascii="仿宋_GB2312" w:hAnsi="仿宋_GB2312" w:cs="仿宋_GB2312" w:eastAsia="仿宋_GB2312"/>
        </w:rPr>
        <w:t>(4)提供响应时间前半年内已缴存的至少一个月的社会保障资金缴存单据或社保机构开具的社会保险参保缴费情况证明，依法不需要缴纳社会保障资金的单位应提供相关证明材料；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(5)提供响应时间前半年内已缴纳的至少一个月的纳税证明或完税证明，依法免税的单位应提供相关证明材料；</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(7)投标人为生产厂家的，须提供有效的《食品生产许可证》；投标人为代理商的，须提供有效的《食品经营许可证》，并提供所代理产品厂家有效的《食品生产许可证》</w:t>
      </w:r>
    </w:p>
    <w:p>
      <w:pPr>
        <w:pStyle w:val="null3"/>
      </w:pPr>
      <w:r>
        <w:rPr>
          <w:rFonts w:ascii="仿宋_GB2312" w:hAnsi="仿宋_GB2312" w:cs="仿宋_GB2312" w:eastAsia="仿宋_GB2312"/>
        </w:rPr>
        <w:t>(8)本项目不接受联合体。</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2026年08月03日 </w:t>
      </w:r>
      <w:r>
        <w:rPr>
          <w:rFonts w:ascii="仿宋_GB2312" w:hAnsi="仿宋_GB2312" w:cs="仿宋_GB2312" w:eastAsia="仿宋_GB2312"/>
        </w:rPr>
        <w:t>至</w:t>
      </w:r>
      <w:r>
        <w:rPr>
          <w:rFonts w:ascii="仿宋_GB2312" w:hAnsi="仿宋_GB2312" w:cs="仿宋_GB2312" w:eastAsia="仿宋_GB2312"/>
        </w:rPr>
        <w:t xml:space="preserve"> 2026年08月07日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2026年08月24日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（六）需要落实政府采购政策：</w:t>
      </w:r>
      <w:r>
        <w:br/>
      </w:r>
      <w:r>
        <w:rPr>
          <w:rFonts w:ascii="仿宋_GB2312" w:hAnsi="仿宋_GB2312" w:cs="仿宋_GB2312" w:eastAsia="仿宋_GB2312"/>
        </w:rPr>
        <w:t xml:space="preserve"> （1）《政府采购促进中小企业发展管理办法》（财库〔2020〕46号）；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（3）《国务院办公厅关于建立政府强制采购节能产品制度的通知》（国发办〔2007〕51号）；</w:t>
      </w:r>
      <w:r>
        <w:br/>
      </w:r>
      <w:r>
        <w:rPr>
          <w:rFonts w:ascii="仿宋_GB2312" w:hAnsi="仿宋_GB2312" w:cs="仿宋_GB2312" w:eastAsia="仿宋_GB2312"/>
        </w:rPr>
        <w:t xml:space="preserve"> （4）《关于印发节能产品政府采购品目清单的通知》（财库〔2019〕19号）；</w:t>
      </w:r>
      <w:r>
        <w:br/>
      </w:r>
      <w:r>
        <w:rPr>
          <w:rFonts w:ascii="仿宋_GB2312" w:hAnsi="仿宋_GB2312" w:cs="仿宋_GB2312" w:eastAsia="仿宋_GB2312"/>
        </w:rPr>
        <w:t xml:space="preserve"> （5）《关于印发环境标志产品政府采购品目清单的通知》（财库〔2019〕18号）；</w:t>
      </w:r>
      <w:r>
        <w:br/>
      </w:r>
      <w:r>
        <w:rPr>
          <w:rFonts w:ascii="仿宋_GB2312" w:hAnsi="仿宋_GB2312" w:cs="仿宋_GB2312" w:eastAsia="仿宋_GB2312"/>
        </w:rPr>
        <w:t xml:space="preserve"> （6）《三部门联合发布关于促进残疾人就业政府采购政策的通知》（财库〔2017〕141号）；</w:t>
      </w:r>
      <w:r>
        <w:br/>
      </w:r>
      <w:r>
        <w:rPr>
          <w:rFonts w:ascii="仿宋_GB2312" w:hAnsi="仿宋_GB2312" w:cs="仿宋_GB2312" w:eastAsia="仿宋_GB2312"/>
        </w:rPr>
        <w:t xml:space="preserve"> （7）《财政部发展改革委生态环境部市场监管总局关于调整优化节能产品、环境标志产品政府采购执行机制的通知》（财库〔2019〕9号）；</w:t>
      </w:r>
      <w:r>
        <w:br/>
      </w:r>
      <w:r>
        <w:rPr>
          <w:rFonts w:ascii="仿宋_GB2312" w:hAnsi="仿宋_GB2312" w:cs="仿宋_GB2312" w:eastAsia="仿宋_GB2312"/>
        </w:rPr>
        <w:t xml:space="preserve"> （8）陕西省财政厅关于印发《陕西省中小企业政府采购信用融资办法》（陕财办采〔2018〕23号）；</w:t>
      </w:r>
      <w:r>
        <w:br/>
      </w:r>
      <w:r>
        <w:rPr>
          <w:rFonts w:ascii="仿宋_GB2312" w:hAnsi="仿宋_GB2312" w:cs="仿宋_GB2312" w:eastAsia="仿宋_GB2312"/>
        </w:rPr>
        <w:t xml:space="preserve"> （9）《财政部农业农村部国家乡村振兴局关于运用政府采购政策支持乡村产业振兴的通知》（财库〔2021〕19号）；</w:t>
      </w:r>
      <w:r>
        <w:br/>
      </w:r>
      <w:r>
        <w:rPr>
          <w:rFonts w:ascii="仿宋_GB2312" w:hAnsi="仿宋_GB2312" w:cs="仿宋_GB2312" w:eastAsia="仿宋_GB2312"/>
        </w:rPr>
        <w:t xml:space="preserve"> （10）《财政部农业农村部国家乡村振兴局中华全国供销合作总社关于印发&lt;关于深入开展政府采购脱贫地区农副产品工作推进乡村产业振兴的实施意见&gt;的通知》（财库〔2021〕20号）；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 xml:space="preserve"> （11）《陕西省财政厅关于加快推进我省中小企业政府采购信用融资工作的通知》（陕财办采〔2020〕15号）；</w:t>
      </w:r>
      <w:r>
        <w:br/>
      </w:r>
      <w:r>
        <w:rPr>
          <w:rFonts w:ascii="仿宋_GB2312" w:hAnsi="仿宋_GB2312" w:cs="仿宋_GB2312" w:eastAsia="仿宋_GB2312"/>
        </w:rPr>
        <w:t xml:space="preserve"> （12）《关于进一步加强政府绿色采购有关问题的通知》（陕财办采〔2021〕29号）；</w:t>
      </w:r>
      <w:r>
        <w:br/>
      </w:r>
      <w:r>
        <w:rPr>
          <w:rFonts w:ascii="仿宋_GB2312" w:hAnsi="仿宋_GB2312" w:cs="仿宋_GB2312" w:eastAsia="仿宋_GB2312"/>
        </w:rPr>
        <w:t xml:space="preserve"> （13）《关于进一步加大政府采购支持中小企业力度的通知》（财库〔2022〕19号）；</w:t>
      </w:r>
      <w:r>
        <w:br/>
      </w:r>
      <w:r>
        <w:rPr>
          <w:rFonts w:ascii="仿宋_GB2312" w:hAnsi="仿宋_GB2312" w:cs="仿宋_GB2312" w:eastAsia="仿宋_GB2312"/>
        </w:rPr>
        <w:t xml:space="preserve"> （14）《陕西省财政厅关于落实政府采购支持中小企业政策有关事项的通知》（陕财办采函〔2022〕10号）；</w:t>
      </w:r>
      <w:r>
        <w:br/>
      </w:r>
      <w:r>
        <w:rPr>
          <w:rFonts w:ascii="仿宋_GB2312" w:hAnsi="仿宋_GB2312" w:cs="仿宋_GB2312" w:eastAsia="仿宋_GB2312"/>
        </w:rPr>
        <w:t xml:space="preserve"> （15）《陕西省财政厅、中国人民银行西安分行关于深入推进政府采购信用融资业务的通知》（陕财办采〔2023〕5号）；</w:t>
      </w:r>
      <w:r>
        <w:br/>
      </w:r>
      <w:r>
        <w:rPr>
          <w:rFonts w:ascii="仿宋_GB2312" w:hAnsi="仿宋_GB2312" w:cs="仿宋_GB2312" w:eastAsia="仿宋_GB2312"/>
        </w:rPr>
        <w:t xml:space="preserve"> （16）财政部工业和信息化部关于贯彻落实《国务院办公厅关于在政府采购中实施本国产品标准及相关政策的通知》的意见（财库〔2025〕30号）；</w:t>
      </w:r>
      <w:r>
        <w:br/>
      </w:r>
      <w:r>
        <w:rPr>
          <w:rFonts w:ascii="仿宋_GB2312" w:hAnsi="仿宋_GB2312" w:cs="仿宋_GB2312" w:eastAsia="仿宋_GB2312"/>
        </w:rPr>
        <w:t xml:space="preserve"> （17）《关于推动解决政府采购异常低价问题的通知》（财库〔2026〕2号）；</w:t>
      </w:r>
      <w:r>
        <w:br/>
      </w:r>
      <w:r>
        <w:rPr>
          <w:rFonts w:ascii="仿宋_GB2312" w:hAnsi="仿宋_GB2312" w:cs="仿宋_GB2312" w:eastAsia="仿宋_GB2312"/>
        </w:rPr>
        <w:t xml:space="preserve"> （18）其他需要落实的政府采购政策。</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蒲城县教育体育局</w:t>
      </w:r>
    </w:p>
    <w:p>
      <w:pPr>
        <w:pStyle w:val="null3"/>
      </w:pPr>
      <w:r>
        <w:rPr>
          <w:rFonts w:ascii="仿宋_GB2312" w:hAnsi="仿宋_GB2312" w:cs="仿宋_GB2312" w:eastAsia="仿宋_GB2312"/>
        </w:rPr>
        <w:t>地址：</w:t>
      </w:r>
      <w:r>
        <w:rPr>
          <w:rFonts w:ascii="仿宋_GB2312" w:hAnsi="仿宋_GB2312" w:cs="仿宋_GB2312" w:eastAsia="仿宋_GB2312"/>
        </w:rPr>
        <w:t>蒲城县尧山路西段14号</w:t>
      </w:r>
    </w:p>
    <w:p>
      <w:pPr>
        <w:pStyle w:val="null3"/>
      </w:pPr>
      <w:r>
        <w:rPr>
          <w:rFonts w:ascii="仿宋_GB2312" w:hAnsi="仿宋_GB2312" w:cs="仿宋_GB2312" w:eastAsia="仿宋_GB2312"/>
        </w:rPr>
        <w:t>联系方式：</w:t>
      </w:r>
      <w:r>
        <w:rPr>
          <w:rFonts w:ascii="仿宋_GB2312" w:hAnsi="仿宋_GB2312" w:cs="仿宋_GB2312" w:eastAsia="仿宋_GB2312"/>
        </w:rPr>
        <w:t>0913-7219083</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西安市雁塔区南二环路老三届世纪星大厦8层K座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张健、张航帆、孙亚男、陈洋</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