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版本号：SXZM-CS-2026120.1B120260603001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2026年度全省人防工程建设质量检查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SXZM-CS-2026120.1B1</w:t>
      </w:r>
      <w:r>
        <w:br/>
      </w:r>
      <w:r>
        <w:br/>
      </w:r>
      <w:r>
        <w:br/>
      </w:r>
    </w:p>
    <w:p>
      <w:pPr>
        <w:pStyle w:val="null3"/>
        <w:jc w:val="center"/>
        <w:outlineLvl w:val="2"/>
      </w:pPr>
      <w:r>
        <w:rPr>
          <w:rFonts w:ascii="仿宋_GB2312" w:hAnsi="仿宋_GB2312" w:cs="仿宋_GB2312" w:eastAsia="仿宋_GB2312"/>
          <w:sz w:val="28"/>
          <w:b/>
        </w:rPr>
        <w:t>陕西省国防动员办公室</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陕西省国防动员办公室</w:t>
      </w:r>
      <w:r>
        <w:rPr>
          <w:rFonts w:ascii="仿宋_GB2312" w:hAnsi="仿宋_GB2312" w:cs="仿宋_GB2312" w:eastAsia="仿宋_GB2312"/>
        </w:rPr>
        <w:t>委托，拟对</w:t>
      </w:r>
      <w:r>
        <w:rPr>
          <w:rFonts w:ascii="仿宋_GB2312" w:hAnsi="仿宋_GB2312" w:cs="仿宋_GB2312" w:eastAsia="仿宋_GB2312"/>
        </w:rPr>
        <w:t>2026年度全省人防工程建设质量检查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SXZM-CS-2026120.1B1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2026年度全省人防工程建设质量检查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高全省人防工程建设质量，提升人防工程使用效能，按照全省人防工程质量检查工作要求，组织开展2026年度全省人防工程建设质量检查工作，持续规范我省人防工程建设领域行业经营行为。服务范围包括：1.人防工程防护单元防护设备常规性检测。2.战时通风设备质量检测。3.单扇门现场气密性破拆检测。4.地下综合管廊兼顾人防工程和地铁兼顾人防工程质量检查。5.人防工程防护单元功能性、后期维护情况检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采购包1（2026年度全省人防工程建设质量检查）：属于专门面向中小企业采购。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w:t>
      </w:r>
    </w:p>
    <w:p>
      <w:pPr>
        <w:pStyle w:val="null3"/>
      </w:pPr>
      <w:r>
        <w:rPr>
          <w:rFonts w:ascii="仿宋_GB2312" w:hAnsi="仿宋_GB2312" w:cs="仿宋_GB2312" w:eastAsia="仿宋_GB2312"/>
        </w:rPr>
        <w:t>2、财务状况报告：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3、社保缴纳证明：提供首次响应文件递交截止时间前6个月内任意时段的缴纳证明。依法不需要交纳社会保障资金的供应商应提供相关文件证明；</w:t>
      </w:r>
    </w:p>
    <w:p>
      <w:pPr>
        <w:pStyle w:val="null3"/>
      </w:pPr>
      <w:r>
        <w:rPr>
          <w:rFonts w:ascii="仿宋_GB2312" w:hAnsi="仿宋_GB2312" w:cs="仿宋_GB2312" w:eastAsia="仿宋_GB2312"/>
        </w:rPr>
        <w:t>4、税收缴纳证明：提供首次响应文件递交截止时间前6个月任意时段的纳税证明或完税证明（除印花税、个人所得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6、履行合同承诺函：提供具有履行合同所必需的设备和专业技术能力的承诺；</w:t>
      </w:r>
    </w:p>
    <w:p>
      <w:pPr>
        <w:pStyle w:val="null3"/>
      </w:pPr>
      <w:r>
        <w:rPr>
          <w:rFonts w:ascii="仿宋_GB2312" w:hAnsi="仿宋_GB2312" w:cs="仿宋_GB2312" w:eastAsia="仿宋_GB2312"/>
        </w:rPr>
        <w:t>7、法定代表人（或负责人）身份证明/法定代表人（或负责人）授权委托书：法定代表人（或负责人）身份证明/法定代表人（或负责人）授权委托书：法定代表人（或负责人）直接参加投标的，须提供法定代表人（或负责人）身份证明及其身份证电子件或扫描件；法定代表人（或负责人）授权他人参加投标的，须提供法定代表人（或负责人）授权委托书（附法定代表人（或负责人）、被授权人身份证电子件或扫描件）；</w:t>
      </w:r>
    </w:p>
    <w:p>
      <w:pPr>
        <w:pStyle w:val="null3"/>
      </w:pPr>
      <w:r>
        <w:rPr>
          <w:rFonts w:ascii="仿宋_GB2312" w:hAnsi="仿宋_GB2312" w:cs="仿宋_GB2312" w:eastAsia="仿宋_GB2312"/>
        </w:rPr>
        <w:t>8、资质要求：具有省级市场监督管理局颁发的《检验检测机构资质认定证书》，具备人防工程检测能力；具有建设行政主管部门颁发的建设工程质量检测机构综合资质证书或专项资质证书（专项资质证书中检测专项至少包括：建筑材料及构配件、主体结构及装饰装修、钢结构、地基基础、建筑节能）；</w:t>
      </w:r>
    </w:p>
    <w:p>
      <w:pPr>
        <w:pStyle w:val="null3"/>
      </w:pPr>
      <w:r>
        <w:rPr>
          <w:rFonts w:ascii="仿宋_GB2312" w:hAnsi="仿宋_GB2312" w:cs="仿宋_GB2312" w:eastAsia="仿宋_GB2312"/>
        </w:rPr>
        <w:t>9、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11、供应商书面声明：供应商未为本项目提供整体设计、规范编制或者项目管理、监理、检测等服务的书面声明；</w:t>
      </w:r>
    </w:p>
    <w:p>
      <w:pPr>
        <w:pStyle w:val="null3"/>
      </w:pPr>
      <w:r>
        <w:rPr>
          <w:rFonts w:ascii="仿宋_GB2312" w:hAnsi="仿宋_GB2312" w:cs="仿宋_GB2312" w:eastAsia="仿宋_GB2312"/>
        </w:rPr>
        <w:t>12、供应商参与磋商的承诺函：符合竞争性磋商文件要求。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陕西省国防动员办公室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029-85570338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不足捌仟元的按捌仟元收取。 招标代理服务费账户信息： 户名：陕西正明项目管理有限公司 开户行：中国民生银行股份有限公司西安高新科技支行 账号：170455461 招标代理服务费按约定由成交供应商支付，成交供应商在领取成交通知书前，须向采购代理机构支付招标代理服务费。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陕西省国防动员办公室</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陕西省国防动员办公室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陕西省国防动员办公室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w:t>
      </w:r>
    </w:p>
    <w:p>
      <w:pPr>
        <w:pStyle w:val="null3"/>
      </w:pPr>
      <w:r>
        <w:rPr>
          <w:rFonts w:ascii="仿宋_GB2312" w:hAnsi="仿宋_GB2312" w:cs="仿宋_GB2312" w:eastAsia="仿宋_GB2312"/>
        </w:rPr>
        <w:t>联系电话：029-88855325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高全省人防工程建设质量，提升人防工程使用效能，按照全省人防工程质量检查工作要求，组织开展2026年度全省人防工程建设质量检查工作，持续规范我省人防工程建设领域行业经营行为。服务范围包括：1.人防工程防护单元防护设备常规性检测。2.战时通风设备质量检测。3.单扇门现场气密性破拆检测。4.地下综合管廊兼顾人防工程和地铁兼顾人防工程质量检查。5.人防工程防护单元功能性、后期维护情况检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2026年度全省人防工程建设质量检查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标的名称：2026年度全省人防工程建设质量检查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1"/>
              </w:rPr>
              <w:t>一、项目概况：为进一步提高全省人防工程建设质量，提升人防工程使用效能，按照全省人防工程质量检查工作要求，组织开展2026年度全省人防工程建设质量检查工作，持续规范我省人防工程建设领域行业经营行为。服务范围包括：1.人防工程防护单元防护设备常规性检测。2.战时通风设备质量检测。3.单扇门现场气密性破拆检测。4.地下综合管廊兼顾人防工程和地铁兼顾人防工程质量检查。5.人防工程防护单元功能性、后期维护情况检查。</w:t>
            </w:r>
          </w:p>
          <w:p>
            <w:pPr>
              <w:pStyle w:val="null3"/>
              <w:ind w:firstLine="400"/>
              <w:jc w:val="both"/>
            </w:pPr>
            <w:r>
              <w:rPr>
                <w:rFonts w:ascii="仿宋_GB2312" w:hAnsi="仿宋_GB2312" w:cs="仿宋_GB2312" w:eastAsia="仿宋_GB2312"/>
                <w:sz w:val="21"/>
              </w:rPr>
              <w:t>二、服务期限：自合同签订之日起120日历天</w:t>
            </w:r>
          </w:p>
          <w:p>
            <w:pPr>
              <w:pStyle w:val="null3"/>
              <w:ind w:firstLine="400"/>
              <w:jc w:val="both"/>
            </w:pPr>
            <w:r>
              <w:rPr>
                <w:rFonts w:ascii="仿宋_GB2312" w:hAnsi="仿宋_GB2312" w:cs="仿宋_GB2312" w:eastAsia="仿宋_GB2312"/>
                <w:sz w:val="21"/>
              </w:rPr>
              <w:t>三、服务标准：合格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进度款，完成全部服务并经甲方验收合格，达到付款条件起30个工作日内，支付合同总金额的40.0%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1.本项目通过电子化交易系统协商，供应商需在电子化交易系统上传响应的文件。2.供应商应自磋商文件递交截止时间起至磋商结束，保持在线状态。3.本项目所属行业为：其他未列明行业。（按照《工信部 国家统计局 发改委 财政部 工信部联企业》中小企业划型标准（〔2011〕300号）规定：其他未列明行业：从业人员300人以下的为中小微型企业。其中，从业人员100人及以上的为中型企业；从业人员10人及以上的为小型企业；从业人员10人以下的为微型企业。）4.关于信用记录的查询和使用：①采购人将在资格审查阶段通过【信用中国（www.creditchina.gov.cn）】、【中国政府采购网（www.ccgp.gov.cn）】网站的截图对投标文件中的《供应商书面声明函》的信用情况进行甄别。对列入失信被执行人、重大税收违法失信主体、政府采购严重违法失信行为记录名单及其他不符合《中华人民共和国政府采购法》第二十二条规定条件的供应商，根据《关于在政府采购活动中查询及使用信用记录有关问题的通知》（财库〔2016〕125号）的第二条第（三）款规定，其投标或中标资格将被取消。 ②截至本项目开标前三年内因违法经营受到刑事处罚或者责令停产停业、吊销许可证或者执照、较大数额罚款等行政处罚的，其响应无效，无效响应供应商的信用记录查询结果截图将作为项目材料的组成部分。③较大数额罚款认定为200万元以上的罚款，法律、行政法规以及国务院有关部门明确规定相关领域“较大数额罚款”标准高于200万元的，从其规定。④供应商在参加政府采购活动前3年内因违法经营被禁止在一定期限内参加政府采购活动，期限届满的，可以参加政府采购活动的，但供应商应提供相关证明材料。⑤供应商信用记录查询的时间段为“招标公告公告发布之日（含当日）至提交投标文件截止之日（含当日）”。信用记录查询的结果，可以纸质截图或将截图保存至电子介质的形式留存。供应商未如实填报《供应商书面声明函》的，视为“供应商提供虚假材料谋取中标的”行为。5.根据关于推动解决政府采购异常低价问题的通知 （财库〔2026〕2号）文件：（1）报价明显低于其他通过符合性审查供应商的报价的认定：①政府采购评审中出现下列情形之一的，评标委员会应当启动异常低价投标审查程序：a.投标报价低于全部通过符合性审查供应商投标报价平均值50%的，即投标报价&lt;全部通过符合性审查供应商投标报价平均值×50%；b.投标报价低于通过符合性审查的次低报价供应商投标报价50%的，即投标报价&lt;通过符合性审查的次低报价供应商投标报价×50%；c.投标报价低于采购项目最高限价45%的，即投标报价&lt;采购项目最高限价×45%；d.评标委员会基于专业判断，认为供应商报价过低，有可能影响产品质量或者不能诚信履约的其他情形。（2）评标委员会启动异常低价投标审查后，属于前述第a项至第d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c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6.本项目编号为：SXZM-CS-2026120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电子化响应文件.docx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电子化响应文件.docx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提供首次响应文件递交截止时间前6个月内任意时段的缴纳证明。依法不需要交纳社会保障资金的供应商应提供相关文件证明；</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响应文件递交截止时间前6个月任意时段的纳税证明或完税证明（除印花税、个人所得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投标的，须提供法定代表人（或负责人）身份证明及其身份证电子件或扫描件；法定代表人（或负责人）授权他人参加投标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有省级市场监督管理局颁发的《检验检测机构资质认定证书》，具备人防工程检测能力；具有建设行政主管部门颁发的建设工程质量检测机构综合资质证书或专项资质证书（专项资质证书中检测专项至少包括：建筑材料及构配件、主体结构及装饰装修、钢结构、地基基础、建筑节能）；</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电子化响应文件.docx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电子化响应文件.docx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技术服务条款响应</w:t>
            </w:r>
          </w:p>
        </w:tc>
        <w:tc>
          <w:tcPr>
            <w:tcW w:type="dxa" w:w="3322"/>
          </w:tcPr>
          <w:p>
            <w:pPr>
              <w:pStyle w:val="null3"/>
            </w:pPr>
            <w:r>
              <w:rPr>
                <w:rFonts w:ascii="仿宋_GB2312" w:hAnsi="仿宋_GB2312" w:cs="仿宋_GB2312" w:eastAsia="仿宋_GB2312"/>
              </w:rPr>
              <w:t>完全理解并接受磋商文件第三章磋商项目技术、服务、商务及其他要求的规定，不得负偏离。</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完全理解并接受磋商文件第八章拟签订采购合同文本的规定，不得负偏离。</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w:t>
            </w:r>
          </w:p>
        </w:tc>
        <w:tc>
          <w:tcPr>
            <w:tcW w:type="dxa" w:w="1661"/>
          </w:tcPr>
          <w:p>
            <w:pPr>
              <w:pStyle w:val="null3"/>
            </w:pPr>
            <w:r>
              <w:rPr>
                <w:rFonts w:ascii="仿宋_GB2312" w:hAnsi="仿宋_GB2312" w:cs="仿宋_GB2312" w:eastAsia="仿宋_GB2312"/>
              </w:rPr>
              <w:t>电子化响应文件.docx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制定总体服务方案，包括但不限于①人防工程防护单元防护设备常规性检测方案；②战时通风设备质量检测方案；③单扇门现场气密性破拆检测方案；④地下综合管廊兼顾人防工程和地铁兼顾人防工程质量检查方案；⑤人防工程防护单元功能性、后期维护情况检查方案。 每个单项方案思路明晰合理、措施完整、科学、实用、针对性强得5分； 每个单项方案思路相对明晰合理、内容相对完整、科学、实用、针对性相对合理得4分； 每个单项方案思路比较明晰合理、内容比较完整、科学、实用、针对性比较合理得3分； 每个单项方案思路基本明晰合理、内容基本完整、科学、实用、针对性基本合理得2分； 每个单项分析思路欠明晰欠合理、内容不完整、实用性及针对性不强得1分； 未提供相关内容不得分。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项目人员配置情况</w:t>
            </w:r>
          </w:p>
        </w:tc>
        <w:tc>
          <w:tcPr>
            <w:tcW w:type="dxa" w:w="2492"/>
          </w:tcPr>
          <w:p>
            <w:pPr>
              <w:pStyle w:val="null3"/>
            </w:pPr>
            <w:r>
              <w:rPr>
                <w:rFonts w:ascii="仿宋_GB2312" w:hAnsi="仿宋_GB2312" w:cs="仿宋_GB2312" w:eastAsia="仿宋_GB2312"/>
              </w:rPr>
              <w:t>结合本项目要求配备项目成员，团队成员类似项目经验丰富，人员及岗位安排科学合理，提供完善的人员概况、人员分工及其他证明材料，能有效保证项目的实施。 人员配备方案完善合理，职责明确，组织机构设置科学、岗位配备齐全得6分； 人员配备方案比较完善合理，职责比较明确，组织机构设置比较科学、岗位配备比较齐全得5分； 人员配备方案相对完善，职责相对明确，组织机构设置相对科学、岗位配备相对齐全得4分； 人员配备方案基本完善，职责基本明确，组织机构设置基本科学、岗位配备基本齐全得 3分； 人员配备方案一般、职责划分不明确，组织机构设置不科学、岗位配备不齐全得2分； 人员配备方案有缺漏，组织机构设置较差、岗位配备较差得1分。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拟投入的设备工具</w:t>
            </w:r>
          </w:p>
        </w:tc>
        <w:tc>
          <w:tcPr>
            <w:tcW w:type="dxa" w:w="2492"/>
          </w:tcPr>
          <w:p>
            <w:pPr>
              <w:pStyle w:val="null3"/>
            </w:pPr>
            <w:r>
              <w:rPr>
                <w:rFonts w:ascii="仿宋_GB2312" w:hAnsi="仿宋_GB2312" w:cs="仿宋_GB2312" w:eastAsia="仿宋_GB2312"/>
              </w:rPr>
              <w:t>根据供应商针对本项目服务内容详细列明拟投入本项目的设施设备和工具。包括但不限于①人防工程防护单元防护设备常规性检测工具；②战时通风设备质量检测工具；③单扇门现场气密性破拆检测工具；④地下综合管廊兼顾人防工程和地铁兼顾人防工程质量检查工具；⑤人防工程防护单元功能性、后期维护情况检查工具。 单项内容详细合理，切合项目实际需求情况，对本项目针对性强得3分； 单项内容较详细合理，符合项目实际情况，基本无缺陷，对本项目针对性较强得2分； 单项内容较合理，有部分缺陷，对本项目有针对性得1分； 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供应商针对本项目提供服务质量保证方案。包括但不限于①服务质量管理制度措施；②质量保证措施。 每个单项方案思路明晰合理、措施完整、科学、实用、针对性强得5分； 每个单项方案思路相对明晰合理、内容相对完整、科学、实用、针对性相对合理得4分； 每个单项方案思路比较明晰合理、内容比较完整、科学、实用、针对性比较合理得3分； 每个单项方案思路基本明晰合理、内容基本完整、科学、实用、针对性基本合理得2分； 每个单项分析思路欠明晰欠合理、内容不完整、实用性及针对性不强得1分；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供应商针对本项目提供安全保证方案。包括但不限于①安全教育培训计划；②安全防护措施；③安全管理制度；④安全操作规范。 每个单项方案思路明晰合理、措施完整、科学、实用、针对性强得4分； 每个单项方案思路相对明晰合理、措施相对完整、科学、实用、针对性相对合理得3分； 每个单项方案思路基本明晰合理、措施基本完整、科学、实用、针对性基本合理得2分； 每个单项分析思路欠明晰欠合理、内容不完整、实用性及针对性不强得1分； 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针对本项目提供售后服务措施，包括但不限于①售后服务能力②出现问题的补救措施③复检承诺④配合主管部门整改等。 每个单项内容详细且针对性强得2分； 每个单项内容基本详细、针对性一般得1分；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针对在服务过程中可能发生的特殊情况制定具有可操作性的应急处置措施。 措施内容完整、科学、实用、针对性强得4分； 措施内容相对完整、科学、实用、针对性相对合理得3分； 措施内容基本完整、科学、实用、针对性基本合理得2分； 措施内容不完整、实用性及针对性不强得1分；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供应商近五年（2021年1月至今以合同签订时间为准）的类似业绩证明文件，提供加盖供应商公章的关键页的合同复印件或扫描件，每一份提供得2分，满分6分。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电子化响应文件.docx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详见附件：电子化响应文件.docx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