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版本号：HRC-ZBDL-2026-00809.1B120260709001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“十五五”电子信息制造业发展规划编制(二次)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HRC-ZBDL-2026-00809.1B1</w:t>
      </w:r>
      <w:r>
        <w:br/>
      </w:r>
      <w:r>
        <w:br/>
      </w:r>
      <w:r>
        <w:br/>
      </w:r>
    </w:p>
    <w:p>
      <w:pPr>
        <w:pStyle w:val="null3"/>
        <w:jc w:val="center"/>
        <w:outlineLvl w:val="2"/>
      </w:pPr>
      <w:r>
        <w:rPr>
          <w:rFonts w:ascii="仿宋_GB2312" w:hAnsi="仿宋_GB2312" w:cs="仿宋_GB2312" w:eastAsia="仿宋_GB2312"/>
          <w:sz w:val="28"/>
          <w:b/>
        </w:rPr>
        <w:t>陕西省工业和信息化厅机关</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陕西省工业和信息化厅机关</w:t>
      </w:r>
      <w:r>
        <w:rPr>
          <w:rFonts w:ascii="仿宋_GB2312" w:hAnsi="仿宋_GB2312" w:cs="仿宋_GB2312" w:eastAsia="仿宋_GB2312"/>
        </w:rPr>
        <w:t>委托，拟对</w:t>
      </w:r>
      <w:r>
        <w:rPr>
          <w:rFonts w:ascii="仿宋_GB2312" w:hAnsi="仿宋_GB2312" w:cs="仿宋_GB2312" w:eastAsia="仿宋_GB2312"/>
        </w:rPr>
        <w:t>“十五五”电子信息制造业发展规划编制(二次)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HRC-ZBDL-2026-00809.1B1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“十五五”电子信息制造业发展规划编制(二次)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贯彻落实《中共中央关于制定国⺠经济和社会发展第⼗五个五年规划的建议》，系统研判国内外电⼦信息制造业发展新形势、新机遇，结合陕西产业基础、资源禀赋与区域特⾊，编制形成⽬标科学、路径清晰、举措可⾏的发展规划，为政府宏观调控、产业政策制定和重⼤项⽬布局提供决策⽀撑，推动陕西电⼦信息制造业实现⾼端化、智能化、绿⾊化转型。完成编制《陕西省“⼗四五”电⼦信息制造业发展规划评估总结报告》、《陕西省“⼗五五”电⼦信息制造业发展规划》《陕西省“⼗五五”电⼦信息制造业发展规划实施⽅案》等⽅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授权委托书：法定代表⼈参加磋商的，须提供法定代表⼈⾝份证明（法⼈参加只需提供法定代表⼈⾝份证明并与营业执照上信息⼀致）；法定代表⼈授权他⼈参加磋商的，须提供法定代表⼈授权书及被授权⼈⾝份证（被授权⼈提供开标前半年内任意⼀个⽉的社保缴纳证明）。</w:t>
      </w:r>
    </w:p>
    <w:p>
      <w:pPr>
        <w:pStyle w:val="null3"/>
      </w:pPr>
      <w:r>
        <w:rPr>
          <w:rFonts w:ascii="仿宋_GB2312" w:hAnsi="仿宋_GB2312" w:cs="仿宋_GB2312" w:eastAsia="仿宋_GB2312"/>
        </w:rPr>
        <w:t>2、信用记录：供应商未被列⼊“信⽤中国”⽹站记录的“失信被执⾏⼈”或“重⼤税收违法案件当事⼈”名单；不处于“中国政府采购⽹”记录的“政府采购严重违法失信⾏为记录名单”中的禁⽌参加政府采购活动期间（以评审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陕西省工业和信息化厅机关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省政府前大楼4-73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杨英琪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63915416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17391890517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代理服务费收费标准：按照《国家发改委⽂件发改价格[2011]534号⽂件》及《国家计委价格[2002]1980号⽂件》规定标准下浮 20%，（收费标准计算不⾜ 3000 元按3000 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陕西省工业和信息化厅机关</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陕西省工业和信息化厅机关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陕西省工业和信息化厅机关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1.供应商为履⾏本项⽬义务所形成的服务成果的知识产权、数据所有权等归采购⼈所有。本项⽬不会 引起任何已申请、登记的知识产权所有权的转移。 2.供应商保证向采购⼈提供的服务成果是其独⽴实施完成，不存在任何侵犯第三⽅专利权、商标权、 著作权等合法权益。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联系电话：029-85393806</w:t>
      </w:r>
    </w:p>
    <w:p>
      <w:pPr>
        <w:pStyle w:val="null3"/>
      </w:pPr>
      <w:r>
        <w:rPr>
          <w:rFonts w:ascii="仿宋_GB2312" w:hAnsi="仿宋_GB2312" w:cs="仿宋_GB2312" w:eastAsia="仿宋_GB2312"/>
        </w:rPr>
        <w:t>地址：西安市曲江新区雁翔路3269号旺座·曲江E座29层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贯彻落实《中共中央关于制定国⺠经济和社会发展第⼗五个五年规划的建议》，系统研判国内外电⼦信息制造业发展新形势、新机遇，结合陕西产业基础、资源禀赋与区域特⾊，编制形成⽬标科学、路径清晰、举措可⾏的发展规划，为政府宏观调控、产业政策制定和重⼤项⽬布局提供决策⽀撑，推动陕西电⼦信息制造业实现⾼端化、智能化、绿⾊化转型。完成编制《陕西省“⼗四五”电⼦信息制造业发展规划评估总结报告》、《陕西省“⼗五五”电⼦信息制造业发展规划》《陕西省“⼗五五”电⼦信息制造业发展规划实施⽅案》等⽅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363,770.00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十五五电子信息制造业发展规划编制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标的名称：十五五电子信息制造业发展规划编制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一、采购内容及要求</w:t>
            </w:r>
          </w:p>
          <w:p>
            <w:pPr>
              <w:pStyle w:val="null3"/>
              <w:jc w:val="both"/>
            </w:pPr>
            <w:r>
              <w:rPr>
                <w:rFonts w:ascii="仿宋_GB2312" w:hAnsi="仿宋_GB2312" w:cs="仿宋_GB2312" w:eastAsia="仿宋_GB2312"/>
              </w:rPr>
              <w:t>1.</w:t>
            </w:r>
            <w:r>
              <w:rPr>
                <w:rFonts w:ascii="仿宋_GB2312" w:hAnsi="仿宋_GB2312" w:cs="仿宋_GB2312" w:eastAsia="仿宋_GB2312"/>
              </w:rPr>
              <w:t>项目内容</w:t>
            </w:r>
          </w:p>
          <w:p>
            <w:pPr>
              <w:pStyle w:val="null3"/>
              <w:jc w:val="both"/>
            </w:pPr>
            <w:r>
              <w:rPr>
                <w:rFonts w:ascii="仿宋_GB2312" w:hAnsi="仿宋_GB2312" w:cs="仿宋_GB2312" w:eastAsia="仿宋_GB2312"/>
              </w:rPr>
              <w:t xml:space="preserve">  按照《陕西省工业和信息化厅关于印发</w:t>
            </w:r>
            <w:r>
              <w:rPr>
                <w:rFonts w:ascii="仿宋_GB2312" w:hAnsi="仿宋_GB2312" w:cs="仿宋_GB2312" w:eastAsia="仿宋_GB2312"/>
              </w:rPr>
              <w:t>“十五五”规划编制工作总体方案的通知》要求，项目承接单位要系统研判国内外电子信息制造业发展新形势、新机遇，结合陕西产业基础、资源禀赋与区域特色，编制形成目标科学、路径清晰、举措可行的发展规划，为政府宏观调控、产业政策制定和重大项目布局提供决策支撑，推动陕西电子信息制造业实现高端化、智能化、绿色化转型。具体包括以下内容：</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 《陕西省“十四五”电子信息制造业发展规划评估总结报告》，通过成效梳理、问题研判、经验提炼，全面总结评估陕西省“十四五”电子信息制造业发展情况及规划执行情况，为 “十五五” 规划编制提供数据支撑与经验借鉴。</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 《陕西省“十五五”电子信息制造业发展规划》，围绕集成电路、电子元器件、智能终端、太阳能光伏等领域，完成产业现状调研、“十五五”发展趋势研判、目标路径设计、重点任务部署及保障措施制定等。</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 《陕西省“十五五”电子信息制造业发展规划实施方案》，针对规划里设定的思路目标、重点任务等提出具体落实举措，明确责任分工和落实主体。</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 附件：《陕西省“十五五”电子信息制造业发展规划环评报告》、《陕西省“十五五”电子信息制造业重点项目清单》《陕西省“十五五”电子信息制造业发展规划编制说明》</w:t>
            </w:r>
          </w:p>
          <w:p>
            <w:pPr>
              <w:pStyle w:val="null3"/>
              <w:jc w:val="both"/>
            </w:pPr>
            <w:r>
              <w:rPr>
                <w:rFonts w:ascii="仿宋_GB2312" w:hAnsi="仿宋_GB2312" w:cs="仿宋_GB2312" w:eastAsia="仿宋_GB2312"/>
              </w:rPr>
              <w:t>2.</w:t>
            </w:r>
            <w:r>
              <w:rPr>
                <w:rFonts w:ascii="仿宋_GB2312" w:hAnsi="仿宋_GB2312" w:cs="仿宋_GB2312" w:eastAsia="仿宋_GB2312"/>
              </w:rPr>
              <w:t>项目要求</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）进度要求</w:t>
            </w:r>
          </w:p>
          <w:p>
            <w:pPr>
              <w:pStyle w:val="null3"/>
              <w:jc w:val="both"/>
            </w:pPr>
            <w:r>
              <w:rPr>
                <w:rFonts w:ascii="仿宋_GB2312" w:hAnsi="仿宋_GB2312" w:cs="仿宋_GB2312" w:eastAsia="仿宋_GB2312"/>
              </w:rPr>
              <w:t>项目承接单位按委托单位要求于</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12</w:t>
            </w:r>
            <w:r>
              <w:rPr>
                <w:rFonts w:ascii="仿宋_GB2312" w:hAnsi="仿宋_GB2312" w:cs="仿宋_GB2312" w:eastAsia="仿宋_GB2312"/>
              </w:rPr>
              <w:t>月</w:t>
            </w:r>
            <w:r>
              <w:rPr>
                <w:rFonts w:ascii="仿宋_GB2312" w:hAnsi="仿宋_GB2312" w:cs="仿宋_GB2312" w:eastAsia="仿宋_GB2312"/>
              </w:rPr>
              <w:t>30</w:t>
            </w:r>
            <w:r>
              <w:rPr>
                <w:rFonts w:ascii="仿宋_GB2312" w:hAnsi="仿宋_GB2312" w:cs="仿宋_GB2312" w:eastAsia="仿宋_GB2312"/>
              </w:rPr>
              <w:t>日前完成并通过验收。</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）质量要求</w:t>
            </w:r>
          </w:p>
          <w:p>
            <w:pPr>
              <w:pStyle w:val="null3"/>
              <w:jc w:val="both"/>
            </w:pPr>
            <w:r>
              <w:rPr>
                <w:rFonts w:ascii="仿宋_GB2312" w:hAnsi="仿宋_GB2312" w:cs="仿宋_GB2312" w:eastAsia="仿宋_GB2312"/>
              </w:rPr>
              <w:t>全⾯贯彻落实《中共中央关于制定国⺠经济和社会发展第⼗五个五年规划的建议》《中共陕西省委关于制定国⺠经济和社会发展第⼗五个五年规划的建议》精神，严格遵循</w:t>
            </w:r>
            <w:r>
              <w:rPr>
                <w:rFonts w:ascii="仿宋_GB2312" w:hAnsi="仿宋_GB2312" w:cs="仿宋_GB2312" w:eastAsia="仿宋_GB2312"/>
              </w:rPr>
              <w:t>“下级规划服从上级规划”的原则，既要⽴⾜战略⾼度把握发展⽅向，⼜要严守程序规范保障编制质量，坚持开⻔编规划，强化衔接协调，做到⽬标科学、路径清晰、举措可⾏，确保规划能够有效引领产业⾼质量发展。内容应具有前</w:t>
            </w:r>
            <w:r>
              <w:rPr>
                <w:rFonts w:ascii="仿宋_GB2312" w:hAnsi="仿宋_GB2312" w:cs="仿宋_GB2312" w:eastAsia="仿宋_GB2312"/>
              </w:rPr>
              <w:t>瞻性、针对性、时效性、指导性、科学合理性，满⾜内容⻬全、数据准确、论据充分、结论明确等要求，充分结合我省产业特点，符合国家、地⽅政策导向及布局要求和评审标准。</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）其他要求</w:t>
            </w:r>
          </w:p>
          <w:p>
            <w:pPr>
              <w:pStyle w:val="null3"/>
              <w:jc w:val="both"/>
            </w:pPr>
            <w:r>
              <w:rPr>
                <w:rFonts w:ascii="仿宋_GB2312" w:hAnsi="仿宋_GB2312" w:cs="仿宋_GB2312" w:eastAsia="仿宋_GB2312"/>
              </w:rPr>
              <w:t>项⽬实施过程中，采购⼈对本项⽬如有修改意⻅，供应商应予积极配合，直⾄采购⼈满意为⽌且不得以此增加任何服务费</w:t>
            </w:r>
          </w:p>
          <w:p>
            <w:pPr>
              <w:pStyle w:val="null3"/>
              <w:jc w:val="both"/>
            </w:pPr>
            <w:r>
              <w:rPr>
                <w:rFonts w:ascii="仿宋_GB2312" w:hAnsi="仿宋_GB2312" w:cs="仿宋_GB2312" w:eastAsia="仿宋_GB2312"/>
                <w:b/>
              </w:rPr>
              <w:t>⼆、服务标准</w:t>
            </w:r>
          </w:p>
          <w:p>
            <w:pPr>
              <w:pStyle w:val="null3"/>
              <w:jc w:val="both"/>
            </w:pPr>
            <w:r>
              <w:rPr>
                <w:rFonts w:ascii="仿宋_GB2312" w:hAnsi="仿宋_GB2312" w:cs="仿宋_GB2312" w:eastAsia="仿宋_GB2312"/>
              </w:rPr>
              <w:t>1</w:t>
            </w:r>
            <w:r>
              <w:rPr>
                <w:rFonts w:ascii="仿宋_GB2312" w:hAnsi="仿宋_GB2312" w:cs="仿宋_GB2312" w:eastAsia="仿宋_GB2312"/>
              </w:rPr>
              <w:t>、提⾼政治站位。精准对标招标需求，确保规划符合国家战略和政策要求；</w:t>
            </w:r>
          </w:p>
          <w:p>
            <w:pPr>
              <w:pStyle w:val="null3"/>
              <w:jc w:val="both"/>
            </w:pPr>
            <w:r>
              <w:rPr>
                <w:rFonts w:ascii="仿宋_GB2312" w:hAnsi="仿宋_GB2312" w:cs="仿宋_GB2312" w:eastAsia="仿宋_GB2312"/>
              </w:rPr>
              <w:t>2</w:t>
            </w:r>
            <w:r>
              <w:rPr>
                <w:rFonts w:ascii="仿宋_GB2312" w:hAnsi="仿宋_GB2312" w:cs="仿宋_GB2312" w:eastAsia="仿宋_GB2312"/>
              </w:rPr>
              <w:t>、规范编制程序。确保规划过程的规范性和透明度；</w:t>
            </w:r>
          </w:p>
          <w:p>
            <w:pPr>
              <w:pStyle w:val="null3"/>
              <w:jc w:val="both"/>
            </w:pPr>
            <w:r>
              <w:rPr>
                <w:rFonts w:ascii="仿宋_GB2312" w:hAnsi="仿宋_GB2312" w:cs="仿宋_GB2312" w:eastAsia="仿宋_GB2312"/>
              </w:rPr>
              <w:t>3</w:t>
            </w:r>
            <w:r>
              <w:rPr>
                <w:rFonts w:ascii="仿宋_GB2312" w:hAnsi="仿宋_GB2312" w:cs="仿宋_GB2312" w:eastAsia="仿宋_GB2312"/>
              </w:rPr>
              <w:t>、坚持与时俱进。注重创新驱动，顺应新时代、新技术要求；</w:t>
            </w:r>
          </w:p>
          <w:p>
            <w:pPr>
              <w:pStyle w:val="null3"/>
              <w:jc w:val="both"/>
            </w:pPr>
            <w:r>
              <w:rPr>
                <w:rFonts w:ascii="仿宋_GB2312" w:hAnsi="仿宋_GB2312" w:cs="仿宋_GB2312" w:eastAsia="仿宋_GB2312"/>
              </w:rPr>
              <w:t>4</w:t>
            </w:r>
            <w:r>
              <w:rPr>
                <w:rFonts w:ascii="仿宋_GB2312" w:hAnsi="仿宋_GB2312" w:cs="仿宋_GB2312" w:eastAsia="仿宋_GB2312"/>
              </w:rPr>
              <w:t>、加强课题研究。加强深⼊研究，提升⽀撑规划的前瞻性、科学性；</w:t>
            </w:r>
          </w:p>
          <w:p>
            <w:pPr>
              <w:pStyle w:val="null3"/>
              <w:jc w:val="both"/>
            </w:pPr>
            <w:r>
              <w:rPr>
                <w:rFonts w:ascii="仿宋_GB2312" w:hAnsi="仿宋_GB2312" w:cs="仿宋_GB2312" w:eastAsia="仿宋_GB2312"/>
              </w:rPr>
              <w:t>5</w:t>
            </w:r>
            <w:r>
              <w:rPr>
                <w:rFonts w:ascii="仿宋_GB2312" w:hAnsi="仿宋_GB2312" w:cs="仿宋_GB2312" w:eastAsia="仿宋_GB2312"/>
              </w:rPr>
              <w:t>、遵循客观规律。结合项⽬特点，尊重⾏业发展规律和市场需求；</w:t>
            </w:r>
          </w:p>
          <w:p>
            <w:pPr>
              <w:pStyle w:val="null3"/>
              <w:jc w:val="both"/>
            </w:pPr>
            <w:r>
              <w:rPr>
                <w:rFonts w:ascii="仿宋_GB2312" w:hAnsi="仿宋_GB2312" w:cs="仿宋_GB2312" w:eastAsia="仿宋_GB2312"/>
              </w:rPr>
              <w:t>6</w:t>
            </w:r>
            <w:r>
              <w:rPr>
                <w:rFonts w:ascii="仿宋_GB2312" w:hAnsi="仿宋_GB2312" w:cs="仿宋_GB2312" w:eastAsia="仿宋_GB2312"/>
              </w:rPr>
              <w:t>、坚持⽬标导向。抓实落地⻅效，确保规划可操作、能实施。</w:t>
            </w:r>
          </w:p>
          <w:p>
            <w:pPr>
              <w:pStyle w:val="null3"/>
              <w:jc w:val="both"/>
            </w:pPr>
            <w:r>
              <w:rPr>
                <w:rFonts w:ascii="仿宋_GB2312" w:hAnsi="仿宋_GB2312" w:cs="仿宋_GB2312" w:eastAsia="仿宋_GB2312"/>
                <w:b/>
              </w:rPr>
              <w:t>三、服务要求</w:t>
            </w:r>
          </w:p>
          <w:p>
            <w:pPr>
              <w:pStyle w:val="null3"/>
              <w:jc w:val="both"/>
            </w:pPr>
            <w:r>
              <w:rPr>
                <w:rFonts w:ascii="仿宋_GB2312" w:hAnsi="仿宋_GB2312" w:cs="仿宋_GB2312" w:eastAsia="仿宋_GB2312"/>
              </w:rPr>
              <w:t>1</w:t>
            </w:r>
            <w:r>
              <w:rPr>
                <w:rFonts w:ascii="仿宋_GB2312" w:hAnsi="仿宋_GB2312" w:cs="仿宋_GB2312" w:eastAsia="仿宋_GB2312"/>
              </w:rPr>
              <w:t>、供应商应针对本项⽬组建不少于</w:t>
            </w:r>
            <w:r>
              <w:rPr>
                <w:rFonts w:ascii="仿宋_GB2312" w:hAnsi="仿宋_GB2312" w:cs="仿宋_GB2312" w:eastAsia="仿宋_GB2312"/>
              </w:rPr>
              <w:t>10</w:t>
            </w:r>
            <w:r>
              <w:rPr>
                <w:rFonts w:ascii="仿宋_GB2312" w:hAnsi="仿宋_GB2312" w:cs="仿宋_GB2312" w:eastAsia="仿宋_GB2312"/>
              </w:rPr>
              <w:t>⼈的服务团队。服务团队⼈员应具备相关技术专业能⼒及⼯作经验。</w:t>
            </w:r>
          </w:p>
          <w:p>
            <w:pPr>
              <w:pStyle w:val="null3"/>
              <w:jc w:val="both"/>
            </w:pPr>
            <w:r>
              <w:rPr>
                <w:rFonts w:ascii="仿宋_GB2312" w:hAnsi="仿宋_GB2312" w:cs="仿宋_GB2312" w:eastAsia="仿宋_GB2312"/>
              </w:rPr>
              <w:t>2</w:t>
            </w:r>
            <w:r>
              <w:rPr>
                <w:rFonts w:ascii="仿宋_GB2312" w:hAnsi="仿宋_GB2312" w:cs="仿宋_GB2312" w:eastAsia="仿宋_GB2312"/>
              </w:rPr>
              <w:t>、服务团队⼈员未经采购⼈同意，不得随意更换。</w:t>
            </w:r>
          </w:p>
          <w:p>
            <w:pPr>
              <w:pStyle w:val="null3"/>
              <w:jc w:val="both"/>
            </w:pPr>
            <w:r>
              <w:rPr>
                <w:rFonts w:ascii="仿宋_GB2312" w:hAnsi="仿宋_GB2312" w:cs="仿宋_GB2312" w:eastAsia="仿宋_GB2312"/>
              </w:rPr>
              <w:t>3</w:t>
            </w:r>
            <w:r>
              <w:rPr>
                <w:rFonts w:ascii="仿宋_GB2312" w:hAnsi="仿宋_GB2312" w:cs="仿宋_GB2312" w:eastAsia="仿宋_GB2312"/>
              </w:rPr>
              <w:t>、保密要求：</w:t>
            </w:r>
            <w:r>
              <w:rPr>
                <w:rFonts w:ascii="仿宋_GB2312" w:hAnsi="仿宋_GB2312" w:cs="仿宋_GB2312" w:eastAsia="仿宋_GB2312"/>
              </w:rPr>
              <w:t>所有</w:t>
            </w:r>
            <w:r>
              <w:rPr>
                <w:rFonts w:ascii="仿宋_GB2312" w:hAnsi="仿宋_GB2312" w:cs="仿宋_GB2312" w:eastAsia="仿宋_GB2312"/>
              </w:rPr>
              <w:t>参与编制论证的⼈员均应签署保密协议。对项⽬承接单位对收集到的政策、项⽬、⽂件等信息做好保密⼯作。</w:t>
            </w:r>
          </w:p>
          <w:p>
            <w:pPr>
              <w:pStyle w:val="null3"/>
              <w:jc w:val="both"/>
            </w:pPr>
            <w:r>
              <w:rPr>
                <w:rFonts w:ascii="仿宋_GB2312" w:hAnsi="仿宋_GB2312" w:cs="仿宋_GB2312" w:eastAsia="仿宋_GB2312"/>
                <w:b/>
              </w:rPr>
              <w:t>四、交付成果：</w:t>
            </w:r>
          </w:p>
          <w:p>
            <w:pPr>
              <w:pStyle w:val="null3"/>
              <w:jc w:val="both"/>
            </w:pPr>
            <w:r>
              <w:rPr>
                <w:rFonts w:ascii="仿宋_GB2312" w:hAnsi="仿宋_GB2312" w:cs="仿宋_GB2312" w:eastAsia="仿宋_GB2312"/>
              </w:rPr>
              <w:t>1.</w:t>
            </w:r>
            <w:r>
              <w:rPr>
                <w:rFonts w:ascii="仿宋_GB2312" w:hAnsi="仿宋_GB2312" w:cs="仿宋_GB2312" w:eastAsia="仿宋_GB2312"/>
              </w:rPr>
              <w:t>《陕西省“⼗四五”电⼦信息制造业发展规划评估总结报告》、《陕西省“⼗五五”电⼦信息制造业发展规划》、《陕西省“⼗五五”电⼦信息制造业发展规划实施⽅案》含附件包含内容，正式稿纸质版</w:t>
            </w:r>
            <w:r>
              <w:rPr>
                <w:rFonts w:ascii="仿宋_GB2312" w:hAnsi="仿宋_GB2312" w:cs="仿宋_GB2312" w:eastAsia="仿宋_GB2312"/>
              </w:rPr>
              <w:t>10</w:t>
            </w:r>
            <w:r>
              <w:rPr>
                <w:rFonts w:ascii="仿宋_GB2312" w:hAnsi="仿宋_GB2312" w:cs="仿宋_GB2312" w:eastAsia="仿宋_GB2312"/>
              </w:rPr>
              <w:t>份、电⼦版</w:t>
            </w:r>
            <w:r>
              <w:rPr>
                <w:rFonts w:ascii="仿宋_GB2312" w:hAnsi="仿宋_GB2312" w:cs="仿宋_GB2312" w:eastAsia="仿宋_GB2312"/>
              </w:rPr>
              <w:t>1</w:t>
            </w:r>
            <w:r>
              <w:rPr>
                <w:rFonts w:ascii="仿宋_GB2312" w:hAnsi="仿宋_GB2312" w:cs="仿宋_GB2312" w:eastAsia="仿宋_GB2312"/>
              </w:rPr>
              <w:t>份；</w:t>
            </w:r>
          </w:p>
          <w:p>
            <w:pPr>
              <w:pStyle w:val="null3"/>
              <w:jc w:val="both"/>
            </w:pPr>
            <w:r>
              <w:rPr>
                <w:rFonts w:ascii="仿宋_GB2312" w:hAnsi="仿宋_GB2312" w:cs="仿宋_GB2312" w:eastAsia="仿宋_GB2312"/>
              </w:rPr>
              <w:t>2.</w:t>
            </w:r>
            <w:r>
              <w:rPr>
                <w:rFonts w:ascii="仿宋_GB2312" w:hAnsi="仿宋_GB2312" w:cs="仿宋_GB2312" w:eastAsia="仿宋_GB2312"/>
              </w:rPr>
              <w:t>规划编制过程资料汇编</w:t>
            </w:r>
            <w:r>
              <w:rPr>
                <w:rFonts w:ascii="仿宋_GB2312" w:hAnsi="仿宋_GB2312" w:cs="仿宋_GB2312" w:eastAsia="仿宋_GB2312"/>
              </w:rPr>
              <w:t>1</w:t>
            </w:r>
            <w:r>
              <w:rPr>
                <w:rFonts w:ascii="仿宋_GB2312" w:hAnsi="仿宋_GB2312" w:cs="仿宋_GB2312" w:eastAsia="仿宋_GB2312"/>
              </w:rPr>
              <w:t>套。</w:t>
            </w:r>
          </w:p>
          <w:p>
            <w:pPr>
              <w:pStyle w:val="null3"/>
              <w:jc w:val="both"/>
            </w:pPr>
            <w:r>
              <w:rPr>
                <w:rFonts w:ascii="仿宋_GB2312" w:hAnsi="仿宋_GB2312" w:cs="仿宋_GB2312" w:eastAsia="仿宋_GB2312"/>
                <w:b/>
              </w:rPr>
              <w:t>五、项⽬验收</w:t>
            </w:r>
          </w:p>
          <w:p>
            <w:pPr>
              <w:pStyle w:val="null3"/>
              <w:jc w:val="both"/>
            </w:pPr>
            <w:r>
              <w:rPr>
                <w:rFonts w:ascii="仿宋_GB2312" w:hAnsi="仿宋_GB2312" w:cs="仿宋_GB2312" w:eastAsia="仿宋_GB2312"/>
              </w:rPr>
              <w:t>1</w:t>
            </w:r>
            <w:r>
              <w:rPr>
                <w:rFonts w:ascii="仿宋_GB2312" w:hAnsi="仿宋_GB2312" w:cs="仿宋_GB2312" w:eastAsia="仿宋_GB2312"/>
              </w:rPr>
              <w:t>、项⽬承接单位提交相关⽂本后，由项⽬采购⼈对项⽬完成情况进⾏验收。</w:t>
            </w:r>
          </w:p>
          <w:p>
            <w:pPr>
              <w:pStyle w:val="null3"/>
              <w:jc w:val="both"/>
            </w:pPr>
            <w:r>
              <w:rPr>
                <w:rFonts w:ascii="仿宋_GB2312" w:hAnsi="仿宋_GB2312" w:cs="仿宋_GB2312" w:eastAsia="仿宋_GB2312"/>
              </w:rPr>
              <w:t>2</w:t>
            </w:r>
            <w:r>
              <w:rPr>
                <w:rFonts w:ascii="仿宋_GB2312" w:hAnsi="仿宋_GB2312" w:cs="仿宋_GB2312" w:eastAsia="仿宋_GB2312"/>
              </w:rPr>
              <w:t>、验收会对所有过程资料、交付资料进⾏清点交接，验收通过后视为完成所有服务内容。</w:t>
            </w:r>
          </w:p>
          <w:p>
            <w:pPr>
              <w:pStyle w:val="null3"/>
              <w:jc w:val="both"/>
            </w:pPr>
            <w:r>
              <w:rPr>
                <w:rFonts w:ascii="仿宋_GB2312" w:hAnsi="仿宋_GB2312" w:cs="仿宋_GB2312" w:eastAsia="仿宋_GB2312"/>
              </w:rPr>
              <w:t>3</w:t>
            </w:r>
            <w:r>
              <w:rPr>
                <w:rFonts w:ascii="仿宋_GB2312" w:hAnsi="仿宋_GB2312" w:cs="仿宋_GB2312" w:eastAsia="仿宋_GB2312"/>
              </w:rPr>
              <w:t>、验收依据：合同⽂本；国家有关的验收标准及规范；磋商⽂件；响应⽂件；按照合同和根据磋商⽂件所编写的响应⽂件中相关的全部⽂档。</w:t>
            </w:r>
          </w:p>
          <w:p>
            <w:pPr>
              <w:pStyle w:val="null3"/>
              <w:jc w:val="both"/>
            </w:pPr>
            <w:r>
              <w:rPr>
                <w:rFonts w:ascii="仿宋_GB2312" w:hAnsi="仿宋_GB2312" w:cs="仿宋_GB2312" w:eastAsia="仿宋_GB2312"/>
                <w:b/>
              </w:rPr>
              <w:t>六、成果归属</w:t>
            </w:r>
          </w:p>
          <w:p>
            <w:pPr>
              <w:pStyle w:val="null3"/>
              <w:jc w:val="both"/>
            </w:pPr>
            <w:r>
              <w:rPr>
                <w:rFonts w:ascii="仿宋_GB2312" w:hAnsi="仿宋_GB2312" w:cs="仿宋_GB2312" w:eastAsia="仿宋_GB2312"/>
              </w:rPr>
              <w:t>1.</w:t>
            </w:r>
            <w:r>
              <w:rPr>
                <w:rFonts w:ascii="仿宋_GB2312" w:hAnsi="仿宋_GB2312" w:cs="仿宋_GB2312" w:eastAsia="仿宋_GB2312"/>
              </w:rPr>
              <w:t>供应商为履⾏本项⽬义务所形成的服务成果的知识产权、数据所有权等归采购⼈所有。本项⽬不会引起任何已申请、登记的知识产权所有权的转移。</w:t>
            </w:r>
          </w:p>
          <w:p>
            <w:pPr>
              <w:pStyle w:val="null3"/>
              <w:jc w:val="both"/>
            </w:pPr>
            <w:r>
              <w:rPr>
                <w:rFonts w:ascii="仿宋_GB2312" w:hAnsi="仿宋_GB2312" w:cs="仿宋_GB2312" w:eastAsia="仿宋_GB2312"/>
              </w:rPr>
              <w:t>2.</w:t>
            </w:r>
            <w:r>
              <w:rPr>
                <w:rFonts w:ascii="仿宋_GB2312" w:hAnsi="仿宋_GB2312" w:cs="仿宋_GB2312" w:eastAsia="仿宋_GB2312"/>
              </w:rPr>
              <w:t>供应商保证向采购⼈提供的服务成果是其独⽴实施完成，不存在任何侵犯第三⽅专利权、商标权、著作权等合法权益。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2026年12⽉30⽇前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项⽬承担单位提交相关⽂本后，由项⽬采购⼈对项⽬完成情况进⾏验收。成果需满⾜符合国家相关质量标准或⾏业标准。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进度款，验收完成后拨付尾款，达到付款条件起10个工作日内，支付合同总金额的20.0%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详⻅合同协议书</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1.本项⽬通过电⼦化交易系统协商，供应商需在电⼦化交易系统上传响应的⽂件。成交结果发出三⽇内向采购代理机构提供⼀正两副纸质投标应⽂件及电⼦版1份，响应⽂件应与系统上传响应⽂件内容保持⼀致。 2.供应商应⾃投标⽂件递交截⽌时间起⾄投标结束，保持在线状态。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填写《投标函》完成承诺并进⾏电⼦签章。1.提供有效的法⼈或者其他组织的营业执照等证明⽂件，⾃然⼈的⾝份证明；2.提供可充分满⾜履⾏合同所需设备和专业技术能⼒的证明材料或承诺；3.提供近六个⽉中任何⼀个⽉的完税证明或免税证明（加盖公章）；4.提供近六个⽉中任何⼀个⽉的社会保障资⾦缴纳记录或免缴纳证明（加盖公章）；5.参加政府采购活动前3年内，在经营活动中没有重⼤违法记录的书⾯声明；6.不存在违反法律、法规的情况（提供承诺）。</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表或本年度基本开⼾银⾏出具的资信证明（附基本开⼾许可证或基本存款账⼾信息）或政府采购信⽤担保机构出具的《政府采购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参加磋商的，须提供法定代表⼈⾝份证明（法⼈参加只需提供法定代表⼈⾝份证明并与营业执照上信息⼀致）；法定代表⼈授权他⼈参加磋商的，须提供法定代表⼈授权书及被授权⼈⾝份证（被授权⼈提供开标前半年内任意⼀个⽉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信⽤中国”⽹站记录的“失信被执⾏⼈”或“重⼤税收违法案件当事⼈”名单；不处于“中国政府采购⽹”记录的“政府采购严重违法失信⾏为记录名单”中的禁⽌参加政府采购活动期间（以评审现场查询记录为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按磋商⽂件格式要求签署、盖章</w:t>
            </w:r>
          </w:p>
        </w:tc>
        <w:tc>
          <w:tcPr>
            <w:tcW w:type="dxa" w:w="1661"/>
          </w:tcPr>
          <w:p>
            <w:pPr>
              <w:pStyle w:val="null3"/>
            </w:pPr>
            <w:r>
              <w:rPr>
                <w:rFonts w:ascii="仿宋_GB2312" w:hAnsi="仿宋_GB2312" w:cs="仿宋_GB2312" w:eastAsia="仿宋_GB2312"/>
              </w:rPr>
              <w:t>技术、商务要求偏离表.docx 项目组成员能力.docx 中小企业声明函 报价表 项目负责人能力.docx 响应文件封面 分项报价表.docx 残疾人福利性单位声明函 业绩证明材料.docx 标的清单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响应⽂件有效期满⾜采购⽂件要求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响应内容不存在漏项或数量与要求不符合采购⽂件规定情形，响应内容满⾜采购⽂件的商务、技术等实质性要求，不存在采购档次降低或影响采购性能、功能的情形；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技术、商务要求偏离表.docx 技术服务方案.docx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响应⽂件不含有采购⼈不能接受的附加条件</w:t>
            </w:r>
          </w:p>
        </w:tc>
        <w:tc>
          <w:tcPr>
            <w:tcW w:type="dxa" w:w="1661"/>
          </w:tcPr>
          <w:p>
            <w:pPr>
              <w:pStyle w:val="null3"/>
            </w:pPr>
            <w:r>
              <w:rPr>
                <w:rFonts w:ascii="仿宋_GB2312" w:hAnsi="仿宋_GB2312" w:cs="仿宋_GB2312" w:eastAsia="仿宋_GB2312"/>
              </w:rPr>
              <w:t>技术服务方案.docx 其他资料.docx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项⽬理解分析</w:t>
            </w:r>
          </w:p>
        </w:tc>
        <w:tc>
          <w:tcPr>
            <w:tcW w:type="dxa" w:w="2492"/>
          </w:tcPr>
          <w:p>
            <w:pPr>
              <w:pStyle w:val="null3"/>
            </w:pPr>
            <w:r>
              <w:rPr>
                <w:rFonts w:ascii="仿宋_GB2312" w:hAnsi="仿宋_GB2312" w:cs="仿宋_GB2312" w:eastAsia="仿宋_GB2312"/>
              </w:rPr>
              <w:t>⼀、评审内容 根据供应商提供的项⽬理解分析进⾏赋分，内容包括但不限于：（1）项⽬背景及现状了解程度； （2）服务内容及范围的理解程度；（3）对本项⽬采购需求的重点难点⼯作的把握与分析。⼆、评审标准 1.完整性：⽅案必须全⾯，对评审内容中的各项要求有详细描述； 2.可实施性：切合本项⽬实际情况，提出步骤清晰、合理的⽅案； 3.针对性：⽅案能够紧扣项⽬实际情况，内容科学合理。 三、赋分标准（满分9分）共3项内容，每项满分3分。 按照“评审标准”，每项评审内容每完全满⾜⼀项评审标准得1分，存在陷得0.5分，缺项不得分。 注：评审内容“缺陷”是指：内容粗略、逻辑混乱、描述过于简单、与项⽬特点不匹配、凭空编造、逻辑漏洞、出现常识性错误、存在不适⽤项⽬实际情况的情形或只有标题没有实质性内容、不利于本项⽬⽬标的实现等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国家层面的战略契合度</w:t>
            </w:r>
          </w:p>
        </w:tc>
        <w:tc>
          <w:tcPr>
            <w:tcW w:type="dxa" w:w="2492"/>
          </w:tcPr>
          <w:p>
            <w:pPr>
              <w:pStyle w:val="null3"/>
            </w:pPr>
            <w:r>
              <w:rPr>
                <w:rFonts w:ascii="仿宋_GB2312" w:hAnsi="仿宋_GB2312" w:cs="仿宋_GB2312" w:eastAsia="仿宋_GB2312"/>
              </w:rPr>
              <w:t>⼀、评审内容 为推动电⼦信息制造业产业向⾼端化、智能化、绿⾊化发展，并深度赋能数字经济战略，定位准确、导向鲜明，⽅案内容⾄少包含：（1）国家战略对接契合度；（2）⽅案定位与导向阐述。 ⼆、评审标准 1.完整性：⽅案必须全⾯，对评审内容中的各项要求有详细描述； 2.可实施性：切合本项⽬实际情况，提出步骤清晰、合理的⽅案； 3.针对性：⽅案能够紧扣项⽬实际情况，内容科学合理。三、赋分标准（满分6分）共2项内容，每项满分3分。 按照“评审标准”，每项评审内容每完全满⾜⼀项评审标准得1分，存在缺陷得0.5分，缺项不得分。 注：评审内容“缺陷”是指：内容粗略、逻辑混乱、描述过于简单、与项⽬特点不匹配、凭空编造、逻辑漏洞、出现常识性错误、存在不适⽤项⽬实际情况的情形或只有标题没有实质性内容、不利于本项⽬⽬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针对陕西省的产业特色</w:t>
            </w:r>
          </w:p>
        </w:tc>
        <w:tc>
          <w:tcPr>
            <w:tcW w:type="dxa" w:w="2492"/>
          </w:tcPr>
          <w:p>
            <w:pPr>
              <w:pStyle w:val="null3"/>
            </w:pPr>
            <w:r>
              <w:rPr>
                <w:rFonts w:ascii="仿宋_GB2312" w:hAnsi="仿宋_GB2312" w:cs="仿宋_GB2312" w:eastAsia="仿宋_GB2312"/>
              </w:rPr>
              <w:t>⼀、评审内容 ⽅案紧密结合陕西产业基础、资源禀赋与区域特⾊、定位精准、重点突出、举措贴合省情，内容⾄少包含：（1）研究框架完整性、逻辑性及层次性阐述；（2）陕西区位、资源、产业基础结合情况阐述；（3）⽅案定位、重点及举措与省情的贴合说明。 ⼆、赋分标准（满分9分） 共3项内容，每项满分3分。 按照“评审标准”，每项评审内容每完全满⾜⼀项评审标准得1分，存在缺陷得0.5分，缺项不得分。 注：评审内容“缺陷”是指：内容粗略、逻辑混乱、描述过于简单、与项⽬特点不匹配、凭空编造、逻辑 漏洞、出现常识性错误、存在不适⽤项⽬实际情况的情形或只有标题没有实质性内容、不利于本项⽬⽬标的实现等任意情形。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⼀、评审内容 根据供应商提供的技术服务⽅案进⾏赋分，内容包括但不限于： （1）开展调研、收集整理资料；（2）组织专题研讨、座谈和规划论证会议； ⼆、评审标准 1.完整性：⽅案必须全⾯，对评审内容中的各项要求有详细描述； 2.可实施性：切合本项⽬实际情况，提出步骤清晰、合理的⽅案； 3.针对性：⽅案能够紧扣项⽬实际情况，内容科学合理。 三、赋分标准（满分6分） 共2项内容，每项满分3分。 按照“评审标准”，每项评审内容每完全满⾜⼀项评审标准得1分，存在缺陷得0.5分，缺项不得分。 注：评审内容“缺陷”是指：内容粗略、逻辑混乱、描述过于简单、与项⽬特点不匹配、凭空编造、逻辑漏洞、出现常识性错误、存在不适⽤项⽬实际情况的情形或只有标题没有实质性内容、不利于本项⽬⽬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⼀、评审内容 根据供应商提供的实施⽅案进⾏赋分，内容包括但不限于：（1）进度管理；（2）质量管理； （3）组织实施；（4）保密范围、制度、⽅式及措施； ⼆、评审标准 1.完整性：⽅案必须全⾯，对评审内容中的各项要求有详细描述； 2.可实施性：切合本项⽬实际情况，提出步骤清晰、合理的⽅案； 3.针对性：⽅案能够紧扣项⽬实际情况，内容科学合理，未出现与项⽬⽆关的内容。 三、赋分标准（满分6分） 共4项内容，每项满分1.5分。 按照“评审标准”，每项评审内容每完全满⾜⼀项评审标准得0.5分，存在缺陷得0.2分，缺项不得分。 注：评审内容“缺陷”是指：内容粗略、逻辑混乱、描述过于简单、与项⽬特点不匹配、凭空编造、逻辑漏洞、出现常识性错误、存在不适⽤项⽬实际情况的情形或只有标题没有实质性内容、不利于本项⽬⽬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根据供应商提供的服务保障⽅案进⾏赋分，内容包括但不限于： （1）后续服务内容和范围； （2）后续服务计划； （3）服务响应时间； （4）服务质量承诺。 评审依据：⽅案各部分内容全⾯详细、阐述条理清晰详尽符合本项需求得4分；以上评审内容每缺⼀项扣1分；每⼀项评审内容有缺陷得0.5 分。注：评审内容“缺陷”是指：内容粗略、逻辑混乱、描述过于简单、与项⽬特点不匹配、凭空编造、逻辑漏洞、出现常识性错误、存在不适⽤项⽬实际情况的情形或只有标题没有实质性内容、不利于本项⽬⽬标的实现等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项目负责人能力</w:t>
            </w:r>
          </w:p>
        </w:tc>
        <w:tc>
          <w:tcPr>
            <w:tcW w:type="dxa" w:w="2492"/>
          </w:tcPr>
          <w:p>
            <w:pPr>
              <w:pStyle w:val="null3"/>
            </w:pPr>
            <w:r>
              <w:rPr>
                <w:rFonts w:ascii="仿宋_GB2312" w:hAnsi="仿宋_GB2312" w:cs="仿宋_GB2312" w:eastAsia="仿宋_GB2312"/>
              </w:rPr>
              <w:t>（1）项⽬负责⼈具有本项⽬相关专业正⾼级及以上技术职称的，得4分。未提供职称证书得0分。（2）项⽬负责⼈业绩：⾃2020年1⽉1⽇起⾄投标截⽌之⽇⽌（以中标（成交）通知书或合同签署的⽇期为准），参与完成过同类规划编制⽅案，每提供1份证明材料得3分，最⾼得6分。 注：附中标（成交）通知书或合同或研究成果或批复或验收意⻅或业主出具的履约证明等相关证明材料复印件或扫描件，材料需体现项⽬负责⼈的相关信息等实质性信息，如未体现则需另外提供甲⽅证明⽂件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项目负责人能力.docx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投⼊项⽬组其他⼈员（不含项⽬负责⼈），若具有硕⼠及以上学历证书或与本项⽬有关的⾼级技术职称证书，每项加1分，（同1⼈可累加，最多得2分）满分10分。未提供得0分。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供应商提供近五年（2021年6⽉1⽇起⾄今（以合同签订时间为准）具备类似项⽬业绩，每提供1个有效业绩得4分，满分20分。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 以本次最低有效磋商报价总价为基准价，其价格分为满分。报价得分 =（评审基准价∕总报价）×20%×100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详见附件：技术、商务要求偏离表.docx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详见附件：项目负责人能力.docx</w:t>
      </w:r>
    </w:p>
    <w:p>
      <w:pPr>
        <w:pStyle w:val="null3"/>
        <w:ind w:firstLine="960"/>
      </w:pPr>
      <w:r>
        <w:rPr>
          <w:rFonts w:ascii="仿宋_GB2312" w:hAnsi="仿宋_GB2312" w:cs="仿宋_GB2312" w:eastAsia="仿宋_GB2312"/>
        </w:rPr>
        <w:t>详见附件：项目组成员能力.docx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