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版本号：ZSZC-20260720260601001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石墩河镇迥龙寺村人居环境提升整治项目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ZSZC-202607</w:t>
      </w:r>
      <w:r>
        <w:br/>
      </w:r>
      <w:r>
        <w:br/>
      </w:r>
      <w:r>
        <w:br/>
      </w:r>
    </w:p>
    <w:p>
      <w:pPr>
        <w:pStyle w:val="null3"/>
        <w:jc w:val="center"/>
        <w:outlineLvl w:val="2"/>
      </w:pPr>
      <w:r>
        <w:rPr>
          <w:rFonts w:ascii="仿宋_GB2312" w:hAnsi="仿宋_GB2312" w:cs="仿宋_GB2312" w:eastAsia="仿宋_GB2312"/>
          <w:sz w:val="28"/>
          <w:b/>
        </w:rPr>
        <w:t>佛坪县石墩河镇人民政府</w:t>
      </w:r>
    </w:p>
    <w:p>
      <w:pPr>
        <w:pStyle w:val="null3"/>
        <w:jc w:val="center"/>
        <w:outlineLvl w:val="2"/>
      </w:pPr>
      <w:r>
        <w:rPr>
          <w:rFonts w:ascii="仿宋_GB2312" w:hAnsi="仿宋_GB2312" w:cs="仿宋_GB2312" w:eastAsia="仿宋_GB2312"/>
          <w:sz w:val="28"/>
          <w:b/>
        </w:rPr>
        <w:t>中陕工程咨询有限公司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中陕工程咨询有限公司</w:t>
      </w:r>
      <w:r>
        <w:rPr>
          <w:rFonts w:ascii="仿宋_GB2312" w:hAnsi="仿宋_GB2312" w:cs="仿宋_GB2312" w:eastAsia="仿宋_GB2312"/>
        </w:rPr>
        <w:t>（以下简称“代理机构”）受</w:t>
      </w:r>
      <w:r>
        <w:rPr>
          <w:rFonts w:ascii="仿宋_GB2312" w:hAnsi="仿宋_GB2312" w:cs="仿宋_GB2312" w:eastAsia="仿宋_GB2312"/>
        </w:rPr>
        <w:t>佛坪县石墩河镇人民政府</w:t>
      </w:r>
      <w:r>
        <w:rPr>
          <w:rFonts w:ascii="仿宋_GB2312" w:hAnsi="仿宋_GB2312" w:cs="仿宋_GB2312" w:eastAsia="仿宋_GB2312"/>
        </w:rPr>
        <w:t>委托，拟对</w:t>
      </w:r>
      <w:r>
        <w:rPr>
          <w:rFonts w:ascii="仿宋_GB2312" w:hAnsi="仿宋_GB2312" w:cs="仿宋_GB2312" w:eastAsia="仿宋_GB2312"/>
        </w:rPr>
        <w:t>石墩河镇迥龙寺村人居环境提升整治项目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ZSZC-202607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石墩河镇迥龙寺村人居环境提升整治项目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建设地点位于⽯墩河镇迴⻰寺村，建设内容为场地铺装1350平⽅⽶，新建挡墙1100⽴⽅⽶，新建⼊⼾道路175⽶(均宽3.5⽶，厚0.2⽶)，新建护栏304⽶等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采购包1（石墩河镇迥龙寺村人居环境提升整治项目）：属于专门面向中小企业采购。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供应商资质及拟派项目负责人资格：供应商须具有建设行政主管部门颁发的市政公用工程施工总承包三级及以上资质，具有有效的安全生产许可证；拟派项目经理须具有市政公用工程专业注册建造师二级及以上资格和安全生产考核合格B证，且无在建项目；</w:t>
      </w:r>
    </w:p>
    <w:p>
      <w:pPr>
        <w:pStyle w:val="null3"/>
      </w:pPr>
      <w:r>
        <w:rPr>
          <w:rFonts w:ascii="仿宋_GB2312" w:hAnsi="仿宋_GB2312" w:cs="仿宋_GB2312" w:eastAsia="仿宋_GB2312"/>
        </w:rPr>
        <w:t>4、资格承诺函：供应商应具备健全的财务会计制度、履行合同所需的设备和专业技术能力、依法缴纳税收和社会保障资 金，以及参加本项目采购活动前 3 年内经营活动无重大违法记录 ； 投标人未被列入“信用中国”网站(htt ps://www.creditchina.gov.cn)“失信被执行人”“重大税收违法案件当事人名单”中，也未列入“中国政 府采购网”(https://www.ccgp.gov.cn)的“政府采购严重违法失信行为记录名单 ”；拟参与本项目的投 标人应按照汉中市财政局《关于全面推行政府采购供应商基本资格条件承诺制的通知》 (汉财办采管(20 24)20 号)文件要求，提供满足相应条件的资格承诺函；</w:t>
      </w:r>
    </w:p>
    <w:p>
      <w:pPr>
        <w:pStyle w:val="null3"/>
      </w:pPr>
      <w:r>
        <w:rPr>
          <w:rFonts w:ascii="仿宋_GB2312" w:hAnsi="仿宋_GB2312" w:cs="仿宋_GB2312" w:eastAsia="仿宋_GB2312"/>
        </w:rPr>
        <w:t>5、本采购包专门面向中小企业采购：本项目专门面向中小企业采购,供应商须提供《中小企业声明函》，供应商为监狱企业的，应提供监狱企业的证明文件；供应商为残疾人福利性单位的，应提供《残疾人福利性单位声明函》 (监狱企业或残疾人福利性单位视同小型、微型企业)；</w:t>
      </w:r>
    </w:p>
    <w:p>
      <w:pPr>
        <w:pStyle w:val="null3"/>
      </w:pPr>
      <w:r>
        <w:rPr>
          <w:rFonts w:ascii="仿宋_GB2312" w:hAnsi="仿宋_GB2312" w:cs="仿宋_GB2312" w:eastAsia="仿宋_GB2312"/>
        </w:rPr>
        <w:t>6、关联关系：单位负责人为同一人或者存在控股、管理关系的不同单位不得同时参加，需提供书面声明；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佛坪县石墩河镇人民政府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佛坪县石墩河镇迴龙寺村后坪组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佛坪县石墩河镇人民政府经办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18791604270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中陕工程咨询有限公司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陕西省西安市碑林区陕西省西安市碑林区长安北路1号陕西国际会展大厦1幢1单元27层12701号房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18329465761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采购包1：997,648.20元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开户名称：中陕工程咨询有限公司汉中分公司</w:t>
            </w:r>
          </w:p>
          <w:p>
            <w:pPr>
              <w:pStyle w:val="null3"/>
            </w:pPr>
            <w:r>
              <w:rPr>
                <w:rFonts w:ascii="仿宋_GB2312" w:hAnsi="仿宋_GB2312" w:cs="仿宋_GB2312" w:eastAsia="仿宋_GB2312"/>
              </w:rPr>
              <w:t>开户银行：中国银行股份有限公司汉中陕西理工大学支行</w:t>
            </w:r>
          </w:p>
          <w:p>
            <w:pPr>
              <w:pStyle w:val="null3"/>
            </w:pPr>
            <w:r>
              <w:rPr>
                <w:rFonts w:ascii="仿宋_GB2312" w:hAnsi="仿宋_GB2312" w:cs="仿宋_GB2312" w:eastAsia="仿宋_GB2312"/>
              </w:rPr>
              <w:t>银行账号：103300926235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说明：合同签订后，成交供应商应于5个工作日内将履约保证金缴纳至佛坪县石墩河镇人民政府村组资金专户，账号：2706100401201000008755。项目竣工验收后，成交供应商可申请退还履约保证金。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[203]857号)和《国家发展改革委关于降低部分建设项目收费标准规范收费行为等有关问题的通知》(发改价格[2011]534号)文件的相关规定。 2、采购代理服务费的缴纳方式:在领取《成交通知书》时向采购代理机均一次性全额缴纳采购代理服务费。3、代理服务费的具体金额后续见本项目中标结果公告。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佛坪县石墩河镇人民政府</w:t>
      </w:r>
      <w:r>
        <w:rPr>
          <w:rFonts w:ascii="仿宋_GB2312" w:hAnsi="仿宋_GB2312" w:cs="仿宋_GB2312" w:eastAsia="仿宋_GB2312"/>
        </w:rPr>
        <w:t>和</w:t>
      </w:r>
      <w:r>
        <w:rPr>
          <w:rFonts w:ascii="仿宋_GB2312" w:hAnsi="仿宋_GB2312" w:cs="仿宋_GB2312" w:eastAsia="仿宋_GB2312"/>
        </w:rPr>
        <w:t>中陕工程咨询有限公司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佛坪县石墩河镇人民政府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中陕工程咨询有限公司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佛坪县石墩河镇人民政府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中陕工程咨询有限公司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中陕工程咨询有限公司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中陕工程咨询有限公司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中陕工程咨询有限公司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联系电话：18329465761</w:t>
      </w:r>
    </w:p>
    <w:p>
      <w:pPr>
        <w:pStyle w:val="null3"/>
      </w:pPr>
      <w:r>
        <w:rPr>
          <w:rFonts w:ascii="仿宋_GB2312" w:hAnsi="仿宋_GB2312" w:cs="仿宋_GB2312" w:eastAsia="仿宋_GB2312"/>
        </w:rPr>
        <w:t>地址：陕西省汉中市汉台区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997,648.20</w:t>
      </w:r>
    </w:p>
    <w:p>
      <w:pPr>
        <w:pStyle w:val="null3"/>
      </w:pPr>
      <w:r>
        <w:rPr>
          <w:rFonts w:ascii="仿宋_GB2312" w:hAnsi="仿宋_GB2312" w:cs="仿宋_GB2312" w:eastAsia="仿宋_GB2312"/>
        </w:rPr>
        <w:t>采购包最高限价（元）: 997,648.20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石墩河镇迥龙寺村人居环境提升整治项目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997,648.20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标的名称：石墩河镇迥龙寺村人居环境提升整治项目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工程概况：</w:t>
            </w:r>
          </w:p>
          <w:p>
            <w:pPr>
              <w:pStyle w:val="null3"/>
              <w:ind w:firstLine="420"/>
              <w:jc w:val="both"/>
            </w:pPr>
            <w:r>
              <w:rPr>
                <w:rFonts w:ascii="仿宋_GB2312" w:hAnsi="仿宋_GB2312" w:cs="仿宋_GB2312" w:eastAsia="仿宋_GB2312"/>
                <w:sz w:val="21"/>
              </w:rPr>
              <w:t>该项目建设地点位于陕西省汉中市</w:t>
            </w:r>
            <w:r>
              <w:rPr>
                <w:rFonts w:ascii="仿宋_GB2312" w:hAnsi="仿宋_GB2312" w:cs="仿宋_GB2312" w:eastAsia="仿宋_GB2312"/>
                <w:sz w:val="21"/>
              </w:rPr>
              <w:t>佛坪县石墩河镇迴龙寺村</w:t>
            </w:r>
            <w:r>
              <w:rPr>
                <w:rFonts w:ascii="仿宋_GB2312" w:hAnsi="仿宋_GB2312" w:cs="仿宋_GB2312" w:eastAsia="仿宋_GB2312"/>
                <w:sz w:val="21"/>
              </w:rPr>
              <w:t>，主要建设内容：</w:t>
            </w:r>
            <w:r>
              <w:rPr>
                <w:rFonts w:ascii="仿宋_GB2312" w:hAnsi="仿宋_GB2312" w:cs="仿宋_GB2312" w:eastAsia="仿宋_GB2312"/>
              </w:rPr>
              <w:t>场地铺装</w:t>
            </w:r>
            <w:r>
              <w:rPr>
                <w:rFonts w:ascii="仿宋_GB2312" w:hAnsi="仿宋_GB2312" w:cs="仿宋_GB2312" w:eastAsia="仿宋_GB2312"/>
              </w:rPr>
              <w:t>1350平方米，新建挡墙1100立方米，新建入户道路175米(均宽3.5米，厚0.2米)，新建护栏304米等</w:t>
            </w:r>
            <w:r>
              <w:rPr>
                <w:rFonts w:ascii="仿宋_GB2312" w:hAnsi="仿宋_GB2312" w:cs="仿宋_GB2312" w:eastAsia="仿宋_GB2312"/>
              </w:rPr>
              <w:t>，</w:t>
            </w:r>
            <w:r>
              <w:rPr>
                <w:rFonts w:ascii="仿宋_GB2312" w:hAnsi="仿宋_GB2312" w:cs="仿宋_GB2312" w:eastAsia="仿宋_GB2312"/>
                <w:sz w:val="21"/>
              </w:rPr>
              <w:t>具体内容详见工程量清单。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工期：</w:t>
            </w:r>
            <w:r>
              <w:rPr>
                <w:rFonts w:ascii="仿宋_GB2312" w:hAnsi="仿宋_GB2312" w:cs="仿宋_GB2312" w:eastAsia="仿宋_GB2312"/>
                <w:sz w:val="21"/>
                <w:color w:val="000000"/>
              </w:rPr>
              <w:t>90</w:t>
            </w:r>
            <w:r>
              <w:rPr>
                <w:rFonts w:ascii="仿宋_GB2312" w:hAnsi="仿宋_GB2312" w:cs="仿宋_GB2312" w:eastAsia="仿宋_GB2312"/>
                <w:sz w:val="21"/>
                <w:color w:val="000000"/>
              </w:rPr>
              <w:t>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工程质量：合格。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以磋商文件要求为准。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 推行政府采购供应商基本 资格条件承诺制的通知》 (汉财办采 (2024)20号)文件要求，提供满足相应条件的资格承诺函；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汉中市政府采购供应商资格承诺函.docx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市政公用工程施工总承包三级及以上资质，具有有效的安全生产许可证；拟派项目经理须具有市政公用工程专业注册建造师二级及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 金，以及参加本项目采购活动前 3 年内经营活动无重大违法记录 ； 投标人未被列入“信用中国”网站(htt ps://www.creditchina.gov.cn)“失信被执行人”“重大税收违法案件当事人名单”中，也未列入“中国政 府采购网”(https://www.ccgp.gov.cn)的“政府采购严重违法失信行为记录名单 ”；拟参与本项目的投 标人应按照汉中市财政局《关于全面推行政府采购供应商基本资格条件承诺制的通知》 (汉财办采管(20 24)20 号)文件要求，提供满足相应条件的资格承诺函；</w:t>
            </w:r>
          </w:p>
        </w:tc>
        <w:tc>
          <w:tcPr>
            <w:tcW w:type="dxa" w:w="1661"/>
          </w:tcPr>
          <w:p>
            <w:pPr>
              <w:pStyle w:val="null3"/>
            </w:pPr>
            <w:r>
              <w:rPr>
                <w:rFonts w:ascii="仿宋_GB2312" w:hAnsi="仿宋_GB2312" w:cs="仿宋_GB2312" w:eastAsia="仿宋_GB2312"/>
              </w:rPr>
              <w:t>供应商应提交的相关资格证明材料 响应函 汉中市政府采购供应商资格承诺函.docx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本项目专门面向中小企业采购,供应商须提供《中小企业声明函》，供应商为监狱企业的，应提供监狱企业的证明文件；供应商为残疾人福利性单位的，应提供《残疾人福利性单位声明函》 (监狱企业或残疾人福利性单位视同小型、微型企业)；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技术部分方案.docx 汉中市政府采购供应商资格承诺函.docx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响应报价符合性</w:t>
            </w:r>
          </w:p>
        </w:tc>
        <w:tc>
          <w:tcPr>
            <w:tcW w:type="dxa" w:w="3322"/>
          </w:tcPr>
          <w:p>
            <w:pPr>
              <w:pStyle w:val="null3"/>
            </w:pPr>
            <w:r>
              <w:rPr>
                <w:rFonts w:ascii="仿宋_GB2312" w:hAnsi="仿宋_GB2312" w:cs="仿宋_GB2312" w:eastAsia="仿宋_GB2312"/>
              </w:rPr>
              <w:t>供应商响应文件报价符合竞争性磋商文件的要求</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工期与质量</w:t>
            </w:r>
          </w:p>
        </w:tc>
        <w:tc>
          <w:tcPr>
            <w:tcW w:type="dxa" w:w="3322"/>
          </w:tcPr>
          <w:p>
            <w:pPr>
              <w:pStyle w:val="null3"/>
            </w:pPr>
            <w:r>
              <w:rPr>
                <w:rFonts w:ascii="仿宋_GB2312" w:hAnsi="仿宋_GB2312" w:cs="仿宋_GB2312" w:eastAsia="仿宋_GB2312"/>
              </w:rPr>
              <w:t>供应商响应文件载明的采购项目完成期限未超过竞争性磋商文件规定的时限，质量符合竞争性磋商文件要求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根据供应商制定的项目施工方案及措施进行综合评审。 1.施工方案完整详细、有针对性，完全满足项目实施，具有优化建议的得[8-10]分； 2.施工方案完整，可行，有针对性，能满足项目实施的全部要求的得[5-8）分； 3.施工方案非专门针对本项目，存在逻辑漏洞或前后内容不一致的得[2-5）分； 4.施工方案有较大缺陷，或完全套用其他项目且内容较少的得（0-2）分；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 1.措施计划详细齐全、合理且切实可行，完全满足采购人需求，具有优化建议的得[8-10]分； 2.措施计划齐全、合理、切实可行，满足采购人需求得[5-8）分； 3.措施计划非专门针对本项目，存在逻辑漏洞或前后内容不一致的得[2-5）分； 4.措施计划有较大缺陷，或完全套用其他项目且内容较少的得（0-2）分；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 1.提供具体详细、有针对性的安全作业方案及安全配套措施，完全符合采购人安全作业要求且具有优化建议的，得[8-10]分； 2.提供安全作业方案及安全配套措施，符合采购人安全作业的要求，得[5-8）分； 3.提供的安全作业方案及安全配套措施非专门针对本项目，套用其他项目内容，存在逻辑漏洞或前后内容不一致的得[2-5）分； 4.提供的安全作业方案及安全配套措施简陋，存在不利于采购人安全作业要求实现的，得（0-2）分。5.未提供得0分。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 1.措施计划详细齐全、合理且切实可行，完全满足采购人需求，具有优化建议的得[8-10]分； 2.措施计划齐全、合理、切实可行，满足采购人需求得[5-8）分； 3.措施计划非专门针对本项目，存在逻辑漏洞或前后内容不一致的得[2-5）分； 4.措施计划有较大缺陷，或完全套用其他项目且内容较少的得（0-2）分；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根据供应商制定的文明施工措施计划进行综合评审。1.措施计划详细齐全、合理且切实可行，完全满足采购人需求，具有优化建议的得[8-10]分； 2.措施计划齐全、合理、切实可行，满足采购人需求得[5-8）分； 3.措施计划非专门针对本项目，存在逻辑漏洞或前后内容不一致的得[2-5）分； 4.措施计划有较大缺陷，或完全套用其他项目且内容较少得（0-2）分；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根据供应商提供的项目组织管理机构配备进行综合评审。 1.机构设置合理完善，人员配备齐全，技术经验丰富，人员专业性强，完全满足项目需求得[8-10]分； 2.机构设置合理，人员配备齐全，且具备从业经验，满足项目需求得[5-8）分； 3.机构设置非专门针对本项目，人员配备、技术经验有缺陷的得[2-5）分；4.机构设置、人员配备不完整，或无相关经验的得（0-2）分；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提供2023年至今类似项目业绩，响应文件中附有其业绩证明材料（中标通知书或合同复印件加盖公章）每提供一个计2.5分，满分5分。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质量保修承诺完整、合理及后续服务条款具体、可行，得[2-5）分；质量保修承诺含糊及后续服务条款基本可行，得（0-2）分，未提供不计分。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