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版本号：DQA-2026030-ZB20260509001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金属丝材3D打印装备、高剪切真空搅拌与连铸一体化装备、高温氧化装备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DQA-2026030-ZB</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金属丝材3D打印装备、高剪切真空搅拌与连铸一体化装备、高温氧化装备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DQA-2026030-ZB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金属丝材3D打印装备、高剪切真空搅拌与连铸一体化装备、高温氧化装备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本项目拟采购金属丝材3D打印装备、高剪切真空搅拌与连铸一体化装备、高温氧化装备。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银行账号：52880188000157728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 2.中标人如期履约完成且不存在其他任何违约责任，采购人无息由原缴费账户退还履约保证金全款。 3.若中标人未能按照合同约定履行，则采购人有权全额扣除履约保证金，并保留追究中标人违约相关的法律责任。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代理服务费收费标准：中标供应商在领取中标通知书前，须向采购代理机构一次性支付采购代理服务费，采购代理服务费按照中标金额的0.69%计取。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本项目拟采购金属丝材3D打印装备、高剪切真空搅拌与连铸一体化装备、高温氧化装备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1,840,000.00</w:t>
      </w:r>
    </w:p>
    <w:p>
      <w:pPr>
        <w:pStyle w:val="null3"/>
      </w:pPr>
      <w:r>
        <w:rPr>
          <w:rFonts w:ascii="仿宋_GB2312" w:hAnsi="仿宋_GB2312" w:cs="仿宋_GB2312" w:eastAsia="仿宋_GB2312"/>
        </w:rPr>
        <w:t>采购包最高限价（元）: 1,840,000.00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金属丝材3D打印装备高剪切真空搅拌与连铸一体化装备高温氧化装备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标的名称：金属丝材3D打印装备高剪切真空搅拌与连铸一体化装备高温氧化装备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9"/>
              <w:gridCol w:w="268"/>
              <w:gridCol w:w="1266"/>
              <w:gridCol w:w="159"/>
              <w:gridCol w:w="159"/>
              <w:gridCol w:w="541"/>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技术指标要求</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最高限价（单价）（元）</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金属丝材</w:t>
                  </w:r>
                  <w:r>
                    <w:rPr>
                      <w:rFonts w:ascii="仿宋_GB2312" w:hAnsi="仿宋_GB2312" w:cs="仿宋_GB2312" w:eastAsia="仿宋_GB2312"/>
                      <w:sz w:val="19"/>
                    </w:rPr>
                    <w:t>3D打印装备(核心产品)</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19"/>
                    </w:rPr>
                    <w:t>.▲设备以碳钢、不锈钢、钛合金、铝合金、镍基合金等为材料；可适配丝径≥0.8mm；</w:t>
                  </w:r>
                </w:p>
                <w:p>
                  <w:pPr>
                    <w:pStyle w:val="null3"/>
                    <w:jc w:val="left"/>
                  </w:pPr>
                  <w:r>
                    <w:rPr>
                      <w:rFonts w:ascii="仿宋_GB2312" w:hAnsi="仿宋_GB2312" w:cs="仿宋_GB2312" w:eastAsia="仿宋_GB2312"/>
                      <w:sz w:val="19"/>
                    </w:rPr>
                    <w:t>2.▲打印舱含氧量≤100ppm；</w:t>
                  </w:r>
                </w:p>
                <w:p>
                  <w:pPr>
                    <w:pStyle w:val="null3"/>
                    <w:jc w:val="left"/>
                  </w:pPr>
                  <w:r>
                    <w:rPr>
                      <w:rFonts w:ascii="仿宋_GB2312" w:hAnsi="仿宋_GB2312" w:cs="仿宋_GB2312" w:eastAsia="仿宋_GB2312"/>
                      <w:sz w:val="19"/>
                    </w:rPr>
                    <w:t>3.设备打印空间≥260mm×260mm×300mm，运动精度≤0.05mm，设备运动轴数≥3；</w:t>
                  </w:r>
                </w:p>
                <w:p>
                  <w:pPr>
                    <w:pStyle w:val="null3"/>
                    <w:jc w:val="left"/>
                  </w:pPr>
                  <w:r>
                    <w:rPr>
                      <w:rFonts w:ascii="仿宋_GB2312" w:hAnsi="仿宋_GB2312" w:cs="仿宋_GB2312" w:eastAsia="仿宋_GB2312"/>
                      <w:sz w:val="19"/>
                    </w:rPr>
                    <w:t>4.设备配备多激光耦合控制操作软件平台以及路径规划软件；</w:t>
                  </w:r>
                </w:p>
                <w:p>
                  <w:pPr>
                    <w:pStyle w:val="null3"/>
                    <w:jc w:val="left"/>
                  </w:pPr>
                  <w:r>
                    <w:rPr>
                      <w:rFonts w:ascii="仿宋_GB2312" w:hAnsi="仿宋_GB2312" w:cs="仿宋_GB2312" w:eastAsia="仿宋_GB2312"/>
                      <w:sz w:val="19"/>
                    </w:rPr>
                    <w:t>5.▲配备设备控制系统，可显示激光功率、打印速度、送丝速度、能量密度、热输入、层间控温温度参数数据；</w:t>
                  </w:r>
                </w:p>
                <w:p>
                  <w:pPr>
                    <w:pStyle w:val="null3"/>
                    <w:jc w:val="left"/>
                  </w:pPr>
                  <w:r>
                    <w:rPr>
                      <w:rFonts w:ascii="仿宋_GB2312" w:hAnsi="仿宋_GB2312" w:cs="仿宋_GB2312" w:eastAsia="仿宋_GB2312"/>
                      <w:sz w:val="19"/>
                    </w:rPr>
                    <w:t>6.设备控制系统显示XYZ轴以及送丝轴数实时数据，同时显示保护气速度、丝材余量、沉积效率和打印预估时间；</w:t>
                  </w:r>
                </w:p>
                <w:p>
                  <w:pPr>
                    <w:pStyle w:val="null3"/>
                    <w:jc w:val="left"/>
                  </w:pPr>
                  <w:r>
                    <w:rPr>
                      <w:rFonts w:ascii="仿宋_GB2312" w:hAnsi="仿宋_GB2312" w:cs="仿宋_GB2312" w:eastAsia="仿宋_GB2312"/>
                      <w:sz w:val="19"/>
                    </w:rPr>
                    <w:t>7.▲设备控制系统显示当前打印路径程序的总程序行数、当前程序行以及具体程序段内容，并提供从控制系统中编辑程序按钮；</w:t>
                  </w:r>
                </w:p>
                <w:p>
                  <w:pPr>
                    <w:pStyle w:val="null3"/>
                    <w:jc w:val="left"/>
                  </w:pPr>
                  <w:r>
                    <w:rPr>
                      <w:rFonts w:ascii="仿宋_GB2312" w:hAnsi="仿宋_GB2312" w:cs="仿宋_GB2312" w:eastAsia="仿宋_GB2312"/>
                      <w:sz w:val="19"/>
                    </w:rPr>
                    <w:t>8.设备送丝速度、激光光斑能量密度需与打印速度和方向耦合；</w:t>
                  </w:r>
                </w:p>
                <w:p>
                  <w:pPr>
                    <w:pStyle w:val="null3"/>
                    <w:jc w:val="left"/>
                  </w:pPr>
                  <w:r>
                    <w:rPr>
                      <w:rFonts w:ascii="仿宋_GB2312" w:hAnsi="仿宋_GB2312" w:cs="仿宋_GB2312" w:eastAsia="仿宋_GB2312"/>
                      <w:sz w:val="19"/>
                    </w:rPr>
                    <w:t>9.▲热成像仪：热成像相机扫描像素≥256×192、热成像相机测温范围约-20℃~650℃；</w:t>
                  </w:r>
                </w:p>
                <w:p>
                  <w:pPr>
                    <w:pStyle w:val="null3"/>
                    <w:jc w:val="left"/>
                  </w:pPr>
                  <w:r>
                    <w:rPr>
                      <w:rFonts w:ascii="仿宋_GB2312" w:hAnsi="仿宋_GB2312" w:cs="仿宋_GB2312" w:eastAsia="仿宋_GB2312"/>
                      <w:sz w:val="19"/>
                    </w:rPr>
                    <w:t>10.▲熔池相机，可观察熔池过渡过程，帧率≥60fps，观察尺寸≥20×20mm，动态范围≥60dB，分辨率：≥1440×1080；</w:t>
                  </w:r>
                </w:p>
                <w:p>
                  <w:pPr>
                    <w:pStyle w:val="null3"/>
                    <w:jc w:val="left"/>
                  </w:pPr>
                  <w:r>
                    <w:rPr>
                      <w:rFonts w:ascii="仿宋_GB2312" w:hAnsi="仿宋_GB2312" w:cs="仿宋_GB2312" w:eastAsia="仿宋_GB2312"/>
                      <w:sz w:val="19"/>
                    </w:rPr>
                    <w:t>11.配备送丝机，丝舱具备丝材称重和余量监测功能；</w:t>
                  </w:r>
                </w:p>
                <w:p>
                  <w:pPr>
                    <w:pStyle w:val="null3"/>
                    <w:jc w:val="left"/>
                  </w:pPr>
                  <w:r>
                    <w:rPr>
                      <w:rFonts w:ascii="仿宋_GB2312" w:hAnsi="仿宋_GB2312" w:cs="仿宋_GB2312" w:eastAsia="仿宋_GB2312"/>
                      <w:sz w:val="19"/>
                    </w:rPr>
                    <w:t>12.具备局部气体保护功能；</w:t>
                  </w:r>
                </w:p>
                <w:p>
                  <w:pPr>
                    <w:pStyle w:val="null3"/>
                    <w:jc w:val="left"/>
                  </w:pPr>
                  <w:r>
                    <w:rPr>
                      <w:rFonts w:ascii="仿宋_GB2312" w:hAnsi="仿宋_GB2312" w:cs="仿宋_GB2312" w:eastAsia="仿宋_GB2312"/>
                      <w:sz w:val="19"/>
                    </w:rPr>
                    <w:t>13.激光送丝增材沉积效率≥0.8kg/h；</w:t>
                  </w:r>
                </w:p>
                <w:p>
                  <w:pPr>
                    <w:pStyle w:val="null3"/>
                    <w:jc w:val="left"/>
                  </w:pPr>
                  <w:r>
                    <w:rPr>
                      <w:rFonts w:ascii="仿宋_GB2312" w:hAnsi="仿宋_GB2312" w:cs="仿宋_GB2312" w:eastAsia="仿宋_GB2312"/>
                      <w:sz w:val="19"/>
                    </w:rPr>
                    <w:t>14.设备自带可调空间位置的操作面板；</w:t>
                  </w:r>
                </w:p>
                <w:p>
                  <w:pPr>
                    <w:pStyle w:val="null3"/>
                    <w:jc w:val="left"/>
                  </w:pPr>
                  <w:r>
                    <w:rPr>
                      <w:rFonts w:ascii="仿宋_GB2312" w:hAnsi="仿宋_GB2312" w:cs="仿宋_GB2312" w:eastAsia="仿宋_GB2312"/>
                      <w:sz w:val="19"/>
                    </w:rPr>
                    <w:t>15.设备支持数据接口；</w:t>
                  </w:r>
                </w:p>
                <w:p>
                  <w:pPr>
                    <w:pStyle w:val="null3"/>
                    <w:jc w:val="left"/>
                  </w:pPr>
                  <w:r>
                    <w:rPr>
                      <w:rFonts w:ascii="仿宋_GB2312" w:hAnsi="仿宋_GB2312" w:cs="仿宋_GB2312" w:eastAsia="仿宋_GB2312"/>
                      <w:sz w:val="19"/>
                    </w:rPr>
                    <w:t>16.▲选择增材沉积头水-气-光-丝-电五路集成，具备局部气体保护功能等；</w:t>
                  </w:r>
                </w:p>
                <w:p>
                  <w:pPr>
                    <w:pStyle w:val="null3"/>
                    <w:jc w:val="left"/>
                  </w:pPr>
                  <w:r>
                    <w:rPr>
                      <w:rFonts w:ascii="仿宋_GB2312" w:hAnsi="仿宋_GB2312" w:cs="仿宋_GB2312" w:eastAsia="仿宋_GB2312"/>
                      <w:sz w:val="19"/>
                    </w:rPr>
                    <w:t>17.▲激光增材头可承受激光功率≥1200W，激光镜组镜头可承受功率≥250W，激光类型为半导体激光器等。</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1,000,000.00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高剪切真空搅拌与连铸一体化装备</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1.搅拌炉容积：≥5Kg；</w:t>
                  </w:r>
                </w:p>
                <w:p>
                  <w:pPr>
                    <w:pStyle w:val="null3"/>
                    <w:jc w:val="left"/>
                  </w:pPr>
                  <w:r>
                    <w:rPr>
                      <w:rFonts w:ascii="仿宋_GB2312" w:hAnsi="仿宋_GB2312" w:cs="仿宋_GB2312" w:eastAsia="仿宋_GB2312"/>
                      <w:sz w:val="19"/>
                    </w:rPr>
                    <w:t>2.坩埚材质：石墨或陶瓷等；</w:t>
                  </w:r>
                </w:p>
                <w:p>
                  <w:pPr>
                    <w:pStyle w:val="null3"/>
                    <w:jc w:val="left"/>
                  </w:pPr>
                  <w:r>
                    <w:rPr>
                      <w:rFonts w:ascii="仿宋_GB2312" w:hAnsi="仿宋_GB2312" w:cs="仿宋_GB2312" w:eastAsia="仿宋_GB2312"/>
                      <w:sz w:val="19"/>
                    </w:rPr>
                    <w:t>3.搅拌转速可调，可适用于半固态搅拌需求，搅拌杆材质：碳化硅或石墨等；</w:t>
                  </w:r>
                </w:p>
                <w:p>
                  <w:pPr>
                    <w:pStyle w:val="null3"/>
                    <w:jc w:val="left"/>
                  </w:pPr>
                  <w:r>
                    <w:rPr>
                      <w:rFonts w:ascii="仿宋_GB2312" w:hAnsi="仿宋_GB2312" w:cs="仿宋_GB2312" w:eastAsia="仿宋_GB2312"/>
                      <w:sz w:val="19"/>
                    </w:rPr>
                    <w:t>4.加热方式：电阻加热或感应加热等；</w:t>
                  </w:r>
                </w:p>
                <w:p>
                  <w:pPr>
                    <w:pStyle w:val="null3"/>
                    <w:jc w:val="left"/>
                  </w:pPr>
                  <w:r>
                    <w:rPr>
                      <w:rFonts w:ascii="仿宋_GB2312" w:hAnsi="仿宋_GB2312" w:cs="仿宋_GB2312" w:eastAsia="仿宋_GB2312"/>
                      <w:sz w:val="19"/>
                    </w:rPr>
                    <w:t>5.真空度：压力表抽到底，显示数值为-0.1MPa；</w:t>
                  </w:r>
                </w:p>
                <w:p>
                  <w:pPr>
                    <w:pStyle w:val="null3"/>
                    <w:jc w:val="left"/>
                  </w:pPr>
                  <w:r>
                    <w:rPr>
                      <w:rFonts w:ascii="仿宋_GB2312" w:hAnsi="仿宋_GB2312" w:cs="仿宋_GB2312" w:eastAsia="仿宋_GB2312"/>
                      <w:sz w:val="19"/>
                    </w:rPr>
                    <w:t>6.最高温度：≥1300℃，设备功率：约30~40KW；</w:t>
                  </w:r>
                </w:p>
                <w:p>
                  <w:pPr>
                    <w:pStyle w:val="null3"/>
                    <w:jc w:val="left"/>
                  </w:pPr>
                  <w:r>
                    <w:rPr>
                      <w:rFonts w:ascii="仿宋_GB2312" w:hAnsi="仿宋_GB2312" w:cs="仿宋_GB2312" w:eastAsia="仿宋_GB2312"/>
                      <w:sz w:val="19"/>
                    </w:rPr>
                    <w:t>7.炉内作业方式：连铸优先或倾倒方式；</w:t>
                  </w:r>
                </w:p>
                <w:p>
                  <w:pPr>
                    <w:pStyle w:val="null3"/>
                    <w:jc w:val="left"/>
                  </w:pPr>
                  <w:r>
                    <w:rPr>
                      <w:rFonts w:ascii="仿宋_GB2312" w:hAnsi="仿宋_GB2312" w:cs="仿宋_GB2312" w:eastAsia="仿宋_GB2312"/>
                      <w:sz w:val="19"/>
                    </w:rPr>
                    <w:t>8.冷却方式：水冷等；</w:t>
                  </w:r>
                </w:p>
                <w:p>
                  <w:pPr>
                    <w:pStyle w:val="null3"/>
                    <w:jc w:val="left"/>
                  </w:pPr>
                  <w:r>
                    <w:rPr>
                      <w:rFonts w:ascii="仿宋_GB2312" w:hAnsi="仿宋_GB2312" w:cs="仿宋_GB2312" w:eastAsia="仿宋_GB2312"/>
                      <w:sz w:val="19"/>
                    </w:rPr>
                    <w:t>9.安全装置：水压过低保护、水温过高保护、水断流报警，核心配件应具备双高效感应加热电源，水电分离结构。</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420,000.00</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高温氧化装备</w:t>
                  </w:r>
                </w:p>
              </w:tc>
              <w:tc>
                <w:tcPr>
                  <w:tcW w:type="dxa" w:w="1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1.炉型：立式结构 前部开门；</w:t>
                  </w:r>
                </w:p>
                <w:p>
                  <w:pPr>
                    <w:pStyle w:val="null3"/>
                    <w:jc w:val="left"/>
                  </w:pPr>
                  <w:r>
                    <w:rPr>
                      <w:rFonts w:ascii="仿宋_GB2312" w:hAnsi="仿宋_GB2312" w:cs="仿宋_GB2312" w:eastAsia="仿宋_GB2312"/>
                      <w:sz w:val="19"/>
                    </w:rPr>
                    <w:t>2.加热方式：石墨；</w:t>
                  </w:r>
                </w:p>
                <w:p>
                  <w:pPr>
                    <w:pStyle w:val="null3"/>
                    <w:jc w:val="left"/>
                  </w:pPr>
                  <w:r>
                    <w:rPr>
                      <w:rFonts w:ascii="仿宋_GB2312" w:hAnsi="仿宋_GB2312" w:cs="仿宋_GB2312" w:eastAsia="仿宋_GB2312"/>
                      <w:sz w:val="19"/>
                    </w:rPr>
                    <w:t>3.▲最高温度：≥2000℃；</w:t>
                  </w:r>
                </w:p>
                <w:p>
                  <w:pPr>
                    <w:pStyle w:val="null3"/>
                    <w:jc w:val="left"/>
                  </w:pPr>
                  <w:r>
                    <w:rPr>
                      <w:rFonts w:ascii="仿宋_GB2312" w:hAnsi="仿宋_GB2312" w:cs="仿宋_GB2312" w:eastAsia="仿宋_GB2312"/>
                      <w:sz w:val="19"/>
                    </w:rPr>
                    <w:t>4.有效工作区尺寸： ≥Ф160×160 mm (D×H)；</w:t>
                  </w:r>
                </w:p>
                <w:p>
                  <w:pPr>
                    <w:pStyle w:val="null3"/>
                    <w:jc w:val="left"/>
                  </w:pPr>
                  <w:r>
                    <w:rPr>
                      <w:rFonts w:ascii="仿宋_GB2312" w:hAnsi="仿宋_GB2312" w:cs="仿宋_GB2312" w:eastAsia="仿宋_GB2312"/>
                      <w:sz w:val="19"/>
                    </w:rPr>
                    <w:t>5.压头直径： ≥Ф85mm；</w:t>
                  </w:r>
                </w:p>
                <w:p>
                  <w:pPr>
                    <w:pStyle w:val="null3"/>
                    <w:jc w:val="left"/>
                  </w:pPr>
                  <w:r>
                    <w:rPr>
                      <w:rFonts w:ascii="仿宋_GB2312" w:hAnsi="仿宋_GB2312" w:cs="仿宋_GB2312" w:eastAsia="仿宋_GB2312"/>
                      <w:sz w:val="19"/>
                    </w:rPr>
                    <w:t>6.▲最大压力：≥20T (数显、自动调压、自动保压)；</w:t>
                  </w:r>
                </w:p>
                <w:p>
                  <w:pPr>
                    <w:pStyle w:val="null3"/>
                    <w:jc w:val="left"/>
                  </w:pPr>
                  <w:r>
                    <w:rPr>
                      <w:rFonts w:ascii="仿宋_GB2312" w:hAnsi="仿宋_GB2312" w:cs="仿宋_GB2312" w:eastAsia="仿宋_GB2312"/>
                      <w:sz w:val="19"/>
                    </w:rPr>
                    <w:t>7.压力波动范围：≤±50KG，位移显示精度±0.02 mm；</w:t>
                  </w:r>
                </w:p>
                <w:p>
                  <w:pPr>
                    <w:pStyle w:val="null3"/>
                    <w:jc w:val="left"/>
                  </w:pPr>
                  <w:r>
                    <w:rPr>
                      <w:rFonts w:ascii="仿宋_GB2312" w:hAnsi="仿宋_GB2312" w:cs="仿宋_GB2312" w:eastAsia="仿宋_GB2312"/>
                      <w:sz w:val="19"/>
                    </w:rPr>
                    <w:t>8.压头最大位移：≥100 mm (数显)；</w:t>
                  </w:r>
                </w:p>
                <w:p>
                  <w:pPr>
                    <w:pStyle w:val="null3"/>
                    <w:jc w:val="left"/>
                  </w:pPr>
                  <w:r>
                    <w:rPr>
                      <w:rFonts w:ascii="仿宋_GB2312" w:hAnsi="仿宋_GB2312" w:cs="仿宋_GB2312" w:eastAsia="仿宋_GB2312"/>
                      <w:sz w:val="19"/>
                    </w:rPr>
                    <w:t>9.液压控制：电动；</w:t>
                  </w:r>
                </w:p>
                <w:p>
                  <w:pPr>
                    <w:pStyle w:val="null3"/>
                    <w:jc w:val="left"/>
                  </w:pPr>
                  <w:r>
                    <w:rPr>
                      <w:rFonts w:ascii="仿宋_GB2312" w:hAnsi="仿宋_GB2312" w:cs="仿宋_GB2312" w:eastAsia="仿宋_GB2312"/>
                      <w:sz w:val="19"/>
                    </w:rPr>
                    <w:t>10.▲空炉冷态极限真空度：≤7×10</w:t>
                  </w:r>
                  <w:r>
                    <w:rPr>
                      <w:rFonts w:ascii="仿宋_GB2312" w:hAnsi="仿宋_GB2312" w:cs="仿宋_GB2312" w:eastAsia="仿宋_GB2312"/>
                      <w:sz w:val="21"/>
                      <w:vertAlign w:val="superscript"/>
                    </w:rPr>
                    <w:t>-2</w:t>
                  </w:r>
                  <w:r>
                    <w:rPr>
                      <w:rFonts w:ascii="仿宋_GB2312" w:hAnsi="仿宋_GB2312" w:cs="仿宋_GB2312" w:eastAsia="仿宋_GB2312"/>
                      <w:sz w:val="19"/>
                    </w:rPr>
                    <w:t>Pa；</w:t>
                  </w:r>
                </w:p>
                <w:p>
                  <w:pPr>
                    <w:pStyle w:val="null3"/>
                    <w:jc w:val="left"/>
                  </w:pPr>
                  <w:r>
                    <w:rPr>
                      <w:rFonts w:ascii="仿宋_GB2312" w:hAnsi="仿宋_GB2312" w:cs="仿宋_GB2312" w:eastAsia="仿宋_GB2312"/>
                      <w:sz w:val="19"/>
                    </w:rPr>
                    <w:t>11.压升率： ≤ 3.0Pa/h；</w:t>
                  </w:r>
                </w:p>
                <w:p>
                  <w:pPr>
                    <w:pStyle w:val="null3"/>
                    <w:jc w:val="left"/>
                  </w:pPr>
                  <w:r>
                    <w:rPr>
                      <w:rFonts w:ascii="仿宋_GB2312" w:hAnsi="仿宋_GB2312" w:cs="仿宋_GB2312" w:eastAsia="仿宋_GB2312"/>
                      <w:sz w:val="19"/>
                    </w:rPr>
                    <w:t>12.温度控制方式：钨套管保护铼热电偶；</w:t>
                  </w:r>
                </w:p>
                <w:p>
                  <w:pPr>
                    <w:pStyle w:val="null3"/>
                    <w:jc w:val="left"/>
                  </w:pPr>
                  <w:r>
                    <w:rPr>
                      <w:rFonts w:ascii="仿宋_GB2312" w:hAnsi="仿宋_GB2312" w:cs="仿宋_GB2312" w:eastAsia="仿宋_GB2312"/>
                      <w:sz w:val="19"/>
                    </w:rPr>
                    <w:t>13.温度控制精度：±1℃（≥600℃以上）；</w:t>
                  </w:r>
                </w:p>
                <w:p>
                  <w:pPr>
                    <w:pStyle w:val="null3"/>
                    <w:jc w:val="left"/>
                  </w:pPr>
                  <w:r>
                    <w:rPr>
                      <w:rFonts w:ascii="仿宋_GB2312" w:hAnsi="仿宋_GB2312" w:cs="仿宋_GB2312" w:eastAsia="仿宋_GB2312"/>
                      <w:sz w:val="19"/>
                    </w:rPr>
                    <w:t>14.气氛保护：氩气、氮气等；</w:t>
                  </w:r>
                </w:p>
                <w:p>
                  <w:pPr>
                    <w:pStyle w:val="null3"/>
                    <w:jc w:val="left"/>
                  </w:pPr>
                  <w:r>
                    <w:rPr>
                      <w:rFonts w:ascii="仿宋_GB2312" w:hAnsi="仿宋_GB2312" w:cs="仿宋_GB2312" w:eastAsia="仿宋_GB2312"/>
                      <w:sz w:val="19"/>
                    </w:rPr>
                    <w:t>15.充气压力 (微正压)： ≤ 0.015MPa；</w:t>
                  </w:r>
                </w:p>
                <w:p>
                  <w:pPr>
                    <w:pStyle w:val="null3"/>
                    <w:jc w:val="left"/>
                  </w:pPr>
                  <w:r>
                    <w:rPr>
                      <w:rFonts w:ascii="仿宋_GB2312" w:hAnsi="仿宋_GB2312" w:cs="仿宋_GB2312" w:eastAsia="仿宋_GB2312"/>
                      <w:sz w:val="19"/>
                    </w:rPr>
                    <w:t>16.▲控制系统:≥15寸液晶触摸屏及 PLC 为核心；</w:t>
                  </w:r>
                </w:p>
                <w:p>
                  <w:pPr>
                    <w:pStyle w:val="null3"/>
                    <w:jc w:val="left"/>
                  </w:pPr>
                  <w:r>
                    <w:rPr>
                      <w:rFonts w:ascii="仿宋_GB2312" w:hAnsi="仿宋_GB2312" w:cs="仿宋_GB2312" w:eastAsia="仿宋_GB2312"/>
                      <w:sz w:val="19"/>
                    </w:rPr>
                    <w:t>17.同时具备氧化后试样的轧制功能：厚度范围30mm～0.5mm，成品厚度公差±0.5mm，压片宽度≤150mm，转速0-20m/min，可调速。</w:t>
                  </w:r>
                </w:p>
                <w:p>
                  <w:pPr>
                    <w:pStyle w:val="null3"/>
                    <w:jc w:val="left"/>
                  </w:pPr>
                  <w:r>
                    <w:rPr>
                      <w:rFonts w:ascii="仿宋_GB2312" w:hAnsi="仿宋_GB2312" w:cs="仿宋_GB2312" w:eastAsia="仿宋_GB2312"/>
                      <w:sz w:val="19"/>
                    </w:rPr>
                    <w:t>18.轧制设备压轴尺寸约（D*L）220*300mm；</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420,000.00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合同签订之日起90日历日内在西安工业大学未央校区交货安装验收完毕。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1.验收标准及方法：采购设备的验收流程包括：到货验收、安装调试、试运行、最终验收。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 安装调试：在确认设备符合要求后，由中标人进行设备的安装和调试，确保设备能够正常运行。 试运行：设备安装调试完成后，通常会进入试运行期。本项目运行期为1周，试运行期间，如果出现质量问题，中标人需负责修复或更换货物。试运行结束后，由采购人组织正式验收。 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 2.培训要求：中标人须负责开展培训服务，供应商须为每台设备提供不少于1-2个工作日的现场专业培训。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供应商须为每台设备提供不少于1-2个工作日的现场专业培训。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1）投标人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投标人公章。（3）线下投标文件递交截止时间与线上开评标时间一致。（4）纸质投标文件可邮寄递交，应于递交投标文件截止时间前邮寄到西安市高新区丈八一路1号汇鑫中心D座2206室（陕西德勤招标有限公司）。 3、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人须在文件递交截止时间前按照指定账户再次提交。 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同时需提供被授权人开标前3个月内任意1个月的社保缴纳证明（依法不需要缴纳社保的被授权人应提供相关证明）。法人的分支机构参与投标时，除提供《法定代表人授权委托书》外，还须同时提供总公司给分支机构出具的授权书。招标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1.评审中出现下列情形之一的，评标委员会应当启动异常低价投标审查程序： 1.1投标报价低于全部通过符合性审查供应商投标报价平均值50%的，即投标报价&lt;全部通过符合性审查供应商投标报价平均值×50%； 1.2投标报价低于通过符合性审查的次低报价供应商投标报价50%的，即投标报价&lt;通过符合性审查的次低报价供应商投标报价×50%； 1.3投标报价低于采购项目最高限价45%的，即投标报价&lt;采购项目最高限价×45%； 1.4评标委员会基于专业判断，认为供应商报价过低，有可能影响产品质量或者不能诚信履约的其他情形。 2.相关法律法规对供应商报价有规定的，从其规定。 3.评标委员会启动异常低价投标审查后，属于（1）中第（1.1）项至第（1.4）项情形的，应当要求相关供应商在30分钟内对投标价格作出解释，提供项目具体成本测算等与报价合理性相关的书面说明及必要的证明材料，包括但不限于原材料成本、人工成本、制造费用等。其中，属于第（1.3）项情形，供应商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（4）未超出采购预算或招标文件规定的最高限价（包括单价最高限价）。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保证金汇款声明函 分项报价表 中小企业声明函 商务应答表 技术方案 控股管理关系 法定代表人授权书 投标人应提交的相关资格证明材料 近三年无重大违法、违纪书面声明 产品技术参数表 投标函 残疾人福利性单位声明函 标的清单 非联合体不分包投标声明 关于符合本国产品标准的声明函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招标文件要求，满足使用需求，计40分。结合规格、技术参数偏离表的响应证明材料，按招标文件内配置最低要求，每出现1个负偏离，扣0.5分，带“▲”号指标项每出现1个负偏离扣2分。扣完为止。投标人须按招标文件要求提供带“▲”号指标项的证明材料（证明材料包括但不限于第三方机构出具的检测报告或功能截图或产品说明书或技术参数白皮书等，加盖投标人公章），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4分，每有一项缺项内容扣1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