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版本号：ZQYX-HC-2026-05220260715001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2026年代家坝镇良种淫羊藿基地建设项目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ZQYX-HC-2026-052</w:t>
      </w:r>
      <w:r>
        <w:br/>
      </w:r>
      <w:r>
        <w:br/>
      </w:r>
      <w:r>
        <w:br/>
      </w:r>
    </w:p>
    <w:p>
      <w:pPr>
        <w:pStyle w:val="null3"/>
        <w:jc w:val="center"/>
        <w:outlineLvl w:val="2"/>
      </w:pPr>
      <w:r>
        <w:rPr>
          <w:rFonts w:ascii="仿宋_GB2312" w:hAnsi="仿宋_GB2312" w:cs="仿宋_GB2312" w:eastAsia="仿宋_GB2312"/>
          <w:sz w:val="28"/>
          <w:b/>
        </w:rPr>
        <w:t>宁强县代家坝镇人民政府</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宁强县代家坝镇人民政府</w:t>
      </w:r>
      <w:r>
        <w:rPr>
          <w:rFonts w:ascii="仿宋_GB2312" w:hAnsi="仿宋_GB2312" w:cs="仿宋_GB2312" w:eastAsia="仿宋_GB2312"/>
        </w:rPr>
        <w:t>委托，拟对</w:t>
      </w:r>
      <w:r>
        <w:rPr>
          <w:rFonts w:ascii="仿宋_GB2312" w:hAnsi="仿宋_GB2312" w:cs="仿宋_GB2312" w:eastAsia="仿宋_GB2312"/>
        </w:rPr>
        <w:t>2026年代家坝镇良种淫羊藿基地建设项目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2026年代家坝镇良种淫羊藿基地建设项目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良种淫羊藿基地（总黄酮醇苷含量不低于8%，种苗单株苗高10公分以上、5片叶以上、根系5厘米以上、芽孢2个以上）200亩（其中两河口村40亩、元坝子村40亩、何家营村40亩、麻柳湾村40亩、赵家营村40亩）。每亩种植密度不低于6000株/亩，1200000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采购包1（2026年代家坝镇良种淫羊藿基地建设项目）：属于专门面向中小企业采购。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2、授权代表：法定代表人参加磋商的，提供本人身份证复印件并出示身份证扫描件；法定代表人授权他人参加磋商的，提供法定代表人委托授权书并出示被授权代表的身份证扫描件。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宁强县代家坝镇人民政府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宁强县代家坝镇街民村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0916-4455306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陕西省汉中市汉台区汉中路街道办西环南路祥瑞四季印象多层区商业楼2层203号营业房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开户银行：中国农业银行汉中西环路支行</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代理服务费收费标准：参考《招标代理服务收费管理暂⾏办法》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宁强县代家坝镇人民政府</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宁强县代家坝镇人民政府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宁强县代家坝镇人民政府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①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②供应商将在采购项⽬实施过程中采⽤⾃有或者第三⽅知识成果的，使⽤该知识成果后，供应商需提供开发接⼝和开发⼿册等技术资料，并承诺提供⽆限期⽀持，采购⼈享有使⽤权（含采购⼈委托第三⽅在该项⽬后续 开发的使⽤权）。③如采⽤供应商所不拥有的知识产权，则在报价中必须包括合法使⽤该知识产权的相关费⽤。④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联系人：陈默</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地址：陕西省汉中市汉台区汉中路街道办西环南路祥瑞四季印象多层区商业楼2层203号营业房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良种淫羊藿基地（总黄酮醇苷含量不低于8%，种苗单株苗高10公分以上、5片叶以上、根系5厘米以上、芽孢2个以上）200亩（其中两河口村40亩、元坝子村40亩、何家营村40亩、麻柳湾村40亩、赵家营村40亩）。每亩种植密度不低于6000株/亩，1200000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2026年代家坝镇良种淫羊藿基地建设项目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标的名称：2026年代家坝镇良种淫羊藿基地建设项目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新建良种淫羊藿基地（总黄酮醇苷含量不低于8%，种苗单株苗高10公分以上、5片叶以上、根系5厘米以上、芽孢2个以上）200亩（其中两河口村40亩、元坝子村40亩、何家营村40亩、麻柳湾村40亩、赵家营村40亩）。每亩种植密度不低于6000株/亩，1200000株。</w:t>
            </w:r>
          </w:p>
          <w:p>
            <w:pPr>
              <w:pStyle w:val="null3"/>
            </w:pPr>
            <w:r>
              <w:rPr>
                <w:rFonts w:ascii="仿宋_GB2312" w:hAnsi="仿宋_GB2312" w:cs="仿宋_GB2312" w:eastAsia="仿宋_GB2312"/>
              </w:rPr>
              <w:t>2 、总黄酮醇苷含量不低于8%，按照供货批次提供含量检测报告。种苗单株苗高10公分以上、5片叶以上、根系5厘米以上、芽孢2个以上。</w:t>
            </w:r>
          </w:p>
          <w:p>
            <w:pPr>
              <w:pStyle w:val="null3"/>
            </w:pPr>
            <w:r>
              <w:rPr>
                <w:rFonts w:ascii="仿宋_GB2312" w:hAnsi="仿宋_GB2312" w:cs="仿宋_GB2312" w:eastAsia="仿宋_GB2312"/>
              </w:rPr>
              <w:t>3、合同签订后6个月内完成全部种苗种植工作，验收合格后移交采购人。</w:t>
            </w:r>
          </w:p>
          <w:p>
            <w:pPr>
              <w:pStyle w:val="null3"/>
            </w:pPr>
            <w:r>
              <w:rPr>
                <w:rFonts w:ascii="仿宋_GB2312" w:hAnsi="仿宋_GB2312" w:cs="仿宋_GB2312" w:eastAsia="仿宋_GB2312"/>
              </w:rPr>
              <w:t>4、移交后6个月为质保管护期，保证成活率100%。</w:t>
            </w:r>
          </w:p>
          <w:p>
            <w:pPr>
              <w:pStyle w:val="null3"/>
            </w:pPr>
            <w:r>
              <w:rPr>
                <w:rFonts w:ascii="仿宋_GB2312" w:hAnsi="仿宋_GB2312" w:cs="仿宋_GB2312" w:eastAsia="仿宋_GB2312"/>
              </w:rPr>
              <w:t>5、供应商报价包含良种淫羊藿种苗、土地平整、施肥、防草设施铺设、种苗种植费用等相关一切费用。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进度款，种苗种植日起，达到付款条件起20个工作日内，支付合同总金额的50.0%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以双方约定合同内容解决。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以款项实际足额到达指定账户为准。若供应商提交保证金后因转账失误、账户信息错误、转账延迟、金额不足等自身或第三方原因导致保证⾦未能按期⾜额到账，均视为未按要求缴纳磋商保证⾦，由此产⽣的响应⽆效、资格不予认可、错失磋商参与资格等全部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法定代表人参加磋商的，提供本人身份证复印件并出示身份证扫描件；法定代表人授权他人参加磋商的，提供法定代表人委托授权书并出示被授权代表的身份证扫描件。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符合文件要求， 响应文件内容齐全、无遗漏。</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中小企业声明函 商务应答表 服务承诺.docx 服务内容及服务要求应答表 业绩、人员、设备.docx 报价表 响应文件封面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提供2023年1月1日至今供应商类似项目的业绩（中药材种植等农业相关业绩），响应文件中附业绩合同复印件，每份2.5分，满分5分。评审依据：以响应文件中提供的合同复印件为准。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评审标准：供应商提供拟投入本项目的种植养护设备清单及对应权属证明（购置发票或租赁合同），每提供 1 类核心设备得 5 分，满分20分。 核心设备限定范围：整地类（旋耕机、微耕机、播种机等）、灌溉类（喷灌 / 滴灌设备、抽水设备）、植保类（病虫害防治喷雾器、杀虫灯）、辅助类（发电机、种苗保温设备等）；同类别设备不重复计分。 评审依据：设备清单，购置发票或权属证明复印件（加盖供应商公章）。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业绩、人员、设备.docx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 ①书面承诺栽植后种苗成活率100%，且免费补植质保管护期不低于12个月的，得5分； ②书面承诺为采购方提供免费种植技术培训与后期养护指导的，得5分；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提供的实施方案内容包括：①种苗采购供应②林下栽植技术③项目组织与人员安排④运输管理等，内容完整且满⾜采购需求的得12分，每项内容分值3分，每缺⼀项内容扣3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针对本项⽬提供的质量保证方案内容包括：①种苗质量管控②栽植过程质量管控措施③成活率保障与补植机制④验收与移交方案等，内容完整且满⾜采购需求的得12分，每项内容分值3分，每缺⼀项内容扣3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供应商针对本项⽬提供的种植日常维护和管理内容包含：①整体进度及关键节点计划②分区域作业计划③日常养护管理进度计划④进度保障措施等，内容完整且满⾜采购需求的得8分，每项内容分值2分，每缺⼀项内容扣2分，每项内容中每有⼀处缺陷扣0.5分，单项扣完为⽌。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种苗供应应急方案②气象灾害应急方案③病虫害应急处置方案④运输与储存应急措施等，内容完整且满⾜采购需求的得8分，每项内容分值2分，每缺⼀项内容扣2分，每项内容中每有⼀处缺陷扣0.5分，单项扣完为止。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在采购预算内且满足采购文件要求且磋商报价最低的供应商的价格为基准价，其价格分为10分。各供应商的价格分统一按照下列公式计算：价格分=（基准价/投标响应报价）*10* 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详见附件：业绩、人员、设备.docx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