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版本号：YDCZB-2600420260508001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知识产权纠纷调解工作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YDCZB-26004</w:t>
      </w:r>
      <w:r>
        <w:br/>
      </w:r>
      <w:r>
        <w:br/>
      </w:r>
      <w:r>
        <w:br/>
      </w:r>
    </w:p>
    <w:p>
      <w:pPr>
        <w:pStyle w:val="null3"/>
        <w:jc w:val="center"/>
        <w:outlineLvl w:val="2"/>
      </w:pPr>
      <w:r>
        <w:rPr>
          <w:rFonts w:ascii="仿宋_GB2312" w:hAnsi="仿宋_GB2312" w:cs="仿宋_GB2312" w:eastAsia="仿宋_GB2312"/>
          <w:sz w:val="28"/>
          <w:b/>
        </w:rPr>
        <w:t>陕西省知识产权保护中心</w:t>
      </w:r>
    </w:p>
    <w:p>
      <w:pPr>
        <w:pStyle w:val="null3"/>
        <w:jc w:val="center"/>
        <w:outlineLvl w:val="2"/>
      </w:pPr>
      <w:r>
        <w:rPr>
          <w:rFonts w:ascii="仿宋_GB2312" w:hAnsi="仿宋_GB2312" w:cs="仿宋_GB2312" w:eastAsia="仿宋_GB2312"/>
          <w:sz w:val="28"/>
          <w:b/>
        </w:rPr>
        <w:t>西安壹鼎城招标有限公司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知识产权纠纷调解工作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YDCZB-26004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知识产权纠纷调解工作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知识产权纠纷调解工作，1项，采购预算：350000.00元。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采购包1（知识产权纠纷调解工作）：属于专门面向中小企业采购。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3、税收缴纳证明：提供2025年6月至今已缴纳的至少一个月的纳税证明，依法免税的单位应提供相关证明材料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9、供应商资质：供应商须具有司法行政管理部门核发并经年审合格的《律师事务所执业许可证》</w:t>
      </w:r>
    </w:p>
    <w:p>
      <w:pPr>
        <w:pStyle w:val="null3"/>
      </w:pPr>
      <w:r>
        <w:rPr>
          <w:rFonts w:ascii="仿宋_GB2312" w:hAnsi="仿宋_GB2312" w:cs="仿宋_GB2312" w:eastAsia="仿宋_GB2312"/>
        </w:rPr>
        <w:t>10、拟派项目负责人：具有司法部门颁发的律师执业证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李晨萍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不足捌仟元的按捌仟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地址：陕西省西安市高新区沣惠南路18号西格玛大厦 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陕西省知识产权保护中心纠纷调解工作。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陕西省知识产权保护中心知识产权纠纷调解工作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标的名称：陕西省知识产权保护中心知识产权纠纷调解工作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项目名称</w:t>
            </w:r>
          </w:p>
          <w:p>
            <w:pPr>
              <w:pStyle w:val="null3"/>
              <w:ind w:firstLine="640"/>
            </w:pPr>
            <w:r>
              <w:rPr>
                <w:rFonts w:ascii="仿宋_GB2312" w:hAnsi="仿宋_GB2312" w:cs="仿宋_GB2312" w:eastAsia="仿宋_GB2312"/>
                <w:sz w:val="20"/>
              </w:rPr>
              <w:t>知识产权纠纷调解工作</w:t>
            </w:r>
            <w:r>
              <w:rPr>
                <w:rFonts w:ascii="仿宋_GB2312" w:hAnsi="仿宋_GB2312" w:cs="仿宋_GB2312" w:eastAsia="仿宋_GB2312"/>
                <w:sz w:val="20"/>
              </w:rPr>
              <w:t>。</w:t>
            </w:r>
          </w:p>
          <w:p>
            <w:pPr>
              <w:pStyle w:val="null3"/>
            </w:pPr>
            <w:r>
              <w:rPr>
                <w:rFonts w:ascii="仿宋_GB2312" w:hAnsi="仿宋_GB2312" w:cs="仿宋_GB2312" w:eastAsia="仿宋_GB2312"/>
                <w:sz w:val="20"/>
              </w:rPr>
              <w:t>二、</w:t>
            </w:r>
            <w:r>
              <w:rPr>
                <w:rFonts w:ascii="仿宋_GB2312" w:hAnsi="仿宋_GB2312" w:cs="仿宋_GB2312" w:eastAsia="仿宋_GB2312"/>
                <w:sz w:val="20"/>
              </w:rPr>
              <w:t>项目背景及可行性</w:t>
            </w:r>
          </w:p>
          <w:p>
            <w:pPr>
              <w:pStyle w:val="null3"/>
              <w:ind w:firstLine="400"/>
              <w:jc w:val="both"/>
            </w:pPr>
            <w:r>
              <w:rPr>
                <w:rFonts w:ascii="仿宋_GB2312" w:hAnsi="仿宋_GB2312" w:cs="仿宋_GB2312" w:eastAsia="仿宋_GB2312"/>
                <w:sz w:val="20"/>
              </w:rPr>
              <w:t>（一）项目背景</w:t>
            </w:r>
          </w:p>
          <w:p>
            <w:pPr>
              <w:pStyle w:val="null3"/>
              <w:ind w:firstLine="640"/>
            </w:pPr>
            <w:r>
              <w:rPr>
                <w:rFonts w:ascii="仿宋_GB2312" w:hAnsi="仿宋_GB2312" w:cs="仿宋_GB2312" w:eastAsia="仿宋_GB2312"/>
                <w:sz w:val="20"/>
              </w:rPr>
              <w:t>根据国家级保护中心工作要求及工作职能，调解工作为快速维权工作的重要组成部分。开展陕西省知识产权纠纷诉前调解、诉中调解和人民调解</w:t>
            </w:r>
            <w:r>
              <w:rPr>
                <w:rFonts w:ascii="仿宋_GB2312" w:hAnsi="仿宋_GB2312" w:cs="仿宋_GB2312" w:eastAsia="仿宋_GB2312"/>
                <w:sz w:val="20"/>
              </w:rPr>
              <w:t>工作，是陕西保护中心快速维权工作重要组成部分。当前知识产权领域矛盾纠纷日益增长，调解作为根植于我国传统的纠纷化解机制，因便捷性、灵活性、高效性等特点使其成为重要的非诉讼纠纷解决途径。</w:t>
            </w:r>
          </w:p>
          <w:p>
            <w:pPr>
              <w:pStyle w:val="null3"/>
              <w:ind w:firstLine="400"/>
            </w:pPr>
            <w:r>
              <w:rPr>
                <w:rFonts w:ascii="仿宋_GB2312" w:hAnsi="仿宋_GB2312" w:cs="仿宋_GB2312" w:eastAsia="仿宋_GB2312"/>
                <w:sz w:val="20"/>
              </w:rPr>
              <w:t>（二）</w:t>
            </w:r>
            <w:r>
              <w:rPr>
                <w:rFonts w:ascii="仿宋_GB2312" w:hAnsi="仿宋_GB2312" w:cs="仿宋_GB2312" w:eastAsia="仿宋_GB2312"/>
                <w:sz w:val="20"/>
              </w:rPr>
              <w:t>项目可行性</w:t>
            </w:r>
          </w:p>
          <w:p>
            <w:pPr>
              <w:pStyle w:val="null3"/>
              <w:ind w:firstLine="640"/>
            </w:pPr>
            <w:r>
              <w:rPr>
                <w:rFonts w:ascii="仿宋_GB2312" w:hAnsi="仿宋_GB2312" w:cs="仿宋_GB2312" w:eastAsia="仿宋_GB2312"/>
                <w:sz w:val="20"/>
              </w:rPr>
              <w:t>《知识产权强国建设纲要（</w:t>
            </w:r>
            <w:r>
              <w:rPr>
                <w:rFonts w:ascii="仿宋_GB2312" w:hAnsi="仿宋_GB2312" w:cs="仿宋_GB2312" w:eastAsia="仿宋_GB2312"/>
                <w:sz w:val="20"/>
              </w:rPr>
              <w:t>2021-2035</w:t>
            </w:r>
            <w:r>
              <w:rPr>
                <w:rFonts w:ascii="仿宋_GB2312" w:hAnsi="仿宋_GB2312" w:cs="仿宋_GB2312" w:eastAsia="仿宋_GB2312"/>
                <w:sz w:val="20"/>
              </w:rPr>
              <w:t>年）》明确提出“健全知识产权纠纷多元化解决机制，加强调解工作规范化建设”；最高人民法院《关于人民法院进一步深化多元化纠纷解决机制改革的意见》将知识产权纠纷调解纳入诉调对接重点领域。陕西省知识产权纠纷调解项目符合国家政策导向和社会需求。通过引进专业机构，能够有效解决当前调解工作中遇到的实际困难，提升调解工作效率和专业支撑。</w:t>
            </w:r>
          </w:p>
          <w:p>
            <w:pPr>
              <w:pStyle w:val="null3"/>
            </w:pPr>
            <w:r>
              <w:rPr>
                <w:rFonts w:ascii="仿宋_GB2312" w:hAnsi="仿宋_GB2312" w:cs="仿宋_GB2312" w:eastAsia="仿宋_GB2312"/>
                <w:sz w:val="20"/>
              </w:rPr>
              <w:t>三、</w:t>
            </w:r>
            <w:r>
              <w:rPr>
                <w:rFonts w:ascii="仿宋_GB2312" w:hAnsi="仿宋_GB2312" w:cs="仿宋_GB2312" w:eastAsia="仿宋_GB2312"/>
                <w:sz w:val="20"/>
              </w:rPr>
              <w:t>项目内容</w:t>
            </w:r>
          </w:p>
          <w:p>
            <w:pPr>
              <w:pStyle w:val="null3"/>
              <w:ind w:firstLine="640"/>
            </w:pPr>
            <w:r>
              <w:rPr>
                <w:rFonts w:ascii="仿宋_GB2312" w:hAnsi="仿宋_GB2312" w:cs="仿宋_GB2312" w:eastAsia="仿宋_GB2312"/>
                <w:sz w:val="20"/>
              </w:rPr>
              <w:t xml:space="preserve">1. </w:t>
            </w:r>
            <w:r>
              <w:rPr>
                <w:rFonts w:ascii="仿宋_GB2312" w:hAnsi="仿宋_GB2312" w:cs="仿宋_GB2312" w:eastAsia="仿宋_GB2312"/>
                <w:sz w:val="20"/>
              </w:rPr>
              <w:t>开展知识产权案件诉前调解、诉中调解和人民调解的相关工作，引进专业机构协助保护中心提高调解工作效率，解决目前调解工作中遇到的实际困难。主要针对专利、商标、著作权、反不正当竞争、商业秘密等涉及知识产权方面的纠纷开展调解工作，同时做好矛盾纠纷排查化解工作。</w:t>
            </w:r>
          </w:p>
          <w:p>
            <w:pPr>
              <w:pStyle w:val="null3"/>
              <w:ind w:firstLine="400"/>
              <w:jc w:val="both"/>
            </w:pPr>
            <w:r>
              <w:rPr>
                <w:rFonts w:ascii="仿宋_GB2312" w:hAnsi="仿宋_GB2312" w:cs="仿宋_GB2312" w:eastAsia="仿宋_GB2312"/>
                <w:sz w:val="20"/>
              </w:rPr>
              <w:t xml:space="preserve">2. </w:t>
            </w:r>
            <w:r>
              <w:rPr>
                <w:rFonts w:ascii="仿宋_GB2312" w:hAnsi="仿宋_GB2312" w:cs="仿宋_GB2312" w:eastAsia="仿宋_GB2312"/>
                <w:sz w:val="20"/>
              </w:rPr>
              <w:t>根据开展的知识产权案件诉前调解、诉中调解和人民调解的相关工作情况，编写</w:t>
            </w:r>
            <w:r>
              <w:rPr>
                <w:rFonts w:ascii="仿宋_GB2312" w:hAnsi="仿宋_GB2312" w:cs="仿宋_GB2312" w:eastAsia="仿宋_GB2312"/>
                <w:sz w:val="20"/>
              </w:rPr>
              <w:t>《陕西省</w:t>
            </w:r>
            <w:r>
              <w:rPr>
                <w:rFonts w:ascii="仿宋_GB2312" w:hAnsi="仿宋_GB2312" w:cs="仿宋_GB2312" w:eastAsia="仿宋_GB2312"/>
                <w:sz w:val="20"/>
              </w:rPr>
              <w:t>陕西省知识产权保护中心知识产权纠纷调解工作</w:t>
            </w:r>
            <w:r>
              <w:rPr>
                <w:rFonts w:ascii="仿宋_GB2312" w:hAnsi="仿宋_GB2312" w:cs="仿宋_GB2312" w:eastAsia="仿宋_GB2312"/>
                <w:sz w:val="20"/>
              </w:rPr>
              <w:t>年度报告》。</w:t>
            </w:r>
            <w:r>
              <w:rPr>
                <w:rFonts w:ascii="仿宋_GB2312" w:hAnsi="仿宋_GB2312" w:cs="仿宋_GB2312" w:eastAsia="仿宋_GB2312"/>
                <w:sz w:val="20"/>
              </w:rPr>
              <w:t>旨在加强知识产权保护体系建设，完善知识产权纠纷多元化解机制，充分发挥调解在化解知识产权领域矛盾纠纷中的重要作用，为我省优化营商环境、激发社会创新活力提供必要支撑。</w:t>
            </w:r>
          </w:p>
          <w:p>
            <w:pPr>
              <w:pStyle w:val="null3"/>
            </w:pPr>
            <w:r>
              <w:rPr>
                <w:rFonts w:ascii="仿宋_GB2312" w:hAnsi="仿宋_GB2312" w:cs="仿宋_GB2312" w:eastAsia="仿宋_GB2312"/>
                <w:sz w:val="20"/>
              </w:rPr>
              <w:t>四、</w:t>
            </w:r>
            <w:r>
              <w:rPr>
                <w:rFonts w:ascii="仿宋_GB2312" w:hAnsi="仿宋_GB2312" w:cs="仿宋_GB2312" w:eastAsia="仿宋_GB2312"/>
                <w:sz w:val="20"/>
              </w:rPr>
              <w:t>项目成果</w:t>
            </w:r>
          </w:p>
          <w:p>
            <w:pPr>
              <w:pStyle w:val="null3"/>
              <w:ind w:firstLine="400"/>
              <w:jc w:val="both"/>
            </w:pPr>
            <w:r>
              <w:rPr>
                <w:rFonts w:ascii="仿宋_GB2312" w:hAnsi="仿宋_GB2312" w:cs="仿宋_GB2312" w:eastAsia="仿宋_GB2312"/>
                <w:sz w:val="20"/>
              </w:rPr>
              <w:t>开展陕西省</w:t>
            </w:r>
            <w:r>
              <w:rPr>
                <w:rFonts w:ascii="仿宋_GB2312" w:hAnsi="仿宋_GB2312" w:cs="仿宋_GB2312" w:eastAsia="仿宋_GB2312"/>
                <w:sz w:val="20"/>
              </w:rPr>
              <w:t>陕西省知识产权保护中心知识产权纠纷调解工作</w:t>
            </w:r>
            <w:r>
              <w:rPr>
                <w:rFonts w:ascii="仿宋_GB2312" w:hAnsi="仿宋_GB2312" w:cs="仿宋_GB2312" w:eastAsia="仿宋_GB2312"/>
                <w:sz w:val="20"/>
              </w:rPr>
              <w:t>，受理知识产权纠纷调解案件不少于</w:t>
            </w:r>
            <w:r>
              <w:rPr>
                <w:rFonts w:ascii="仿宋_GB2312" w:hAnsi="仿宋_GB2312" w:cs="仿宋_GB2312" w:eastAsia="仿宋_GB2312"/>
                <w:sz w:val="20"/>
              </w:rPr>
              <w:t xml:space="preserve">400 </w:t>
            </w:r>
            <w:r>
              <w:rPr>
                <w:rFonts w:ascii="仿宋_GB2312" w:hAnsi="仿宋_GB2312" w:cs="仿宋_GB2312" w:eastAsia="仿宋_GB2312"/>
                <w:sz w:val="20"/>
              </w:rPr>
              <w:t>件、办结不低于</w:t>
            </w:r>
            <w:r>
              <w:rPr>
                <w:rFonts w:ascii="仿宋_GB2312" w:hAnsi="仿宋_GB2312" w:cs="仿宋_GB2312" w:eastAsia="仿宋_GB2312"/>
                <w:sz w:val="20"/>
              </w:rPr>
              <w:t xml:space="preserve">380 </w:t>
            </w:r>
            <w:r>
              <w:rPr>
                <w:rFonts w:ascii="仿宋_GB2312" w:hAnsi="仿宋_GB2312" w:cs="仿宋_GB2312" w:eastAsia="仿宋_GB2312"/>
                <w:sz w:val="20"/>
              </w:rPr>
              <w:t>件，参与开展具体案件调解工作（含诉前调解、诉中调解、人民调解等），并填写完整的调解案件系列表单。根据调解工作开展情况编写《陕西省</w:t>
            </w:r>
            <w:r>
              <w:rPr>
                <w:rFonts w:ascii="仿宋_GB2312" w:hAnsi="仿宋_GB2312" w:cs="仿宋_GB2312" w:eastAsia="仿宋_GB2312"/>
                <w:sz w:val="20"/>
              </w:rPr>
              <w:t>陕西省知识产权保护中心知识产权纠纷调解工作</w:t>
            </w:r>
            <w:r>
              <w:rPr>
                <w:rFonts w:ascii="仿宋_GB2312" w:hAnsi="仿宋_GB2312" w:cs="仿宋_GB2312" w:eastAsia="仿宋_GB2312"/>
                <w:sz w:val="20"/>
              </w:rPr>
              <w:t>年度报告》。</w:t>
            </w:r>
          </w:p>
          <w:p>
            <w:pPr>
              <w:pStyle w:val="null3"/>
            </w:pPr>
            <w:r>
              <w:rPr>
                <w:rFonts w:ascii="仿宋_GB2312" w:hAnsi="仿宋_GB2312" w:cs="仿宋_GB2312" w:eastAsia="仿宋_GB2312"/>
                <w:sz w:val="20"/>
              </w:rPr>
              <w:t>五、</w:t>
            </w:r>
            <w:r>
              <w:rPr>
                <w:rFonts w:ascii="仿宋_GB2312" w:hAnsi="仿宋_GB2312" w:cs="仿宋_GB2312" w:eastAsia="仿宋_GB2312"/>
                <w:sz w:val="20"/>
              </w:rPr>
              <w:t>项目周期</w:t>
            </w:r>
          </w:p>
          <w:p>
            <w:pPr>
              <w:pStyle w:val="null3"/>
            </w:pPr>
            <w:r>
              <w:rPr>
                <w:rFonts w:ascii="仿宋_GB2312" w:hAnsi="仿宋_GB2312" w:cs="仿宋_GB2312" w:eastAsia="仿宋_GB2312"/>
                <w:sz w:val="20"/>
              </w:rPr>
              <w:t>本项目在</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12</w:t>
            </w:r>
            <w:r>
              <w:rPr>
                <w:rFonts w:ascii="仿宋_GB2312" w:hAnsi="仿宋_GB2312" w:cs="仿宋_GB2312" w:eastAsia="仿宋_GB2312"/>
                <w:sz w:val="20"/>
              </w:rPr>
              <w:t>月底之前完成。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其内容包括是否按照采购人要求进行服务、是否在规定时间内服务完毕。其他事项：（1）服务商向采购人提供服务过程中的所有资料,以便采购人日后管理。（2）交付依据：①磋商文件、磋商响应文件、澄清表（函）； ②本合同及附件文本；③国家相应的标准、规范。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项目成果交付后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3.4.1（响应文件格式-标的清单）本项目服务范围：知识产权纠纷调解工作；服务要求：符合磋商文件有关技术、商务要求；服务标准：符合国家和省、市有关行业标准及采购人的有关规定。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供应商须具有司法行政管理部门核发并经年审合格的《律师事务所执业许可证》</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具有司法部门颁发的律师执业证</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根据本项目采购需求，提供相应的整体服务方案，方案内容包括但不限于①服务目标②服务内容③服务方法④服务标准等进行综合评审 前述要求的内容均有描述且符合本项目要求的得20分；每缺少一项要求的方案内容扣5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根据本项目采购需求，提供相应的质量保证方案，内容包括但不限于①质量管理体系②质量保障方法及措施等进行综合评审； 前述要求的内容均有描述且符合本项目要求的得10分；每缺少一项要求的方案内容扣5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根据本项目采购需求，提供相应的风险防控方案，内容包括但不限于①风险防控制度②风险防范措施等进行综合评审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根据本项目采购需求，提供相应的管理制度，方案内容包括但不限于：①工作纪律②办公制度③工作汇报制度④服务记录制度⑤安全保密制度等进行综合评审； 前述要求的内容均有描述且符合本项目要求的得15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项目负责人须为供应商在职人员（提供在职承诺书（格式自拟）或相关材料）， 1.具有本科及以上学历得3分；具有专科学历得2分 注：不提供在职承诺书或相关材料的，本项不得分。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提供拟投入本项目的人员清单。 1.根据本项目采购需求，制定项目团队人员配置方案，内容包括但不限于①人员数量及安排②人员专业配置等进行综合评审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根据本项目采购需求，提供相应的服务承诺，内容包括但不限于：①服务内容②服务质量③服务响应方式及响应时间等进行综合评审 前述要求的内容均有描述且符合本项目要求的得15分；每缺少一项要求的方案内容扣5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供应商须提供2023年1月至今类似项目业绩，以合同签订日期为准，每提供一份得3分，满分15分（以加盖公章的合同复印件为准）。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