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版本号：ZDJ126--023ZSA20260814003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自动煎药机、中药汤剂包装贴标一体机采购项目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ZDJ126--023ZSA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自动煎药机、中药汤剂包装贴标一体机采购项目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ZDJ126--023ZSA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自动煎药机、中药汤剂包装贴标一体机采购项目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陕西中医药大学第二附属医院采购自动煎药机、中药汤剂包装贴标一体机，具体内容详见招标文件。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代理服务费收费标准：5000元，由中标单位在领取成交通知书前一次性支付代理服务费。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陕西中医药大学第二附属医院自动煎药机、中药汤剂包装贴标一体机采购，具体内容详见招标文件。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20L自动煎药机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30L自动煎药机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中药汤剂包装贴标一体机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标的名称：20L自动煎药机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05"/>
              <w:gridCol w:w="335"/>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20000ml</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台。</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符合《中药煎药机行业标准》的相关要求，煎药效果</w:t>
                  </w:r>
                  <w:r>
                    <w:rPr>
                      <w:rFonts w:ascii="仿宋_GB2312" w:hAnsi="仿宋_GB2312" w:cs="仿宋_GB2312" w:eastAsia="仿宋_GB2312"/>
                      <w:sz w:val="21"/>
                    </w:rPr>
                    <w:t>有效成分</w:t>
                  </w:r>
                  <w:r>
                    <w:rPr>
                      <w:rFonts w:ascii="仿宋_GB2312" w:hAnsi="仿宋_GB2312" w:cs="仿宋_GB2312" w:eastAsia="仿宋_GB2312"/>
                      <w:sz w:val="21"/>
                    </w:rPr>
                    <w:t>煎出率不小于</w:t>
                  </w:r>
                  <w:r>
                    <w:rPr>
                      <w:rFonts w:ascii="仿宋_GB2312" w:hAnsi="仿宋_GB2312" w:cs="仿宋_GB2312" w:eastAsia="仿宋_GB2312"/>
                      <w:sz w:val="21"/>
                    </w:rPr>
                    <w:t>50%</w:t>
                  </w:r>
                  <w:r>
                    <w:rPr>
                      <w:rFonts w:ascii="仿宋_GB2312" w:hAnsi="仿宋_GB2312" w:cs="仿宋_GB2312" w:eastAsia="仿宋_GB2312"/>
                      <w:sz w:val="21"/>
                    </w:rPr>
                    <w:t>，以国家认可的相关检测机构出具的检验报告为准</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可预设不少于</w:t>
                  </w:r>
                  <w:r>
                    <w:rPr>
                      <w:rFonts w:ascii="仿宋_GB2312" w:hAnsi="仿宋_GB2312" w:cs="仿宋_GB2312" w:eastAsia="仿宋_GB2312"/>
                      <w:sz w:val="21"/>
                    </w:rPr>
                    <w:t>12</w:t>
                  </w:r>
                  <w:r>
                    <w:rPr>
                      <w:rFonts w:ascii="仿宋_GB2312" w:hAnsi="仿宋_GB2312" w:cs="仿宋_GB2312" w:eastAsia="仿宋_GB2312"/>
                      <w:sz w:val="21"/>
                    </w:rPr>
                    <w:t>种煎药方案</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可支持通讯协议自动设置及实现煎药单据传输等通讯协议</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w:t>
                  </w:r>
                  <w:r>
                    <w:rPr>
                      <w:rFonts w:ascii="仿宋_GB2312" w:hAnsi="仿宋_GB2312" w:cs="仿宋_GB2312" w:eastAsia="仿宋_GB2312"/>
                      <w:sz w:val="21"/>
                    </w:rPr>
                    <w:t>医疗机构中药煎药室管理规范</w:t>
                  </w:r>
                  <w:r>
                    <w:rPr>
                      <w:rFonts w:ascii="仿宋_GB2312" w:hAnsi="仿宋_GB2312" w:cs="仿宋_GB2312" w:eastAsia="仿宋_GB2312"/>
                      <w:sz w:val="21"/>
                    </w:rPr>
                    <w:t>》</w:t>
                  </w:r>
                  <w:r>
                    <w:rPr>
                      <w:rFonts w:ascii="仿宋_GB2312" w:hAnsi="仿宋_GB2312" w:cs="仿宋_GB2312" w:eastAsia="仿宋_GB2312"/>
                      <w:sz w:val="21"/>
                    </w:rPr>
                    <w:t>的相关要求。具有常压煎药功能，自动完成一煎两煎的全过程。可实现二煎煎药，二煎时自动加水，自动清洗。</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采用一键式滑盖锁紧装置。</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先煎后下提示功能，可实现常压煎药、密闭煎药、循环煎药功能。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采用双滑道定位的电动机械挤压系统，实现药渣充分分离。</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304</w:t>
                  </w:r>
                  <w:r>
                    <w:rPr>
                      <w:rFonts w:ascii="仿宋_GB2312" w:hAnsi="仿宋_GB2312" w:cs="仿宋_GB2312" w:eastAsia="仿宋_GB2312"/>
                      <w:sz w:val="21"/>
                    </w:rPr>
                    <w:t>不锈钢锅体，内置不锈钢二煎储药罐。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报警装置及</w:t>
                  </w:r>
                  <w:r>
                    <w:rPr>
                      <w:rFonts w:ascii="仿宋_GB2312" w:hAnsi="仿宋_GB2312" w:cs="仿宋_GB2312" w:eastAsia="仿宋_GB2312"/>
                      <w:sz w:val="21"/>
                    </w:rPr>
                    <w:t>防温度过高和防干烧功能</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数控煎药计时、定时功能。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具有文火、武火煎药功能且可以自动转换</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具有安全卸压阀，双安全阀超压报警，自动卸压自动闭合。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蒸汽循环回收功能，煎药蒸汽经风冷冷凝器回收。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可配备单体包装机。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所投设备须配合医院完成与现有煎药管理控制系统的数据对接</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pPr>
      <w:r>
        <w:rPr>
          <w:rFonts w:ascii="仿宋_GB2312" w:hAnsi="仿宋_GB2312" w:cs="仿宋_GB2312" w:eastAsia="仿宋_GB2312"/>
        </w:rPr>
        <w:t>标的名称：30L自动煎药机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05"/>
              <w:gridCol w:w="335"/>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30000ml</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台。</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符合《中药煎药机行业标准》的相关要求，煎药效果有效成份煎出率不小于</w:t>
                  </w:r>
                  <w:r>
                    <w:rPr>
                      <w:rFonts w:ascii="仿宋_GB2312" w:hAnsi="仿宋_GB2312" w:cs="仿宋_GB2312" w:eastAsia="仿宋_GB2312"/>
                      <w:sz w:val="21"/>
                    </w:rPr>
                    <w:t>50%</w:t>
                  </w:r>
                  <w:r>
                    <w:rPr>
                      <w:rFonts w:ascii="仿宋_GB2312" w:hAnsi="仿宋_GB2312" w:cs="仿宋_GB2312" w:eastAsia="仿宋_GB2312"/>
                      <w:sz w:val="21"/>
                    </w:rPr>
                    <w:t>，以国家认可的相关检测机构出具的检验报告为准</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可预设不少于</w:t>
                  </w:r>
                  <w:r>
                    <w:rPr>
                      <w:rFonts w:ascii="仿宋_GB2312" w:hAnsi="仿宋_GB2312" w:cs="仿宋_GB2312" w:eastAsia="仿宋_GB2312"/>
                      <w:sz w:val="21"/>
                    </w:rPr>
                    <w:t>12</w:t>
                  </w:r>
                  <w:r>
                    <w:rPr>
                      <w:rFonts w:ascii="仿宋_GB2312" w:hAnsi="仿宋_GB2312" w:cs="仿宋_GB2312" w:eastAsia="仿宋_GB2312"/>
                      <w:sz w:val="21"/>
                    </w:rPr>
                    <w:t>种煎药方案</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可支持通讯协议自动设置及实现煎药单据传输等通讯协议</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w:t>
                  </w:r>
                  <w:r>
                    <w:rPr>
                      <w:rFonts w:ascii="仿宋_GB2312" w:hAnsi="仿宋_GB2312" w:cs="仿宋_GB2312" w:eastAsia="仿宋_GB2312"/>
                      <w:sz w:val="21"/>
                    </w:rPr>
                    <w:t>医疗机构中药煎药室管理规范</w:t>
                  </w:r>
                  <w:r>
                    <w:rPr>
                      <w:rFonts w:ascii="仿宋_GB2312" w:hAnsi="仿宋_GB2312" w:cs="仿宋_GB2312" w:eastAsia="仿宋_GB2312"/>
                      <w:sz w:val="21"/>
                    </w:rPr>
                    <w:t>》</w:t>
                  </w:r>
                  <w:r>
                    <w:rPr>
                      <w:rFonts w:ascii="仿宋_GB2312" w:hAnsi="仿宋_GB2312" w:cs="仿宋_GB2312" w:eastAsia="仿宋_GB2312"/>
                      <w:sz w:val="21"/>
                    </w:rPr>
                    <w:t>的相关要求。具有常压煎药功能，自动完成一煎两煎的全过程。可实现二煎煎药，二煎时自动加水，自动清洗。</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采用一键式滑盖锁紧装置。</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先煎后下提示功能，可实现常压煎药、密闭煎药、循环煎药功能。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采用双滑道定位的电动机械挤压系统，实现药渣充分分离。</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304</w:t>
                  </w:r>
                  <w:r>
                    <w:rPr>
                      <w:rFonts w:ascii="仿宋_GB2312" w:hAnsi="仿宋_GB2312" w:cs="仿宋_GB2312" w:eastAsia="仿宋_GB2312"/>
                      <w:sz w:val="21"/>
                    </w:rPr>
                    <w:t>不锈钢锅体，内置不锈钢二煎储药罐。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报警装置及</w:t>
                  </w:r>
                  <w:r>
                    <w:rPr>
                      <w:rFonts w:ascii="仿宋_GB2312" w:hAnsi="仿宋_GB2312" w:cs="仿宋_GB2312" w:eastAsia="仿宋_GB2312"/>
                      <w:sz w:val="21"/>
                    </w:rPr>
                    <w:t>防温度过高和防干烧功能</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数控煎药计时、定时功能。</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具有文火、武火煎药功能且可以自动转换</w:t>
                  </w:r>
                  <w:r>
                    <w:rPr>
                      <w:rFonts w:ascii="仿宋_GB2312" w:hAnsi="仿宋_GB2312" w:cs="仿宋_GB2312" w:eastAsia="仿宋_GB2312"/>
                      <w:sz w:val="21"/>
                    </w:rPr>
                    <w:t>。</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具有安全卸压阀，双安全阀超压报警，自动卸压自动闭合。</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蒸汽循环回收功能，煎药蒸汽经风冷冷凝器回收。</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可配备单体包装机。</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所投设备须配合医院完成与现有煎药管理控制系统的数据对接</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pPr>
      <w:r>
        <w:rPr>
          <w:rFonts w:ascii="仿宋_GB2312" w:hAnsi="仿宋_GB2312" w:cs="仿宋_GB2312" w:eastAsia="仿宋_GB2312"/>
        </w:rPr>
        <w:t>标的名称：中药汤剂包装贴标一体机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251"/>
              <w:gridCol w:w="1810"/>
              <w:gridCol w:w="33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嵌入式打印机，收纸送纸与打印机集成一体。</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一体化设计，不再分离包装和贴标工序。</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采用滚压式贴标原理。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具备联网通讯功能</w:t>
                  </w:r>
                  <w:r>
                    <w:rPr>
                      <w:rFonts w:ascii="仿宋_GB2312" w:hAnsi="仿宋_GB2312" w:cs="仿宋_GB2312" w:eastAsia="仿宋_GB2312"/>
                      <w:sz w:val="21"/>
                    </w:rPr>
                    <w:t>，</w:t>
                  </w:r>
                  <w:r>
                    <w:rPr>
                      <w:rFonts w:ascii="仿宋_GB2312" w:hAnsi="仿宋_GB2312" w:cs="仿宋_GB2312" w:eastAsia="仿宋_GB2312"/>
                      <w:sz w:val="21"/>
                    </w:rPr>
                    <w:t>可实现煎药单数据传输等通讯协议，并支持包数、包装量通讯协议的自动设置</w:t>
                  </w:r>
                  <w:r>
                    <w:rPr>
                      <w:rFonts w:ascii="仿宋_GB2312" w:hAnsi="仿宋_GB2312" w:cs="仿宋_GB2312" w:eastAsia="仿宋_GB2312"/>
                      <w:sz w:val="21"/>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自动完成信息打印，自动取标、自动贴标。</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具有断电记忆功能</w:t>
                  </w:r>
                  <w:r>
                    <w:rPr>
                      <w:rFonts w:ascii="仿宋_GB2312" w:hAnsi="仿宋_GB2312" w:cs="仿宋_GB2312" w:eastAsia="仿宋_GB2312"/>
                      <w:sz w:val="21"/>
                    </w:rPr>
                    <w:t>。</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封合温度数字化控制，可以设定自动恒定。</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包装量为</w:t>
                  </w:r>
                  <w:r>
                    <w:rPr>
                      <w:rFonts w:ascii="仿宋_GB2312" w:hAnsi="仿宋_GB2312" w:cs="仿宋_GB2312" w:eastAsia="仿宋_GB2312"/>
                      <w:sz w:val="21"/>
                    </w:rPr>
                    <w:t>50-250ml</w:t>
                  </w:r>
                  <w:r>
                    <w:rPr>
                      <w:rFonts w:ascii="仿宋_GB2312" w:hAnsi="仿宋_GB2312" w:cs="仿宋_GB2312" w:eastAsia="仿宋_GB2312"/>
                      <w:sz w:val="21"/>
                    </w:rPr>
                    <w:t>无极变量可调包装。</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适用于老人、儿童、成年人等不同用量。</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包装平均速度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袋</w:t>
                  </w:r>
                  <w:r>
                    <w:rPr>
                      <w:rFonts w:ascii="仿宋_GB2312" w:hAnsi="仿宋_GB2312" w:cs="仿宋_GB2312" w:eastAsia="仿宋_GB2312"/>
                      <w:sz w:val="21"/>
                    </w:rPr>
                    <w:t>/</w:t>
                  </w:r>
                  <w:r>
                    <w:rPr>
                      <w:rFonts w:ascii="仿宋_GB2312" w:hAnsi="仿宋_GB2312" w:cs="仿宋_GB2312" w:eastAsia="仿宋_GB2312"/>
                      <w:sz w:val="21"/>
                    </w:rPr>
                    <w:t>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 15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进度款，货到安装调试验收合格办理入库后，乙方于 3 个工作日内持全额正式税务发票向甲方提出支付申请，达到付款条件起30个工作日内，支付合同总金额的65.0%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进度款，设备办理入库并正常运行3个月后，乙方提供的商品无故障等各种情况发生，达到付款条件起30个工作日内，支付合同总金额的30.0%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进度款，设备正常运转1年后，乙方就合同约定义务全部履行完毕后，达到付款条件起30个工作日内，支付合同总金额的5.0%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1、乙方必须具有完善的售后服务体系，高水平的技术维修人员和良好的设备备件供应能力。2、乙方同意该产品自安装、调试、验收合格并正常使用之日起免费保修，保质期为 叁 年，在保修、保质期内出现的任何质量问题，乙方保证在接到甲方维修通知之日起24小时内派专业维修人员赶赴现场（即甲方指定地点）进行维修，并于3日内使设备恢复正常使用。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4、保修、保质期内，维修费用、乙方维修人员的差旅费及其他相关费用均由乙方承担。5、保修、保质期满后，乙方负责终身优质服务，检修更换的产品配置零件按标准报价 8 折的优惠价向甲方提供，免人工费、差旅费及工时费，只收取更换的零配件成本费。6、乙方负责产品机型系统错误改进，在保修、保质期内对该机型的软件免费更换或升级。7、如以后该产品升级换代，乙方愿意以优惠价格向甲方提供。8、如因产品本身的隐蔽瑕疵而出现的质量问题，乙方应全面负责维修调试或更新更换并承担全部费用。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不能及时交货或未按照本合同约定及时安装、调试完毕或违反第九条约定，迟延30日视为乙方根本违约，甲方有权单方解除合同，同时乙方应向甲方支付本合同总价款10 %的违约金。如交付的产品数量、品种、规格、质量不符合国家标准和合同约定的由乙方负责包修、包换、退货，乙方应于7日内完成产品的维修或退/换货，并承担由此给甲方造成的所有经济损失；逾期交货的，应向甲方支付迟延履行的违约金，每日违约金按逾期交货货款金额万分之一计算。2、除前款约定外，乙方未按合同要求提供产品或提供虚假材料，且质量不能满足技术要求的，视为乙方根本违约，甲方有权单方终止合同，同时要求乙方承担承担本合同总价款10％的违约金，违约金不足以弥补损失的，由乙方另行支付。3、自本合同签订之日起，若甲方无故中途退货，应向乙方支付退货部分货款的10 %的违约金。4、甲方应当按时向乙方支付货款，逾期付款的，应向乙方支付迟延履行的违约金，每日违约金按逾期付款金额的万分之一计算。5、乙方未按照本合同第十条第2款完成维修义务的，每迟延一日应向甲方支付合同总价款万分之一的违约金，迟延超过7日的，甲方有权委托第三方进行维修，由此产生的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产品技术参数响应表 投标函 中小企业声明函 残疾人福利性单位声明函 商务应答表 技术文件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产品技术参数响应表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官方网站截图或产品白皮书或说明书或第三方机构检验报告或其他相关证明材料，对技术响应进行综合评价；产品技术参数清楚、明确，完全满足或优于招标文件要求得34分。 产品参数项共42项，其中“★”项1项，“▲”项13项，其他项28项。 “★”项为实质性参数，有一项不满足视为无效投标；“▲”项每满足一项计1分，其他项每满足一项计0.75分，满分34分。 注：标明需提供证明资料的参数项须提供证明资料，未提供证明资料的为不响应招标文件要求，其中“★”项未提供证明资料的视为无效投标，“▲”项及其他项未提供证明资料的相应项将不计得分。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一、评审内容：实施方案包含①组织生产、供货运输方案及安装调试方案；②接受采购人对项目实施方案、生产进度、货物质量、货款支付与结算审核等方面监督和管理等。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三、赋分标准（满分6分） ①组织生产、供货运输方案及安装调试方案：此评审满分3分，每完全满足一项评审标准得1分，针对每条评审标准，如存在不合理的方面扣0.5分，针对每条评审标准，内容与本项目无关或未提供得0分； ②接受采购人对项目实施方案、生产进度、货物质量、货款支付与结算审核等方面监督和管理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产品来源证明资料</w:t>
            </w:r>
          </w:p>
        </w:tc>
        <w:tc>
          <w:tcPr>
            <w:tcW w:type="dxa" w:w="2492"/>
          </w:tcPr>
          <w:p>
            <w:pPr>
              <w:pStyle w:val="null3"/>
            </w:pPr>
            <w:r>
              <w:rPr>
                <w:rFonts w:ascii="仿宋_GB2312" w:hAnsi="仿宋_GB2312" w:cs="仿宋_GB2312" w:eastAsia="仿宋_GB2312"/>
              </w:rPr>
              <w:t>投标人应提供所投产品来源渠道的合法证明资料，包括但不限于产品制造商授权/销售协议、代理协议、生产厂家出具的相应功能证明材料或第三方检测机构出具的检测/检验报告等。 证明资料完整计2分，不完整或未提供本项不计得分。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一、评审内容：培训方案包括培训计划及内容、培训人员、培训时间安排、地点等，保证采购人能够安全、正常、熟练的使用投标产品。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一、评审内容；根据投标人针对本项目配备专业的售后服务机构及服务团队进行评审，包括送货、安装调试人员、售后服务人员、技术支持人员。 二、赋分标准（满分6分） 投标人提供的人员中①送货②安装调试人员③售后服务人员④技术支持人员类别齐全（每类别至少1人）得4分，不齐全不得分，每类别增加一名人员得1分，本项最高得6分。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售后服务方案及保障力度</w:t>
            </w:r>
          </w:p>
        </w:tc>
        <w:tc>
          <w:tcPr>
            <w:tcW w:type="dxa" w:w="2492"/>
          </w:tcPr>
          <w:p>
            <w:pPr>
              <w:pStyle w:val="null3"/>
            </w:pPr>
            <w:r>
              <w:rPr>
                <w:rFonts w:ascii="仿宋_GB2312" w:hAnsi="仿宋_GB2312" w:cs="仿宋_GB2312" w:eastAsia="仿宋_GB2312"/>
              </w:rPr>
              <w:t>一、评审内容：售后服务方案及保障力度包括①质保期内的维护保养、相关技术支持方案②产品出现故障响应时间承诺、解决故障时间承诺、补救措施等。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三、赋分标准（满分6分） ①质保期内的维护保养、相关技术支持方案，此评审满分3分，每完全满足一项评审标准得1分，针对每条评审标准，如存在不合理的方面扣0.5分，针对每条评审标准，内容与本项目无关或未提供得0分； ②产品出现故障响应时间承诺、解决故障时间承诺、补救措施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 提供2023年1月1日至今所投产品生产厂家同类产品供货业绩的，每提供1份得1分，最高得5分； 2. 提供2023年1月1日至今投标人所投产品同类供货业绩的，每提供1份得1分，最高得5分。 注：①业绩时间以合同签订时间为准，合同须清晰完整，完整是指合同文本须完整，需体现项目名称、产品名称、签署盖章等。未按照要求提供不得分。②同一项目业绩不得同时在上述两项中重复计分；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详见附件：产品技术参数响应表</w:t>
      </w:r>
    </w:p>
    <w:p>
      <w:pPr>
        <w:pStyle w:val="null3"/>
        <w:ind w:firstLine="960"/>
      </w:pPr>
      <w:r>
        <w:rPr>
          <w:rFonts w:ascii="仿宋_GB2312" w:hAnsi="仿宋_GB2312" w:cs="仿宋_GB2312" w:eastAsia="仿宋_GB2312"/>
        </w:rPr>
        <w:t>详见附件：技术文件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