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50532B">
      <w:pPr>
        <w:jc w:val="center"/>
        <w:rPr>
          <w:rFonts w:hint="eastAsia"/>
          <w:b/>
          <w:bCs/>
          <w:sz w:val="32"/>
          <w:szCs w:val="40"/>
          <w:lang w:val="en-US" w:eastAsia="zh-CN"/>
        </w:rPr>
      </w:pPr>
      <w:r>
        <w:rPr>
          <w:rFonts w:hint="eastAsia"/>
          <w:b/>
          <w:bCs/>
          <w:sz w:val="32"/>
          <w:szCs w:val="40"/>
          <w:lang w:val="en-US" w:eastAsia="zh-CN"/>
        </w:rPr>
        <w:t>采购需求</w:t>
      </w:r>
      <w:bookmarkStart w:id="0" w:name="_GoBack"/>
      <w:bookmarkEnd w:id="0"/>
    </w:p>
    <w:p w14:paraId="4746D953">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一、工程概况</w:t>
      </w:r>
    </w:p>
    <w:p w14:paraId="1F38506D">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 xml:space="preserve"> 浐灞校区综合训练场建设项目，1项；</w:t>
      </w:r>
    </w:p>
    <w:p w14:paraId="4CAB4591">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二、编制说明</w:t>
      </w:r>
    </w:p>
    <w:p w14:paraId="4C4F8D55">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1、工程量清单所列工程量数量是预计数量，仅作为投标的共同基础，不作为最终结算和支付的依据。实际支付应按实际完成的工程量，由供应商按技术规范规定的计量方法，以监理工程师和业主认可的尺寸、断面进行计量；</w:t>
      </w:r>
    </w:p>
    <w:p w14:paraId="4086484E">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2、本清单除上述内容，没有列的项目视为已包含在其他清单项目中，供应商在得到采购文件后，应仔细阅读采购文件、现场勘察、图纸、清单，发现问题及时提出，没有提出视为已分摊在本工程的有关清单的单价或总价，如无变更或洽商，不再另行增加项目；</w:t>
      </w:r>
    </w:p>
    <w:p w14:paraId="2096B3A6">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3、供应商在报价时，应依据本工程方案、现行有关规范、规程，结合招标文件、有关合同条款以及市场价格情况等进行自主报价；</w:t>
      </w:r>
    </w:p>
    <w:p w14:paraId="3027B7B3">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4、供应商在投标报价时，应充分考虑本工程自进场开始施工至竣工验收合格并移交建设单位期间所发生的各项费用，施工结束后做到工完场清的标准；</w:t>
      </w:r>
    </w:p>
    <w:p w14:paraId="53691BC8">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 xml:space="preserve">5、工程量清单报价表中任何内容不得随意增加、删除或涂改；  </w:t>
      </w:r>
    </w:p>
    <w:p w14:paraId="61A8CED4">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三、工程量为暂估量，结算时据实结算。</w:t>
      </w:r>
    </w:p>
    <w:p w14:paraId="7FCCEBB5">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四、运动设施清单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93"/>
        <w:gridCol w:w="693"/>
        <w:gridCol w:w="1440"/>
        <w:gridCol w:w="727"/>
        <w:gridCol w:w="3893"/>
        <w:gridCol w:w="1067"/>
      </w:tblGrid>
      <w:tr w14:paraId="24EF9D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605CFA7">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序号</w:t>
            </w:r>
          </w:p>
        </w:tc>
        <w:tc>
          <w:tcPr>
            <w:tcW w:w="40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0BC043C">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设备</w:t>
            </w:r>
          </w:p>
          <w:p w14:paraId="2D8C29FF">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名称</w:t>
            </w:r>
          </w:p>
        </w:tc>
        <w:tc>
          <w:tcPr>
            <w:tcW w:w="84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3737B29">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数量</w:t>
            </w:r>
          </w:p>
        </w:tc>
        <w:tc>
          <w:tcPr>
            <w:tcW w:w="42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A19B6F">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单位</w:t>
            </w:r>
          </w:p>
        </w:tc>
        <w:tc>
          <w:tcPr>
            <w:tcW w:w="228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B4A6197">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技术参数</w:t>
            </w:r>
          </w:p>
        </w:tc>
        <w:tc>
          <w:tcPr>
            <w:tcW w:w="62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9FEE2DE">
            <w:pPr>
              <w:jc w:val="center"/>
              <w:rPr>
                <w:rFonts w:hint="eastAsia" w:ascii="Calibri" w:hAnsi="Calibri" w:eastAsia="宋体" w:cs="Times New Roman"/>
                <w:lang w:val="en-US" w:eastAsia="zh-Hans"/>
              </w:rPr>
            </w:pPr>
            <w:r>
              <w:rPr>
                <w:rFonts w:hint="eastAsia" w:ascii="仿宋_GB2312" w:hAnsi="仿宋_GB2312" w:eastAsia="仿宋_GB2312" w:cs="仿宋_GB2312"/>
                <w:b/>
                <w:sz w:val="18"/>
                <w:lang w:val="en-US" w:eastAsia="zh-Hans"/>
              </w:rPr>
              <w:t>参考图</w:t>
            </w:r>
          </w:p>
        </w:tc>
      </w:tr>
      <w:tr w14:paraId="12D432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A1AC3B">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58EA28">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五步桩</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D3F6FC">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620971">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D7E28D">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1.主要尺寸：长2.65m、宽1.2m、高0.10m；</w:t>
            </w:r>
          </w:p>
          <w:p w14:paraId="3036EA93">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金属表面涂装：采用表面抛沙处理；底漆：喷环氧富锌粉末涂料，进入烤房加温至200度；表面：采用户外用最高光泽度为92%底粉末涂料，进入烤房加温至200度；可以有效的预防阳光、雨水、风沙等自然因素造成的侵蚀，色泽均匀、亮丽、持久，符合国家对户外色彩的损失比例要求，保证五年基本不变色；</w:t>
            </w:r>
          </w:p>
          <w:p w14:paraId="05AD43CD">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3.由5个直径0.3米、高出地面0.1米的跨桩组成。右边三个跨桩的中心相距2.3米，距离跑道中线0.3米，第一跨桩中心距端线5米。左边两个跨桩的中心相距2.3米，距离跑道中线0.6米，第一跨桩中心距离端线6.15米。</w:t>
            </w:r>
          </w:p>
          <w:p w14:paraId="2F3EEC3A">
            <w:pPr>
              <w:jc w:val="left"/>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CC7148">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drawing>
                <wp:inline distT="0" distB="0" distL="0" distR="0">
                  <wp:extent cx="232410" cy="142240"/>
                  <wp:effectExtent l="0" t="0" r="15240" b="11430"/>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232410" cy="142707"/>
                          </a:xfrm>
                          <a:prstGeom prst="rect">
                            <a:avLst/>
                          </a:prstGeom>
                        </pic:spPr>
                      </pic:pic>
                    </a:graphicData>
                  </a:graphic>
                </wp:inline>
              </w:drawing>
            </w:r>
          </w:p>
        </w:tc>
      </w:tr>
      <w:tr w14:paraId="5C70CB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875B52">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AAB3C6">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壕沟</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6798C3">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C90451">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F7A386">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1.长、宽、深增为2米，角钢框架，松木板采用防腐蚀处理、厚度为25mm。</w:t>
            </w:r>
          </w:p>
          <w:p w14:paraId="5E956D37">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2.整体可拆装移动。</w:t>
            </w:r>
          </w:p>
          <w:p w14:paraId="45D987B2">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金属表面涂装：采用表面抛沙处理；底漆：喷环氧富锌粉末涂料，进入烤房加温至200度；表面：采用户外用最高光泽度为92%底粉末涂料，进入烤房加温至200度；可以有效的预防阳光、雨水、风沙等自然因素造成的侵蚀，色泽均匀、亮丽、持久，符合国家对户外色彩的损失比例要求，保证五年基本不变色。</w:t>
            </w:r>
          </w:p>
          <w:p w14:paraId="2E7AF122">
            <w:pPr>
              <w:jc w:val="left"/>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BD9713">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drawing>
                <wp:inline distT="0" distB="0" distL="0" distR="0">
                  <wp:extent cx="232410" cy="219710"/>
                  <wp:effectExtent l="0" t="0" r="15240" b="8890"/>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232410" cy="219733"/>
                          </a:xfrm>
                          <a:prstGeom prst="rect">
                            <a:avLst/>
                          </a:prstGeom>
                        </pic:spPr>
                      </pic:pic>
                    </a:graphicData>
                  </a:graphic>
                </wp:inline>
              </w:drawing>
            </w:r>
          </w:p>
        </w:tc>
      </w:tr>
      <w:tr w14:paraId="7FE432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A865CC">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BD81A6">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矮墙</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821435">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DFE984">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874A81">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1.主要尺寸：长2m、宽0.2m、高1.1m；洞口宽0.5米、高0.4在，下缘距地面0.6米，设于矮墙左侧</w:t>
            </w:r>
          </w:p>
          <w:p w14:paraId="2C16792C">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主要材料：松木板采用防腐蚀处理.厚度为30mm；矮墙上沿采用0.2*0.1米的防腐蚀松木板，</w:t>
            </w:r>
          </w:p>
          <w:p w14:paraId="15FEEA99">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整体可移动。</w:t>
            </w:r>
          </w:p>
          <w:p w14:paraId="1D528C7F">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金属表面涂装：采用表面抛沙处理；底漆：喷环氧富锌粉末涂料，进入烤房加温至200度；表面：采用户外用最高光泽度为92%底粉末涂料，进入烤房加温至200度；可以有效的预防阳光、雨水、风沙等自然因素造成的侵蚀，色泽均匀、亮丽、持久，符合国家对户外色彩的损失比例要求，保证五年基本不变色；</w:t>
            </w:r>
          </w:p>
          <w:p w14:paraId="4AB61D9B">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內部支架：采用100mm槽钢，材质Q235b；</w:t>
            </w:r>
          </w:p>
          <w:p w14:paraId="453F4D13">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3.器材在整体上有足够的强度，无有明显的摆动现象。</w:t>
            </w:r>
          </w:p>
          <w:p w14:paraId="6A1D2E37">
            <w:pPr>
              <w:jc w:val="left"/>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034AC6">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drawing>
                <wp:inline distT="0" distB="0" distL="0" distR="0">
                  <wp:extent cx="232410" cy="201930"/>
                  <wp:effectExtent l="0" t="0" r="15240" b="7620"/>
                  <wp:docPr id="3" name="Drawing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3" descr="img"/>
                          <pic:cNvPicPr>
                            <a:picLocks noChangeAspect="1"/>
                          </pic:cNvPicPr>
                        </pic:nvPicPr>
                        <pic:blipFill>
                          <a:blip r:embed="rId6"/>
                          <a:stretch>
                            <a:fillRect/>
                          </a:stretch>
                        </pic:blipFill>
                        <pic:spPr>
                          <a:xfrm>
                            <a:off x="0" y="0"/>
                            <a:ext cx="232410" cy="202559"/>
                          </a:xfrm>
                          <a:prstGeom prst="rect">
                            <a:avLst/>
                          </a:prstGeom>
                        </pic:spPr>
                      </pic:pic>
                    </a:graphicData>
                  </a:graphic>
                </wp:inline>
              </w:drawing>
            </w:r>
          </w:p>
        </w:tc>
      </w:tr>
      <w:tr w14:paraId="4DF3DE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3B7CBF">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B90D8E">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高板跳台</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E26B53">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F62ABD">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55A2C5">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1.主要尺寸：高板长2m、宽0.5m、高1.8m；</w:t>
            </w:r>
          </w:p>
          <w:p w14:paraId="73C488DA">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2.主要材料：主立柱采用φ114㎜，管壁不小于3㎜钢管，连接处用φ33㎜壁厚不小于2.5㎜钢管、材质Q235A；內部支架：采用50x50角钢，材质Q235A, 松木板采用防腐蚀处理，厚度为30mm；</w:t>
            </w:r>
          </w:p>
          <w:p w14:paraId="3D74927D">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3.高台高1.5米，长、宽均为1米；低台长、宽、高均为1米；高板、高台、低台间隔均为1米。材料采用2.5厚防滑钢板一次冷弯成型，整体可移动。</w:t>
            </w:r>
          </w:p>
          <w:p w14:paraId="1CF46E85">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金属表面涂装：采用表面抛沙处理；底漆：喷环氧富锌粉末涂料，进入烤房加温至200度；表面：采用户外用最高光泽度为92%底粉末涂料，进入烤房加温至200度；可以有效的预防阳光、雨水、风沙等自然因素造成的侵蚀，色泽均匀、亮丽、持久，符合国家对户外色彩的损失比例要求，保证五年基本不变色；</w:t>
            </w:r>
          </w:p>
          <w:p w14:paraId="5B1ED334">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5.器材在整体上有足够的强度，无有明显的摆动现象。</w:t>
            </w:r>
          </w:p>
          <w:p w14:paraId="53233B06">
            <w:pPr>
              <w:jc w:val="left"/>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542C2C">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drawing>
                <wp:inline distT="0" distB="0" distL="0" distR="0">
                  <wp:extent cx="232410" cy="182880"/>
                  <wp:effectExtent l="0" t="0" r="15240" b="6985"/>
                  <wp:docPr id="4" name="Drawing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4" descr="img"/>
                          <pic:cNvPicPr>
                            <a:picLocks noChangeAspect="1"/>
                          </pic:cNvPicPr>
                        </pic:nvPicPr>
                        <pic:blipFill>
                          <a:blip r:embed="rId7"/>
                          <a:stretch>
                            <a:fillRect/>
                          </a:stretch>
                        </pic:blipFill>
                        <pic:spPr>
                          <a:xfrm>
                            <a:off x="0" y="0"/>
                            <a:ext cx="232410" cy="183246"/>
                          </a:xfrm>
                          <a:prstGeom prst="rect">
                            <a:avLst/>
                          </a:prstGeom>
                        </pic:spPr>
                      </pic:pic>
                    </a:graphicData>
                  </a:graphic>
                </wp:inline>
              </w:drawing>
            </w:r>
          </w:p>
        </w:tc>
      </w:tr>
      <w:tr w14:paraId="404F23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7B5D14">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5</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FCE698">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水平横梯</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0A8B79">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B62182">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5A9513">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1.主要尺寸：长5.1m、宽742m、高2.4m，水平梯横杠直径0.033米，横杠间跨度0.5米，</w:t>
            </w:r>
          </w:p>
          <w:p w14:paraId="46C6F01D">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2.主要材料：主立柱采用φ89㎜，管壁不小于3㎜钢管，连接处用φ33㎜壁厚不小于2.5㎜钢管、材质Q235A；</w:t>
            </w:r>
          </w:p>
          <w:p w14:paraId="398CCA90">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3.器材在整体上有足够的强度，无有明显的摆动、永久变形及损坏现象；整体可拆装移动。</w:t>
            </w:r>
          </w:p>
          <w:p w14:paraId="63892977">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金属表面涂装：采用表面抛沙处理；底漆：喷环氧富锌粉末涂料，进入烤房加温至200度；表面：采用户外用最高光泽度为92%底粉末涂料，进入烤房加温至200度；可以有效的预防阳光、雨水、风沙等自然因素造成的侵蚀，色泽均匀、亮丽、持久，符合国家对户外色彩的损失比例要求，保证五年基本不变色。</w:t>
            </w:r>
          </w:p>
          <w:p w14:paraId="3F3DFE6E">
            <w:pPr>
              <w:jc w:val="left"/>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CE551A">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drawing>
                <wp:inline distT="0" distB="0" distL="0" distR="0">
                  <wp:extent cx="232410" cy="201295"/>
                  <wp:effectExtent l="0" t="0" r="15240" b="8255"/>
                  <wp:docPr id="5" name="Drawing 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5" descr="img"/>
                          <pic:cNvPicPr>
                            <a:picLocks noChangeAspect="1"/>
                          </pic:cNvPicPr>
                        </pic:nvPicPr>
                        <pic:blipFill>
                          <a:blip r:embed="rId8"/>
                          <a:stretch>
                            <a:fillRect/>
                          </a:stretch>
                        </pic:blipFill>
                        <pic:spPr>
                          <a:xfrm>
                            <a:off x="0" y="0"/>
                            <a:ext cx="232410" cy="201580"/>
                          </a:xfrm>
                          <a:prstGeom prst="rect">
                            <a:avLst/>
                          </a:prstGeom>
                        </pic:spPr>
                      </pic:pic>
                    </a:graphicData>
                  </a:graphic>
                </wp:inline>
              </w:drawing>
            </w:r>
          </w:p>
        </w:tc>
      </w:tr>
      <w:tr w14:paraId="0AAB2A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FEB87A">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6</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3FCE90">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独木桥</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EBDF9B">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B6D5D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9D3B41">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1.主要尺寸：长5m、高1.3m；桥面采用直径0.22-0.23米的圆木，斜板采用长2米，宽0.25米，立柱上油漆红白相间的颜色，桥下立柱间隔1-1.3米，柱上漆红白相间的颜色。</w:t>
            </w:r>
          </w:p>
          <w:p w14:paraId="25D583F3">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2.主要材料：主立柱采用φ114㎜，管壁不小于3㎜钢管，材质Q235A；斜支架：采用50x50角钢,松木厚度30mm；</w:t>
            </w:r>
          </w:p>
          <w:p w14:paraId="207BE63F">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3.器材在整体上有足够的强度，无有明显的摆动现象；整体可拆装移动。</w:t>
            </w:r>
          </w:p>
          <w:p w14:paraId="0FE36254">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金属表面涂装：采用表面抛沙处理；底漆：喷环氧富锌粉末涂料，进入烤房加温至200度；表面：采用户外用最高光泽度为92%底粉末涂料，进入烤房加温至200度；可以有效的预防阳光、雨水、风沙等自然因素造成的侵蚀，色泽均匀、亮丽、持久，符合国家对户外色彩的损失比例要求，保证五年基本不变色。</w:t>
            </w:r>
          </w:p>
          <w:p w14:paraId="293F8EE3">
            <w:pPr>
              <w:jc w:val="left"/>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58791">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drawing>
                <wp:inline distT="0" distB="0" distL="0" distR="0">
                  <wp:extent cx="232410" cy="165735"/>
                  <wp:effectExtent l="0" t="0" r="15240" b="5715"/>
                  <wp:docPr id="6" name="Drawing 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6" descr="img"/>
                          <pic:cNvPicPr>
                            <a:picLocks noChangeAspect="1"/>
                          </pic:cNvPicPr>
                        </pic:nvPicPr>
                        <pic:blipFill>
                          <a:blip r:embed="rId9"/>
                          <a:stretch>
                            <a:fillRect/>
                          </a:stretch>
                        </pic:blipFill>
                        <pic:spPr>
                          <a:xfrm>
                            <a:off x="0" y="0"/>
                            <a:ext cx="232410" cy="166356"/>
                          </a:xfrm>
                          <a:prstGeom prst="rect">
                            <a:avLst/>
                          </a:prstGeom>
                        </pic:spPr>
                      </pic:pic>
                    </a:graphicData>
                  </a:graphic>
                </wp:inline>
              </w:drawing>
            </w:r>
          </w:p>
        </w:tc>
      </w:tr>
      <w:tr w14:paraId="58754E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E2B500">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7</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016563">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高墙</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E85B3F">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90BA0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7C7211">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1.主要尺寸：长2m、宽1.7m、高2m；</w:t>
            </w:r>
          </w:p>
          <w:p w14:paraId="10A532CC">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2.主要材料：松木板采用防腐蚀处理、厚40mm的木板拼接，墙上沿采用0.2*0.2米的防腐蚀松木板。</w:t>
            </w:r>
          </w:p>
          <w:p w14:paraId="3D6D1FD6">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金属表面涂装：采用表面抛沙处理；底漆：喷环氧富锌粉末涂料，进入烤房加温至200度；表面：采用户外用最高光泽度为92%底粉末涂料，进入烤房加温至200度；可以有效的预防阳光、雨水、风沙等自然因素造成的侵蚀，色泽均匀、亮丽、持久，符合国家对户外色彩的损失比例要求，保证五年基本不变色；</w:t>
            </w:r>
          </w:p>
          <w:p w14:paraId="5AEC9572">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4.器材在整体上有足够的强度，无有明显的摆动现象。整体可移动。</w:t>
            </w:r>
          </w:p>
          <w:p w14:paraId="5A751354">
            <w:pPr>
              <w:jc w:val="left"/>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779F26">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drawing>
                <wp:inline distT="0" distB="0" distL="0" distR="0">
                  <wp:extent cx="232410" cy="236220"/>
                  <wp:effectExtent l="0" t="0" r="15240" b="11430"/>
                  <wp:docPr id="7" name="Drawing 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7" descr="img"/>
                          <pic:cNvPicPr>
                            <a:picLocks noChangeAspect="1"/>
                          </pic:cNvPicPr>
                        </pic:nvPicPr>
                        <pic:blipFill>
                          <a:blip r:embed="rId10"/>
                          <a:stretch>
                            <a:fillRect/>
                          </a:stretch>
                        </pic:blipFill>
                        <pic:spPr>
                          <a:xfrm>
                            <a:off x="0" y="0"/>
                            <a:ext cx="232410" cy="236754"/>
                          </a:xfrm>
                          <a:prstGeom prst="rect">
                            <a:avLst/>
                          </a:prstGeom>
                        </pic:spPr>
                      </pic:pic>
                    </a:graphicData>
                  </a:graphic>
                </wp:inline>
              </w:drawing>
            </w:r>
          </w:p>
        </w:tc>
      </w:tr>
      <w:tr w14:paraId="483615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06BD25">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8</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8123B5">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低桩网</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185D7C">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EB8B90">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5AE133">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1.主要尺寸：长5m、宽2m、高0..5.4m；</w:t>
            </w:r>
          </w:p>
          <w:p w14:paraId="0342566C">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2.主要材料：主立柱采用φ48㎜，管壁不小于2.5㎜钢管，材质Q235A；</w:t>
            </w:r>
          </w:p>
          <w:p w14:paraId="151B6DFB">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3.由12根立柱对应分列两行，行距2米，间距1米，桩高出地面0.5米，每对立桩间采用φ5㎜橡胶绳、拉直成横线构成桩网，网下地面以松柔的沙层为宜。</w:t>
            </w:r>
          </w:p>
          <w:p w14:paraId="26F812D1">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4.金属表面涂装：采用表面抛沙处理；底漆：喷环氧富锌粉末涂料，进入烤房加温至200度；表面：采用户外用最高光泽度为92%底粉末涂料，进入烤房加温至200度；可以有效的预防阳光、雨水、风沙等自然因素造成的侵蚀，色泽均匀、亮丽、持久，符合国家对户外色彩的损失比例要求，保证五年基本不变色。</w:t>
            </w:r>
          </w:p>
          <w:p w14:paraId="36260A42">
            <w:pPr>
              <w:jc w:val="left"/>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B3D075">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drawing>
                <wp:inline distT="0" distB="0" distL="0" distR="0">
                  <wp:extent cx="232410" cy="171450"/>
                  <wp:effectExtent l="0" t="0" r="15240" b="0"/>
                  <wp:docPr id="8" name="Drawing 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8" descr="img"/>
                          <pic:cNvPicPr>
                            <a:picLocks noChangeAspect="1"/>
                          </pic:cNvPicPr>
                        </pic:nvPicPr>
                        <pic:blipFill>
                          <a:blip r:embed="rId11"/>
                          <a:stretch>
                            <a:fillRect/>
                          </a:stretch>
                        </pic:blipFill>
                        <pic:spPr>
                          <a:xfrm>
                            <a:off x="0" y="0"/>
                            <a:ext cx="232410" cy="171886"/>
                          </a:xfrm>
                          <a:prstGeom prst="rect">
                            <a:avLst/>
                          </a:prstGeom>
                        </pic:spPr>
                      </pic:pic>
                    </a:graphicData>
                  </a:graphic>
                </wp:inline>
              </w:drawing>
            </w:r>
          </w:p>
        </w:tc>
      </w:tr>
      <w:tr w14:paraId="5054FF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C6511F">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9</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01984E">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转弯旗</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B5C99C">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EC3EF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A39DFF">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1.主要尺寸：旗杆高1.5m；</w:t>
            </w:r>
          </w:p>
          <w:p w14:paraId="17D3BF7C">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2.主要材料：钢管采用φ33x2.2㎜，材质Q235A。</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E09397">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drawing>
                <wp:inline distT="0" distB="0" distL="0" distR="0">
                  <wp:extent cx="232410" cy="300355"/>
                  <wp:effectExtent l="0" t="0" r="15875" b="4445"/>
                  <wp:docPr id="9" name="Drawing 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9" descr="img"/>
                          <pic:cNvPicPr>
                            <a:picLocks noChangeAspect="1"/>
                          </pic:cNvPicPr>
                        </pic:nvPicPr>
                        <pic:blipFill>
                          <a:blip r:embed="rId12"/>
                          <a:stretch>
                            <a:fillRect/>
                          </a:stretch>
                        </pic:blipFill>
                        <pic:spPr>
                          <a:xfrm>
                            <a:off x="0" y="0"/>
                            <a:ext cx="232410" cy="300530"/>
                          </a:xfrm>
                          <a:prstGeom prst="rect">
                            <a:avLst/>
                          </a:prstGeom>
                        </pic:spPr>
                      </pic:pic>
                    </a:graphicData>
                  </a:graphic>
                </wp:inline>
              </w:drawing>
            </w:r>
          </w:p>
        </w:tc>
      </w:tr>
      <w:tr w14:paraId="126D97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540240">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10</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E684E9">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单杠</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A232BE">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5C26D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BC9DED">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1.占地面积:5500×4000mm,可调节高度1500-2600mm,横杠2孔中心距2400,采用Ф33弹簧钢制作,4条拉链装有4个拉紧器,拉链预埋件采用混凝土浇注;</w:t>
            </w:r>
          </w:p>
          <w:p w14:paraId="05E54879">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2.该器材为普通练习型器材,全部喷户外粉末。</w:t>
            </w:r>
          </w:p>
          <w:p w14:paraId="0128A8AE">
            <w:pPr>
              <w:jc w:val="left"/>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F82ADE">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drawing>
                <wp:inline distT="0" distB="0" distL="0" distR="0">
                  <wp:extent cx="232410" cy="172720"/>
                  <wp:effectExtent l="0" t="0" r="15240" b="17780"/>
                  <wp:docPr id="10" name="Drawing 1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awing 10" descr="img"/>
                          <pic:cNvPicPr>
                            <a:picLocks noChangeAspect="1"/>
                          </pic:cNvPicPr>
                        </pic:nvPicPr>
                        <pic:blipFill>
                          <a:blip r:embed="rId13"/>
                          <a:stretch>
                            <a:fillRect/>
                          </a:stretch>
                        </pic:blipFill>
                        <pic:spPr>
                          <a:xfrm>
                            <a:off x="0" y="0"/>
                            <a:ext cx="232410" cy="173016"/>
                          </a:xfrm>
                          <a:prstGeom prst="rect">
                            <a:avLst/>
                          </a:prstGeom>
                        </pic:spPr>
                      </pic:pic>
                    </a:graphicData>
                  </a:graphic>
                </wp:inline>
              </w:drawing>
            </w:r>
          </w:p>
        </w:tc>
      </w:tr>
      <w:tr w14:paraId="6883EA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A647C8">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11</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59791F">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双杠</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C03ABA">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5BFA3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5B8C58">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1.外型尺寸:3500×1200×1800mm;</w:t>
            </w:r>
          </w:p>
          <w:p w14:paraId="185852D9">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2.主要材料:底盘采用灰口铸铁连接,底架采用80×42槽钢,柱体采用Ф60,壁3mm钢管,内部装有直径35升降柱可调节杠面高低,杠面采用椭圆形耐候性强的胶木制作,主架喷户外塑粉,升降调节柱镀铬;</w:t>
            </w:r>
          </w:p>
          <w:p w14:paraId="0B7A1720">
            <w:pPr>
              <w:jc w:val="left"/>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3.提供由国家体育用品（相关）质量监督检验机构出具的“双杠”通过GB19272-2024认证检测报告复印件。</w:t>
            </w:r>
          </w:p>
          <w:p w14:paraId="5F979CC6">
            <w:pPr>
              <w:jc w:val="left"/>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8C1718">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drawing>
                <wp:inline distT="0" distB="0" distL="0" distR="0">
                  <wp:extent cx="232410" cy="155575"/>
                  <wp:effectExtent l="0" t="0" r="15240" b="15875"/>
                  <wp:docPr id="11" name="Drawing 1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rawing 11" descr="img"/>
                          <pic:cNvPicPr>
                            <a:picLocks noChangeAspect="1"/>
                          </pic:cNvPicPr>
                        </pic:nvPicPr>
                        <pic:blipFill>
                          <a:blip r:embed="rId14"/>
                          <a:stretch>
                            <a:fillRect/>
                          </a:stretch>
                        </pic:blipFill>
                        <pic:spPr>
                          <a:xfrm>
                            <a:off x="0" y="0"/>
                            <a:ext cx="232410" cy="155764"/>
                          </a:xfrm>
                          <a:prstGeom prst="rect">
                            <a:avLst/>
                          </a:prstGeom>
                        </pic:spPr>
                      </pic:pic>
                    </a:graphicData>
                  </a:graphic>
                </wp:inline>
              </w:drawing>
            </w:r>
          </w:p>
        </w:tc>
      </w:tr>
      <w:tr w14:paraId="618355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21A027">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12</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B43707">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羽毛球网柱</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579336">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2EC43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4F47AA">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满足最新国标或行业标准。</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A7A6AD">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w:t>
            </w:r>
          </w:p>
        </w:tc>
      </w:tr>
      <w:tr w14:paraId="606AC8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D18E0E">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13</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681E85">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可移动式羽毛球网柱</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65C0C9">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60667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E01951">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满足最新国标或行业标准。</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FF311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w:t>
            </w:r>
          </w:p>
        </w:tc>
      </w:tr>
      <w:tr w14:paraId="215B41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85435B">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14</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F7BE2A">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排球网柱</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DEAB97">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A97DA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852D96">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满足最新国标或行业标准。</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9AB7DB">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w:t>
            </w:r>
          </w:p>
        </w:tc>
      </w:tr>
      <w:tr w14:paraId="090C60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D2729D">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15</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E17BB1">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网球网柱</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C807E8">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2</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E7D0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套</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95BFEC">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满足最新国标或行业标准。</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5A22C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w:t>
            </w:r>
          </w:p>
        </w:tc>
      </w:tr>
      <w:tr w14:paraId="0B402C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855204">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16</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17B374">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篮球架</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B19FD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7AC99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组</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EE4E45">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满足最新国标或行业标准。</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1F9F7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w:t>
            </w:r>
          </w:p>
        </w:tc>
      </w:tr>
      <w:tr w14:paraId="233B2A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B5433B">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17</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1D2433">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场地围网</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B1393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2091.6</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58620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47F3B2">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满足最新国标或行业标准。</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A7C05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w:t>
            </w:r>
          </w:p>
        </w:tc>
      </w:tr>
      <w:tr w14:paraId="20765B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C8B448">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18</w:t>
            </w:r>
          </w:p>
        </w:tc>
        <w:tc>
          <w:tcPr>
            <w:tcW w:w="4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31C28A">
            <w:pPr>
              <w:jc w:val="center"/>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排水沟</w:t>
            </w:r>
          </w:p>
        </w:tc>
        <w:tc>
          <w:tcPr>
            <w:tcW w:w="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3E113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202.74</w:t>
            </w:r>
          </w:p>
        </w:tc>
        <w:tc>
          <w:tcPr>
            <w:tcW w:w="4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CEE53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m</w:t>
            </w:r>
          </w:p>
        </w:tc>
        <w:tc>
          <w:tcPr>
            <w:tcW w:w="22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50BF70">
            <w:pPr>
              <w:jc w:val="both"/>
              <w:rPr>
                <w:rFonts w:hint="eastAsia" w:ascii="Calibri" w:hAnsi="Calibri" w:eastAsia="宋体" w:cs="Times New Roman"/>
                <w:lang w:val="en-US" w:eastAsia="zh-Hans"/>
              </w:rPr>
            </w:pPr>
            <w:r>
              <w:rPr>
                <w:rFonts w:hint="eastAsia" w:ascii="仿宋_GB2312" w:hAnsi="仿宋_GB2312" w:eastAsia="仿宋_GB2312" w:cs="仿宋_GB2312"/>
                <w:sz w:val="18"/>
                <w:lang w:val="en-US" w:eastAsia="zh-Hans"/>
              </w:rPr>
              <w:t>满足最新国标或行业标准。</w:t>
            </w:r>
          </w:p>
        </w:tc>
        <w:tc>
          <w:tcPr>
            <w:tcW w:w="62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80487C">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w:t>
            </w:r>
          </w:p>
        </w:tc>
      </w:tr>
    </w:tbl>
    <w:p w14:paraId="1E405FE1">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EA4B65"/>
    <w:rsid w:val="7CEA4B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2026-09-24T09:51:00Z</dcterms:created>
  <dc:creator>.L</dc:creator>
  <cp:lastModifiedBy>.L</cp:lastModifiedBy>
  <dcterms:modified xsi:type="dcterms:W3CDTF">2026-09-24T09:51:51Z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9FECCF63208141819FA0F79C09C054F1_11</vt:lpwstr>
  </property>
  <property fmtid="{D5CDD505-2E9C-101B-9397-08002B2CF9AE}" pid="4" name="KSOTemplateDocerSaveRecord">
    <vt:lpwstr>eyJoZGlkIjoiN2ViYTg5NDBiZjhlN2VjMmMxODQyM2Y0NTY5NDI4ZDUiLCJ1c2VySWQiOiI3ODE3NDc4MzEifQ==</vt:lpwstr>
  </property>
</Properties>
</file>