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A783F">
      <w:pPr>
        <w:pStyle w:val="8"/>
        <w:rPr>
          <w:rFonts w:hint="eastAsia"/>
          <w:lang w:val="en-US" w:eastAsia="zh-CN"/>
        </w:rPr>
      </w:pPr>
    </w:p>
    <w:p w14:paraId="09ED5DC5">
      <w:pPr>
        <w:rPr>
          <w:rFonts w:hint="eastAsia" w:ascii="宋体" w:hAnsi="宋体" w:cs="宋体"/>
          <w:b/>
          <w:bCs/>
          <w:sz w:val="24"/>
          <w:szCs w:val="24"/>
        </w:rPr>
      </w:pPr>
      <w:r>
        <w:rPr>
          <w:rFonts w:hint="eastAsia" w:ascii="宋体" w:hAnsi="宋体" w:cs="宋体"/>
          <w:b/>
          <w:bCs/>
          <w:sz w:val="24"/>
          <w:szCs w:val="24"/>
        </w:rPr>
        <w:t>由供应商自行编写，无具体格式。</w:t>
      </w:r>
    </w:p>
    <w:p w14:paraId="453BC2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both"/>
        <w:textAlignment w:val="baseline"/>
        <w:rPr>
          <w:rFonts w:ascii="Calibri" w:hAnsi="Calibri" w:cs="Calibri"/>
          <w:i w:val="0"/>
          <w:iCs w:val="0"/>
          <w:caps w:val="0"/>
          <w:color w:val="000000"/>
          <w:spacing w:val="0"/>
          <w:sz w:val="21"/>
          <w:szCs w:val="21"/>
          <w:highlight w:val="none"/>
        </w:rPr>
      </w:pPr>
      <w:bookmarkStart w:id="0" w:name="_GoBack"/>
      <w:bookmarkEnd w:id="0"/>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政府采购异常低价审查</w:t>
      </w:r>
    </w:p>
    <w:p w14:paraId="183956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（一）采购人应当在采购文件中明确，政府采购评审中出现下列情形之一的，评审委员会应当启动异常低价投标（响应）审查程序：</w:t>
      </w:r>
    </w:p>
    <w:p w14:paraId="4A4394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1.投标（响应）报价低于全部通过符合性审查供应商投标（响应）报价平均值50%的，即投标（响应）报价&lt;全部通过符合性审查供应商投标（响应）报价平均值×50%；</w:t>
      </w:r>
    </w:p>
    <w:p w14:paraId="761BF0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2.投标（响应）报价低于通过符合性审查的次低报价供应商投标（响应）报价50%的，即投标（响应）报价&lt;通过符合性审查的次低报价供应商投标（响应）报价×50%；</w:t>
      </w:r>
    </w:p>
    <w:p w14:paraId="49C8D4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3.投标（响应）报价低于采购项目最高限价45%的，即投标（响应）报价&lt;采购项目最高限价×45%；</w:t>
      </w:r>
    </w:p>
    <w:p w14:paraId="39FDE5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4.评审委员会基于专业判断，认为供应商报价过低，有可能影响产品质量或者不能诚信履约的其他情形。</w:t>
      </w:r>
    </w:p>
    <w:p w14:paraId="4A7C9C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采购人可以结合具体项目实际情况，提高上述第1项至第3项中启动异常低价投标（响应）审查的数值标准，但是最高不得超过65%。</w:t>
      </w:r>
    </w:p>
    <w:p w14:paraId="58183B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相关法律法规对供应商报价有规定的，从其规定。</w:t>
      </w:r>
    </w:p>
    <w:p w14:paraId="07B50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0A17F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41BB6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A1E0A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异常低价投标（响应）审查的启动原因、审查意见和审查结果应当在评审报告中记录，并随供应商提供的相关书面说明及证明材料，以及评审委员会有关互联网浏览、查询历史一并归档。</w:t>
      </w:r>
    </w:p>
    <w:p w14:paraId="1F5C38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center"/>
        <w:textAlignment w:val="baseline"/>
        <w:rPr>
          <w:rFonts w:ascii="仿宋" w:hAnsi="仿宋" w:eastAsia="仿宋" w:cs="仿宋"/>
          <w:i w:val="0"/>
          <w:iCs w:val="0"/>
          <w:caps w:val="0"/>
          <w:color w:val="000000"/>
          <w:spacing w:val="0"/>
          <w:sz w:val="24"/>
          <w:szCs w:val="24"/>
          <w:highlight w:val="none"/>
          <w:u w:val="none"/>
          <w:shd w:val="clear" w:fill="FFFFFF"/>
          <w:vertAlign w:val="baseline"/>
        </w:rPr>
      </w:pPr>
      <w:r>
        <w:rPr>
          <w:rFonts w:ascii="华文中宋" w:hAnsi="华文中宋" w:eastAsia="华文中宋" w:cs="华文中宋"/>
          <w:i w:val="0"/>
          <w:iCs w:val="0"/>
          <w:caps w:val="0"/>
          <w:color w:val="000000"/>
          <w:spacing w:val="0"/>
          <w:sz w:val="30"/>
          <w:szCs w:val="30"/>
          <w:highlight w:val="none"/>
          <w:shd w:val="clear" w:fill="FFFFFF"/>
        </w:rPr>
        <w:t>国务院办公厅关于在政府采购中实施本国产品标准及相关政策的通知</w:t>
      </w:r>
    </w:p>
    <w:p w14:paraId="7A5BFE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sz w:val="28"/>
          <w:szCs w:val="28"/>
          <w:highlight w:val="none"/>
        </w:rPr>
      </w:pPr>
      <w:r>
        <w:rPr>
          <w:rFonts w:ascii="仿宋" w:hAnsi="仿宋" w:eastAsia="仿宋" w:cs="仿宋"/>
          <w:i w:val="0"/>
          <w:iCs w:val="0"/>
          <w:caps w:val="0"/>
          <w:color w:val="000000"/>
          <w:spacing w:val="0"/>
          <w:sz w:val="24"/>
          <w:szCs w:val="24"/>
          <w:highlight w:val="none"/>
          <w:u w:val="none"/>
          <w:shd w:val="clear" w:fill="FFFFFF"/>
          <w:vertAlign w:val="baseline"/>
        </w:rPr>
        <w:t>各省、自治区、直辖市人民政府，国务院各部委、各直属机构：</w:t>
      </w:r>
    </w:p>
    <w:p w14:paraId="7DD715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textAlignment w:val="baseline"/>
        <w:rPr>
          <w:sz w:val="28"/>
          <w:szCs w:val="28"/>
          <w:highlight w:val="none"/>
        </w:rPr>
      </w:pPr>
      <w:r>
        <w:rPr>
          <w:rFonts w:hint="eastAsia" w:ascii="仿宋" w:hAnsi="仿宋" w:eastAsia="仿宋" w:cs="仿宋"/>
          <w:i w:val="0"/>
          <w:iCs w:val="0"/>
          <w:caps w:val="0"/>
          <w:color w:val="000000"/>
          <w:spacing w:val="0"/>
          <w:sz w:val="28"/>
          <w:szCs w:val="28"/>
          <w:highlight w:val="none"/>
          <w:u w:val="none"/>
          <w:shd w:val="clear" w:fill="FFFFFF"/>
          <w:vertAlign w:val="baseline"/>
        </w:rPr>
        <w:t>为构建统一开放、竞争有序的政府采购市场体系，完善政府采购制度，保障各类经营主体平等参与政府采购活动，根据《中华人民共和国政府采购法》、《中华人民共和国外商投资法》等有关法律法规规定，经国务院同意，现就在政府采购中实施本国产品标准及相关政策通知如下：</w:t>
      </w:r>
    </w:p>
    <w:p w14:paraId="31F2C1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一、本国产品标准</w:t>
      </w:r>
    </w:p>
    <w:p w14:paraId="12A46A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本国产品应当符合以下条件：</w:t>
      </w:r>
    </w:p>
    <w:p w14:paraId="65F37A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ascii="楷体" w:hAnsi="楷体" w:eastAsia="楷体" w:cs="楷体"/>
          <w:i w:val="0"/>
          <w:iCs w:val="0"/>
          <w:caps w:val="0"/>
          <w:color w:val="000000"/>
          <w:spacing w:val="0"/>
          <w:sz w:val="28"/>
          <w:szCs w:val="28"/>
          <w:highlight w:val="none"/>
          <w:shd w:val="clear" w:fill="FFFFFF"/>
          <w:vertAlign w:val="baseline"/>
        </w:rPr>
        <w:t>（一）在中国境内生产</w:t>
      </w:r>
    </w:p>
    <w:p w14:paraId="5F3B1BA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产品应当在中国境内生产，即在中华人民共和国关境内实现从原材料、组件到产品的属性改变。</w:t>
      </w:r>
    </w:p>
    <w:p w14:paraId="15E384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属性改变是指经过制造、加工或者组装等工序，产生完全不同于原材料、组件的新产品，并具有新的名称和特征（用途）。属性改变不包括以下细微操作：</w:t>
      </w:r>
    </w:p>
    <w:p w14:paraId="076268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1.为确保产品在运输或者储存期间保持某种状态而进行的操作；</w:t>
      </w:r>
    </w:p>
    <w:p w14:paraId="11C5E95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2.为产品运输或者销售进行的包装或者展示；</w:t>
      </w:r>
    </w:p>
    <w:p w14:paraId="586E4E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3.在产品或者其包装上粘贴或者印刷品牌、标志、标识以及其他用于区别的标记；</w:t>
      </w:r>
    </w:p>
    <w:p w14:paraId="36DDF4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4.简单的上漆、磨光和分装；</w:t>
      </w:r>
    </w:p>
    <w:p w14:paraId="509C33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5.其他不属于属性改变的情形。</w:t>
      </w:r>
    </w:p>
    <w:p w14:paraId="175D92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（二）在中国境内生产的组件成本占比达到规定比例</w:t>
      </w:r>
    </w:p>
    <w:p w14:paraId="23EC02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产品在中国境内生产的组件成本占比应当达到规定比例，计算公式为：</w:t>
      </w:r>
    </w:p>
    <w:p w14:paraId="2E5836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drawing>
          <wp:inline distT="0" distB="0" distL="114300" distR="114300">
            <wp:extent cx="4829175" cy="762000"/>
            <wp:effectExtent l="0" t="0" r="9525" b="0"/>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4"/>
                    <a:stretch>
                      <a:fillRect/>
                    </a:stretch>
                  </pic:blipFill>
                  <pic:spPr>
                    <a:xfrm>
                      <a:off x="0" y="0"/>
                      <a:ext cx="4829175" cy="762000"/>
                    </a:xfrm>
                    <a:prstGeom prst="rect">
                      <a:avLst/>
                    </a:prstGeom>
                    <a:noFill/>
                    <a:ln w="9525">
                      <a:noFill/>
                    </a:ln>
                  </pic:spPr>
                </pic:pic>
              </a:graphicData>
            </a:graphic>
          </wp:inline>
        </w:drawing>
      </w:r>
    </w:p>
    <w:p w14:paraId="14A5EC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39B5D97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（三）特定产品的关键组件、关键工序符合相关要求</w:t>
      </w:r>
    </w:p>
    <w:p w14:paraId="465C1F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对特定产品，在符合本通知第一条第（一）项和第（二）项条件的基础上，应当符合财政部会同有关行业主管部门确定的其关键组件、关键工序在中国境内生产、完成等要求。</w:t>
      </w:r>
    </w:p>
    <w:p w14:paraId="5B5D96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BFAFB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二、本国产品标准的适用范围</w:t>
      </w:r>
    </w:p>
    <w:p w14:paraId="057E5B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A10BF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三、对本国产品的支持政策</w:t>
      </w:r>
    </w:p>
    <w:p w14:paraId="67196C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政府采购活动中既有本国产品又有非本国产品参与竞争的，依法对本国产品给予价格评审优惠，对本国产品的报价给予20%的价格扣除，用扣除后的价格参与评审。</w:t>
      </w:r>
    </w:p>
    <w:p w14:paraId="2649C0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319A3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四、政策执行要求</w:t>
      </w:r>
    </w:p>
    <w:p w14:paraId="0AF12D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（一）产品在中国境内生产的组件成本核算规则。</w:t>
      </w: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产品在中国境内生产的组件成本，按照《中国境内生产的组件成本核算基本规则》（见附件1）计算。</w:t>
      </w:r>
    </w:p>
    <w:p w14:paraId="501CC4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（二）有关证明文件。</w:t>
      </w: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在采购文件中明确要求供应商对其提供的产品出具《关于符合本国产品标准的声明函》（样式见附件2，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p w14:paraId="3D8CBC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采购人、采购代理机构应当随中标、成交结果同时公告中标、成交供应商提供的《声明函》或有关证明文件。</w:t>
      </w:r>
    </w:p>
    <w:p w14:paraId="62885B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（三）平等对待各类经营主体。</w:t>
      </w:r>
      <w:r>
        <w:rPr>
          <w:rFonts w:hint="eastAsia" w:ascii="仿宋" w:hAnsi="仿宋" w:eastAsia="仿宋" w:cs="仿宋"/>
          <w:i w:val="0"/>
          <w:iCs w:val="0"/>
          <w:caps w:val="0"/>
          <w:color w:val="000000"/>
          <w:spacing w:val="0"/>
          <w:sz w:val="28"/>
          <w:szCs w:val="28"/>
          <w:highlight w:val="none"/>
          <w:shd w:val="clear" w:fill="FFFFFF"/>
          <w:vertAlign w:val="baseline"/>
        </w:rPr>
        <w:t>国有企业、民营企业、外资企业等各类经营主体平等享受对本国产品的政府采购支持政策。采购人、采购代理机构在政府采购信息发布、供应商资格条件确定和资格审查、评审标准等方面，要对各类经营主体一视同仁、平等对待，切实保障各类经营主体公平竞争。各地区、各部门要加强统筹协调，不得出台违反本通知规定的政策措施，在政府采购活动中不得指定品牌或者限制品牌注册地、所有者，不得以所有制形式、组织形式、股权结构、投资者国别以及其他不合理条件对供应商实行差别待遇或者歧视待遇。</w:t>
      </w:r>
    </w:p>
    <w:p w14:paraId="5C84A8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（四）中华人民共和国缔结或者共同参加的国际条约、协定对政府采购中本国产品政策另有规定的，按照有关条约、协定执行。</w:t>
      </w:r>
    </w:p>
    <w:p w14:paraId="352681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五、争议处理</w:t>
      </w:r>
    </w:p>
    <w:p w14:paraId="597A59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门在政府采购投诉处理、监督检查中，对涉及本国产品标准争议事项的处理，按照政府采购相关法律法规规定等执行，必要时由有关部门或者专业机构对相关事项予以核实。各有关部门、专业机构及其工作人员对政府采购投诉处理、监督检查中知悉的商业秘密负有保密义务。</w:t>
      </w:r>
    </w:p>
    <w:p w14:paraId="620899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（一）政府采购投诉处理、监督检查中，对产品或组件是否在中国境内生产存在争议的，按照以下原则处理：</w:t>
      </w:r>
    </w:p>
    <w:p w14:paraId="6CDF1A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w:t>
      </w:r>
    </w:p>
    <w:p w14:paraId="721C42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12876A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4740DE9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政府采购投诉处理、监督检查中，对特定产品的关键组件是否在中国境内生产存在争议的，按照本通知第五条第（一）项规定的原则处理；对特定产品的关键工序是否在中国境内完成存在争议的，相关供应商及制造商应当提供关键工序在中国境内完成的记录等材料予以证明。</w:t>
      </w:r>
    </w:p>
    <w:p w14:paraId="11416E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079805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本通知自2026年1月1日起施行。</w:t>
      </w:r>
    </w:p>
    <w:p w14:paraId="3EED536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073017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附件：1.中国境内生产的组件成本核算基本规则</w:t>
      </w:r>
    </w:p>
    <w:p w14:paraId="115CAB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2.关于符合本国产品标准的声明函</w:t>
      </w:r>
    </w:p>
    <w:p w14:paraId="5082C4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国务院办公厅　        </w:t>
      </w:r>
    </w:p>
    <w:p w14:paraId="7B4FDBE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2025年9月28日         </w:t>
      </w:r>
    </w:p>
    <w:p w14:paraId="17E596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（此件公开发布）</w:t>
      </w:r>
    </w:p>
    <w:p w14:paraId="382E2D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568B0C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089D000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Style w:val="6"/>
          <w:rFonts w:hint="eastAsia" w:ascii="仿宋" w:hAnsi="仿宋" w:eastAsia="仿宋" w:cs="仿宋"/>
          <w:i w:val="0"/>
          <w:iCs w:val="0"/>
          <w:caps w:val="0"/>
          <w:color w:val="000000"/>
          <w:spacing w:val="0"/>
          <w:sz w:val="28"/>
          <w:szCs w:val="28"/>
          <w:highlight w:val="none"/>
          <w:shd w:val="clear" w:fill="FFFFFF"/>
          <w:vertAlign w:val="baseline"/>
        </w:rPr>
        <w:sectPr>
          <w:pgSz w:w="11906" w:h="16838"/>
          <w:pgMar w:top="1440" w:right="1803" w:bottom="1440" w:left="1803" w:header="851" w:footer="992" w:gutter="0"/>
          <w:cols w:space="720" w:num="1"/>
          <w:docGrid w:type="lines" w:linePitch="319" w:charSpace="0"/>
        </w:sectPr>
      </w:pPr>
    </w:p>
    <w:p w14:paraId="69A1458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附件1</w:t>
      </w:r>
    </w:p>
    <w:p w14:paraId="05E8E0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4FCC6A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6"/>
          <w:rFonts w:hint="eastAsia" w:ascii="仿宋" w:hAnsi="仿宋" w:eastAsia="仿宋" w:cs="仿宋"/>
          <w:i w:val="0"/>
          <w:iCs w:val="0"/>
          <w:caps w:val="0"/>
          <w:color w:val="000000"/>
          <w:spacing w:val="0"/>
          <w:sz w:val="36"/>
          <w:szCs w:val="36"/>
          <w:highlight w:val="none"/>
          <w:shd w:val="clear" w:fill="FFFFFF"/>
          <w:vertAlign w:val="baseline"/>
        </w:rPr>
        <w:t>中国境内生产的组件成本核算基本规则</w:t>
      </w:r>
    </w:p>
    <w:p w14:paraId="7A897F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65106E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3CFE4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一、产品的一级组件是指直接组成产品的组件。产品的二级组件是指直接组成产品一级组件的组件。一级组件不可分解的，视同二级组件。</w:t>
      </w:r>
    </w:p>
    <w:p w14:paraId="6FF946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二、二级组件在中国境内生产的，其全部成本计入中国境内生产的组件成本；二级组件不在中国境内生产的，其成本不计入中国境内生产的组件成本。</w:t>
      </w:r>
    </w:p>
    <w:p w14:paraId="50F534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三、产品总成本和组件成本以相关会计核算数据、采购合同、进货记录等为基础进行计算。</w:t>
      </w:r>
    </w:p>
    <w:p w14:paraId="4D35EE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四、需要对成本核算规则予以进一步明确的其他有关事项，由财政部会同有关部门另行规定。</w:t>
      </w:r>
    </w:p>
    <w:p w14:paraId="7F8718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5937F2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7AB22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Style w:val="6"/>
          <w:rFonts w:hint="eastAsia" w:ascii="仿宋" w:hAnsi="仿宋" w:eastAsia="仿宋" w:cs="仿宋"/>
          <w:i w:val="0"/>
          <w:iCs w:val="0"/>
          <w:caps w:val="0"/>
          <w:color w:val="000000"/>
          <w:spacing w:val="0"/>
          <w:sz w:val="28"/>
          <w:szCs w:val="28"/>
          <w:highlight w:val="none"/>
          <w:shd w:val="clear" w:fill="FFFFFF"/>
          <w:vertAlign w:val="baseline"/>
        </w:rPr>
        <w:sectPr>
          <w:pgSz w:w="11906" w:h="16838"/>
          <w:pgMar w:top="1440" w:right="1800" w:bottom="1440" w:left="1800" w:header="851" w:footer="992" w:gutter="0"/>
          <w:cols w:space="425" w:num="1"/>
          <w:docGrid w:type="lines" w:linePitch="312" w:charSpace="0"/>
        </w:sectPr>
      </w:pPr>
    </w:p>
    <w:p w14:paraId="02196D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附件2</w:t>
      </w:r>
    </w:p>
    <w:p w14:paraId="39888A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4656F7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6"/>
          <w:rFonts w:hint="eastAsia" w:ascii="仿宋" w:hAnsi="仿宋" w:eastAsia="仿宋" w:cs="仿宋"/>
          <w:i w:val="0"/>
          <w:iCs w:val="0"/>
          <w:caps w:val="0"/>
          <w:color w:val="000000"/>
          <w:spacing w:val="0"/>
          <w:sz w:val="36"/>
          <w:szCs w:val="36"/>
          <w:highlight w:val="none"/>
          <w:shd w:val="clear" w:fill="FFFFFF"/>
          <w:vertAlign w:val="baseline"/>
        </w:rPr>
        <w:t>关于符合本国产品标准的声明函</w:t>
      </w:r>
    </w:p>
    <w:p w14:paraId="04DD79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12D82A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9888F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（产品名称1）1</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7"/>
          <w:rFonts w:hint="eastAsia" w:ascii="仿宋" w:hAnsi="仿宋" w:eastAsia="仿宋" w:cs="仿宋"/>
          <w:i w:val="0"/>
          <w:iCs w:val="0"/>
          <w:caps w:val="0"/>
          <w:color w:val="000000"/>
          <w:spacing w:val="0"/>
          <w:sz w:val="28"/>
          <w:szCs w:val="28"/>
          <w:highlight w:val="none"/>
          <w:shd w:val="clear" w:fill="FFFFFF"/>
          <w:vertAlign w:val="baseline"/>
        </w:rPr>
        <w:t>（厂名）2</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7"/>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7"/>
          <w:rFonts w:hint="eastAsia" w:ascii="仿宋" w:hAnsi="仿宋" w:eastAsia="仿宋" w:cs="仿宋"/>
          <w:i w:val="0"/>
          <w:iCs w:val="0"/>
          <w:caps w:val="0"/>
          <w:color w:val="000000"/>
          <w:spacing w:val="0"/>
          <w:sz w:val="28"/>
          <w:szCs w:val="28"/>
          <w:highlight w:val="none"/>
          <w:shd w:val="clear" w:fill="FFFFFF"/>
          <w:vertAlign w:val="baseline"/>
        </w:rPr>
        <w:t>（规定比例）3</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7"/>
          <w:rFonts w:hint="eastAsia" w:ascii="仿宋" w:hAnsi="仿宋" w:eastAsia="仿宋" w:cs="仿宋"/>
          <w:i w:val="0"/>
          <w:iCs w:val="0"/>
          <w:caps w:val="0"/>
          <w:color w:val="000000"/>
          <w:spacing w:val="0"/>
          <w:sz w:val="28"/>
          <w:szCs w:val="28"/>
          <w:highlight w:val="none"/>
          <w:shd w:val="clear" w:fill="FFFFFF"/>
          <w:vertAlign w:val="baseline"/>
        </w:rPr>
        <w:t>（关键组件）4</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7"/>
          <w:rFonts w:hint="eastAsia" w:ascii="仿宋" w:hAnsi="仿宋" w:eastAsia="仿宋" w:cs="仿宋"/>
          <w:i w:val="0"/>
          <w:iCs w:val="0"/>
          <w:caps w:val="0"/>
          <w:color w:val="000000"/>
          <w:spacing w:val="0"/>
          <w:sz w:val="28"/>
          <w:szCs w:val="28"/>
          <w:highlight w:val="none"/>
          <w:shd w:val="clear" w:fill="FFFFFF"/>
          <w:vertAlign w:val="baseline"/>
        </w:rPr>
        <w:t>（关键工序）5</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20FF274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7"/>
          <w:rFonts w:hint="eastAsia" w:ascii="仿宋" w:hAnsi="仿宋" w:eastAsia="仿宋" w:cs="仿宋"/>
          <w:i w:val="0"/>
          <w:iCs w:val="0"/>
          <w:caps w:val="0"/>
          <w:color w:val="000000"/>
          <w:spacing w:val="0"/>
          <w:sz w:val="28"/>
          <w:szCs w:val="28"/>
          <w:highlight w:val="none"/>
          <w:shd w:val="clear" w:fill="FFFFFF"/>
          <w:vertAlign w:val="baseline"/>
        </w:rPr>
        <w:t>（厂名）</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7"/>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7"/>
          <w:rFonts w:hint="eastAsia" w:ascii="仿宋" w:hAnsi="仿宋" w:eastAsia="仿宋" w:cs="仿宋"/>
          <w:i w:val="0"/>
          <w:iCs w:val="0"/>
          <w:caps w:val="0"/>
          <w:color w:val="000000"/>
          <w:spacing w:val="0"/>
          <w:sz w:val="28"/>
          <w:szCs w:val="28"/>
          <w:highlight w:val="none"/>
          <w:shd w:val="clear" w:fill="FFFFFF"/>
          <w:vertAlign w:val="baseline"/>
        </w:rPr>
        <w:t>（规定比例）</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7"/>
          <w:rFonts w:hint="eastAsia" w:ascii="仿宋" w:hAnsi="仿宋" w:eastAsia="仿宋" w:cs="仿宋"/>
          <w:i w:val="0"/>
          <w:iCs w:val="0"/>
          <w:caps w:val="0"/>
          <w:color w:val="000000"/>
          <w:spacing w:val="0"/>
          <w:sz w:val="28"/>
          <w:szCs w:val="28"/>
          <w:highlight w:val="none"/>
          <w:shd w:val="clear" w:fill="FFFFFF"/>
          <w:vertAlign w:val="baseline"/>
        </w:rPr>
        <w:t>（关键组件）</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7"/>
          <w:rFonts w:hint="eastAsia" w:ascii="仿宋" w:hAnsi="仿宋" w:eastAsia="仿宋" w:cs="仿宋"/>
          <w:i w:val="0"/>
          <w:iCs w:val="0"/>
          <w:caps w:val="0"/>
          <w:color w:val="000000"/>
          <w:spacing w:val="0"/>
          <w:sz w:val="28"/>
          <w:szCs w:val="28"/>
          <w:highlight w:val="none"/>
          <w:shd w:val="clear" w:fill="FFFFFF"/>
          <w:vertAlign w:val="baseline"/>
        </w:rPr>
        <w:t>（关键工序）</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1CE41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w:t>
      </w:r>
    </w:p>
    <w:p w14:paraId="302208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本公司（单位）对上述声明内容的真实性负责。如有虚假，愿承担相应法律责任。</w:t>
      </w:r>
    </w:p>
    <w:p w14:paraId="08E5C1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FFFA21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公司（单位）名称（盖章）：　        </w:t>
      </w:r>
    </w:p>
    <w:p w14:paraId="4373D1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日期：　     年　  月　  日         </w:t>
      </w:r>
    </w:p>
    <w:p w14:paraId="34ECF6C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p>
    <w:p w14:paraId="30D1DF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p>
    <w:p w14:paraId="724220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1.产品如有型号，请在“产品名称”栏一并填写。</w:t>
      </w:r>
    </w:p>
    <w:p w14:paraId="39F002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2.生产厂名与厂址应与生产厂营业执照载明的相关信息保持一致。</w:t>
      </w:r>
    </w:p>
    <w:p w14:paraId="6720BEC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3.该产品的中国境内生产的组件成本占比相关要求实施前，“规定比例”栏可不填，下同。</w:t>
      </w:r>
    </w:p>
    <w:p w14:paraId="72FB97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4.该产品的关键组件要求实施前，“关键组件”栏可不填，下同。</w:t>
      </w:r>
    </w:p>
    <w:p w14:paraId="426DB1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5.该产品的关键工序要求实施前，“关键工序”栏可不填，下同。</w:t>
      </w:r>
    </w:p>
    <w:p w14:paraId="185070B4">
      <w:pPr>
        <w:pStyle w:val="2"/>
      </w:pPr>
    </w:p>
    <w:p w14:paraId="0CB7A8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057F6B1E"/>
    <w:rsid w:val="145A3769"/>
    <w:rsid w:val="17717B54"/>
    <w:rsid w:val="6A012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kern w:val="0"/>
      <w:sz w:val="24"/>
      <w:szCs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0"/>
    <w:rPr>
      <w:b/>
      <w:sz w:val="24"/>
      <w:szCs w:val="24"/>
    </w:rPr>
  </w:style>
  <w:style w:type="character" w:styleId="7">
    <w:name w:val="Emphasis"/>
    <w:qFormat/>
    <w:uiPriority w:val="0"/>
    <w:rPr>
      <w:i/>
      <w:iCs/>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15</Words>
  <Characters>15</Characters>
  <Lines>0</Lines>
  <Paragraphs>0</Paragraphs>
  <TotalTime>0</TotalTime>
  <ScaleCrop>false</ScaleCrop>
  <LinksUpToDate>false</LinksUpToDate>
  <CharactersWithSpaces>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2024-04-03T06:02:00Z</dcterms:created>
  <dc:creator>lenovo</dc:creator>
  <cp:lastModifiedBy>趁早</cp:lastModifiedBy>
  <dcterms:modified xsi:type="dcterms:W3CDTF">2026-04-24T02:24:28Z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BAF6E95B8F664B629C76D1D7B2967816_12</vt:lpwstr>
  </property>
  <property fmtid="{D5CDD505-2E9C-101B-9397-08002B2CF9AE}" pid="4" name="KSOTemplateDocerSaveRecord">
    <vt:lpwstr>eyJoZGlkIjoiNzgwNjczN2Q1OTVkMWNkMTQxODAzYzYyZWYzMjAxZjgiLCJ1c2VySWQiOiIyNDE1Nzk0OTUifQ==</vt:lpwstr>
  </property>
</Properties>
</file>