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版本号：PTZX-2026-ZC01020260507001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渭南经开区应急局2026年安全技术服务项目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PTZX-2026-ZC010</w:t>
      </w:r>
      <w:r>
        <w:br/>
      </w:r>
      <w:r>
        <w:br/>
      </w:r>
      <w:r>
        <w:br/>
      </w:r>
    </w:p>
    <w:p>
      <w:pPr>
        <w:pStyle w:val="null3"/>
        <w:jc w:val="center"/>
        <w:outlineLvl w:val="2"/>
      </w:pPr>
      <w:r>
        <w:rPr>
          <w:rFonts w:ascii="仿宋_GB2312" w:hAnsi="仿宋_GB2312" w:cs="仿宋_GB2312" w:eastAsia="仿宋_GB2312"/>
          <w:sz w:val="28"/>
          <w:b/>
        </w:rPr>
        <w:t>渭南经开区应急管理局</w:t>
      </w:r>
    </w:p>
    <w:p>
      <w:pPr>
        <w:pStyle w:val="null3"/>
        <w:jc w:val="center"/>
        <w:outlineLvl w:val="2"/>
      </w:pPr>
      <w:r>
        <w:rPr>
          <w:rFonts w:ascii="仿宋_GB2312" w:hAnsi="仿宋_GB2312" w:cs="仿宋_GB2312" w:eastAsia="仿宋_GB2312"/>
          <w:sz w:val="28"/>
          <w:b/>
        </w:rPr>
        <w:t>鹏泰（陕西）项目管理咨询有限责任公司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鹏泰（陕西）项目管理咨询有限责任公司</w:t>
      </w:r>
      <w:r>
        <w:rPr>
          <w:rFonts w:ascii="仿宋_GB2312" w:hAnsi="仿宋_GB2312" w:cs="仿宋_GB2312" w:eastAsia="仿宋_GB2312"/>
        </w:rPr>
        <w:t>（以下简称“代理机构”）受</w:t>
      </w:r>
      <w:r>
        <w:rPr>
          <w:rFonts w:ascii="仿宋_GB2312" w:hAnsi="仿宋_GB2312" w:cs="仿宋_GB2312" w:eastAsia="仿宋_GB2312"/>
        </w:rPr>
        <w:t>渭南经开区应急管理局</w:t>
      </w:r>
      <w:r>
        <w:rPr>
          <w:rFonts w:ascii="仿宋_GB2312" w:hAnsi="仿宋_GB2312" w:cs="仿宋_GB2312" w:eastAsia="仿宋_GB2312"/>
        </w:rPr>
        <w:t>委托，拟对</w:t>
      </w:r>
      <w:r>
        <w:rPr>
          <w:rFonts w:ascii="仿宋_GB2312" w:hAnsi="仿宋_GB2312" w:cs="仿宋_GB2312" w:eastAsia="仿宋_GB2312"/>
        </w:rPr>
        <w:t>渭南经开区应急局2026年安全技术服务项目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PTZX-2026-ZC010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渭南经开区应急局2026年安全技术服务项目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规模及要求：安全技术服务需求：一、专家指导帮扶类；(一)重点县专家指导帮扶；(二)精细化工企业指导帮扶；(三)危险化学品罐区专项指导帮扶；（四)试生产企业专项指导帮扶；(五)涉尘企业专项指导帮扶；(六)涉氟、涉氯企业专项指导帮扶；(七)自控及仪表专项指导帮扶；二、安全培训教育类；三、“手指口述”安全作业确认法试点活动；四、入园项目落地审查类；五、安全生产事故调查处置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采购包1（渭南经开区应急局2026年安全技术服务项目）：属于专门面向中小企业采购。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资格证明：供应商应具有独立承担民事责任的能力且具备向采购人提供相关服务的企业法人、事业法人、其他组织或自然人，企业法人应提供具有统一社会信用代码的营业执照证明文件；事业法人应提供事业单位法人证、组织机构代码证等证明文件；其他组织应提供合法证明文件；自然人提供身份证明文件；供应商需在项目电子化交易系统中按要求提交资料完成承诺并进行电子签章。</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供应商需在项目电子化交易系统中按要求提交资料完成承诺并进行电子签章。</w:t>
      </w:r>
    </w:p>
    <w:p>
      <w:pPr>
        <w:pStyle w:val="null3"/>
      </w:pPr>
      <w:r>
        <w:rPr>
          <w:rFonts w:ascii="仿宋_GB2312" w:hAnsi="仿宋_GB2312" w:cs="仿宋_GB2312" w:eastAsia="仿宋_GB2312"/>
        </w:rPr>
        <w:t>3、财务审计报告：提供2024年度或者2025年度的财务审计报告（至少包括资产负债表和利润表，成立时间至提交响应文件截止时间不足一年的可提供成立后任意时段的资产负债表）或开标时间前六个月内银行出具的资信证明；供应商需在项目电子化交易系统中按要求提交资料完成承诺并进行电子签章。</w:t>
      </w:r>
    </w:p>
    <w:p>
      <w:pPr>
        <w:pStyle w:val="null3"/>
      </w:pPr>
      <w:r>
        <w:rPr>
          <w:rFonts w:ascii="仿宋_GB2312" w:hAnsi="仿宋_GB2312" w:cs="仿宋_GB2312" w:eastAsia="仿宋_GB2312"/>
        </w:rPr>
        <w:t>4、税收缴纳证明：税收缴纳证明：提供投标截止日前近一年内任意一个月的纳税证明或完税证明（任意税种），依法免税的单位应提供相关证明材料；供应商需在项目电子化交易系统中按要求提交资料完成承诺并进行电子签章。</w:t>
      </w:r>
    </w:p>
    <w:p>
      <w:pPr>
        <w:pStyle w:val="null3"/>
      </w:pPr>
      <w:r>
        <w:rPr>
          <w:rFonts w:ascii="仿宋_GB2312" w:hAnsi="仿宋_GB2312" w:cs="仿宋_GB2312" w:eastAsia="仿宋_GB2312"/>
        </w:rPr>
        <w:t>5、社会保障资金缴纳证明：社会保障资金缴纳证明：提供投标截止日前近一年内任意一个月的社会保障资金缴存单据或社保机构开具的社会保险参保缴费情况证明，依法不需要缴纳社会保障资金的单位应提供相关证明材料；供应商需在项目电子化交易系统中按要求提交资料完成承诺并进行电子签章。</w:t>
      </w:r>
    </w:p>
    <w:p>
      <w:pPr>
        <w:pStyle w:val="null3"/>
      </w:pPr>
      <w:r>
        <w:rPr>
          <w:rFonts w:ascii="仿宋_GB2312" w:hAnsi="仿宋_GB2312" w:cs="仿宋_GB2312" w:eastAsia="仿宋_GB2312"/>
        </w:rPr>
        <w:t>6、专业技术承诺：提供具有履行本合同所必需的设备和专业技术能力的说明及承诺书；供应商需在项目电子化交易系统中按要求提交资料完成承诺并进行电子签章。</w:t>
      </w:r>
    </w:p>
    <w:p>
      <w:pPr>
        <w:pStyle w:val="null3"/>
      </w:pPr>
      <w:r>
        <w:rPr>
          <w:rFonts w:ascii="仿宋_GB2312" w:hAnsi="仿宋_GB2312" w:cs="仿宋_GB2312" w:eastAsia="仿宋_GB2312"/>
        </w:rPr>
        <w:t>7、企业信用：供应商未被“信用中国”网站（www.creditchina.gov.cn）列入失信被执行人（页面跳转至“中国执行信息公开网”http://zxgk.court.gov.cn/shixin/）和重大税收违法失信主体，未被中国政府采购网（www.ccgp.gov.cn）列入政府采购严重违法失信行为记录名单；供应商需在项目电子化交易系统中按要求提交资料完成承诺并进行电子签章。</w:t>
      </w:r>
    </w:p>
    <w:p>
      <w:pPr>
        <w:pStyle w:val="null3"/>
      </w:pPr>
      <w:r>
        <w:rPr>
          <w:rFonts w:ascii="仿宋_GB2312" w:hAnsi="仿宋_GB2312" w:cs="仿宋_GB2312" w:eastAsia="仿宋_GB2312"/>
        </w:rPr>
        <w:t>8、无犯罪声明：参加政府采购活动前3年内，在经营活动中没有重大违法记录的书面声明；供应商需在项目电子化交易系统中按要求提交资料完成承诺并进行电子签章。</w:t>
      </w:r>
    </w:p>
    <w:p>
      <w:pPr>
        <w:pStyle w:val="null3"/>
      </w:pPr>
      <w:r>
        <w:rPr>
          <w:rFonts w:ascii="仿宋_GB2312" w:hAnsi="仿宋_GB2312" w:cs="仿宋_GB2312" w:eastAsia="仿宋_GB2312"/>
        </w:rPr>
        <w:t>9、不接受联合体投标：本项目不接受联合体投标（提供承诺书）；供应商需在项目电子化交易系统中按要求提交资料完成承诺并进行电子签章。</w:t>
      </w:r>
    </w:p>
    <w:p>
      <w:pPr>
        <w:pStyle w:val="null3"/>
      </w:pPr>
      <w:r>
        <w:rPr>
          <w:rFonts w:ascii="仿宋_GB2312" w:hAnsi="仿宋_GB2312" w:cs="仿宋_GB2312" w:eastAsia="仿宋_GB2312"/>
        </w:rPr>
        <w:t>10、专门面向中小企业采购：本项目专门面向中小企业采购。供应商需在项目电子化交易系统中按要求提交资料完成承诺并进行电子签章。</w:t>
      </w:r>
    </w:p>
    <w:p>
      <w:pPr>
        <w:pStyle w:val="null3"/>
      </w:pPr>
      <w:r>
        <w:rPr>
          <w:rFonts w:ascii="仿宋_GB2312" w:hAnsi="仿宋_GB2312" w:cs="仿宋_GB2312" w:eastAsia="仿宋_GB2312"/>
        </w:rPr>
        <w:t>11、投标保证金：投标保证金（附银行转账凭证）；供应商需在项目电子化交易系统中按要求提交资料完成承诺并进行电子签章。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渭南经开区应急管理局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卤阳湖开发区创业大楼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渭南经开区应急管理局经办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0913-3338276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鹏泰（陕西）项目管理咨询有限责任公司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陕西省西安市莲湖区陕西省西安市莲湖区龙首北路西段11号甘肃省离休干部西安休养所东9栋202室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19929278073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渭南市经开区财政局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18729849137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采购包1：2,394,900.00元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开户名称：鹏泰（陕西）项目管理咨询有限责任公司</w:t>
            </w:r>
          </w:p>
          <w:p>
            <w:pPr>
              <w:pStyle w:val="null3"/>
            </w:pPr>
            <w:r>
              <w:rPr>
                <w:rFonts w:ascii="仿宋_GB2312" w:hAnsi="仿宋_GB2312" w:cs="仿宋_GB2312" w:eastAsia="仿宋_GB2312"/>
              </w:rPr>
              <w:t>开户银行：中国建设银行股份有限公司西安元朔路支行</w:t>
            </w:r>
          </w:p>
          <w:p>
            <w:pPr>
              <w:pStyle w:val="null3"/>
            </w:pPr>
            <w:r>
              <w:rPr>
                <w:rFonts w:ascii="仿宋_GB2312" w:hAnsi="仿宋_GB2312" w:cs="仿宋_GB2312" w:eastAsia="仿宋_GB2312"/>
              </w:rPr>
              <w:t>银行账号：6105 0111 7695 0000 0789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发改办价格[2003]857号文件精神，本协议政府采购项目的政府采购代理费参照国家收费标准（计价格【2002】1980号、发改价格【2011】534号文、陕价行发【2012】72号）计算政府采购代理服务费。政府采购代理服务费由中标（成交）人在领取中标（成交）通知书前一次性支付给政府采购代理机构。 收款单位：鹏泰(陕西)项目管理咨询有限责任公司 开 户 行：中国建设银行股份有限公司西安凤城八路支行 账 号：61050171780000000926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渭南经开区应急管理局</w:t>
      </w:r>
      <w:r>
        <w:rPr>
          <w:rFonts w:ascii="仿宋_GB2312" w:hAnsi="仿宋_GB2312" w:cs="仿宋_GB2312" w:eastAsia="仿宋_GB2312"/>
        </w:rPr>
        <w:t>和</w:t>
      </w:r>
      <w:r>
        <w:rPr>
          <w:rFonts w:ascii="仿宋_GB2312" w:hAnsi="仿宋_GB2312" w:cs="仿宋_GB2312" w:eastAsia="仿宋_GB2312"/>
        </w:rPr>
        <w:t>鹏泰（陕西）项目管理咨询有限责任公司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渭南经开区应急管理局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鹏泰（陕西）项目管理咨询有限责任公司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渭南经开区应急管理局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鹏泰（陕西）项目管理咨询有限责任公司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本项目应符合国家相关管理规定及行业标准。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鹏泰（陕西）项目管理咨询有限责任公司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鹏泰（陕西）项目管理咨询有限责任公司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鹏泰（陕西）项目管理咨询有限责任公司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联系人：杨蕾</w:t>
      </w:r>
    </w:p>
    <w:p>
      <w:pPr>
        <w:pStyle w:val="null3"/>
      </w:pPr>
      <w:r>
        <w:rPr>
          <w:rFonts w:ascii="仿宋_GB2312" w:hAnsi="仿宋_GB2312" w:cs="仿宋_GB2312" w:eastAsia="仿宋_GB2312"/>
        </w:rPr>
        <w:t>联系电话：19929278073</w:t>
      </w:r>
    </w:p>
    <w:p>
      <w:pPr>
        <w:pStyle w:val="null3"/>
      </w:pPr>
      <w:r>
        <w:rPr>
          <w:rFonts w:ascii="仿宋_GB2312" w:hAnsi="仿宋_GB2312" w:cs="仿宋_GB2312" w:eastAsia="仿宋_GB2312"/>
        </w:rPr>
        <w:t>地址：陕西省渭南市蒲城县北环路凤凰城小区B栋102号商铺鹏泰咨询公司</w:t>
      </w:r>
    </w:p>
    <w:p>
      <w:pPr>
        <w:pStyle w:val="null3"/>
      </w:pPr>
      <w:r>
        <w:rPr>
          <w:rFonts w:ascii="仿宋_GB2312" w:hAnsi="仿宋_GB2312" w:cs="仿宋_GB2312" w:eastAsia="仿宋_GB2312"/>
        </w:rPr>
        <w:t>邮编：715500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全技术服务需求：一、专家指导帮扶类；(一)重点县专家指导帮扶；(二)精细化工企业指导帮扶；(三)危险化学品罐区专项指导帮扶；（四)试生产企业专项指导帮扶；(五)涉尘企业专项指导帮扶；(六)涉氟、涉氯企业专项指导帮扶；(七)自控及仪表专项指导帮扶；二、安全培训教育类；三、“手指口述”安全作业确认法试点活动；四、入园项目落地审查类；五、安全生产事故调查处置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2,394,900.00</w:t>
      </w:r>
    </w:p>
    <w:p>
      <w:pPr>
        <w:pStyle w:val="null3"/>
      </w:pPr>
      <w:r>
        <w:rPr>
          <w:rFonts w:ascii="仿宋_GB2312" w:hAnsi="仿宋_GB2312" w:cs="仿宋_GB2312" w:eastAsia="仿宋_GB2312"/>
        </w:rPr>
        <w:t>采购包最高限价（元）: 2,394,900.00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渭南经开区应急局2026年安全技术服务项目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2,394,900.00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标的名称：渭南经开区应急局2026年安全技术服务项目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b/>
                <w:color w:val="000000"/>
              </w:rPr>
              <w:t>一</w:t>
            </w:r>
            <w:r>
              <w:rPr>
                <w:rFonts w:ascii="仿宋_GB2312" w:hAnsi="仿宋_GB2312" w:cs="仿宋_GB2312" w:eastAsia="仿宋_GB2312"/>
                <w:sz w:val="24"/>
                <w:color w:val="000000"/>
              </w:rPr>
              <w:t xml:space="preserve"> </w:t>
            </w:r>
            <w:r>
              <w:rPr>
                <w:rFonts w:ascii="仿宋_GB2312" w:hAnsi="仿宋_GB2312" w:cs="仿宋_GB2312" w:eastAsia="仿宋_GB2312"/>
                <w:sz w:val="27"/>
                <w:b/>
                <w:color w:val="000000"/>
              </w:rPr>
              <w:t>、专家指导帮扶类</w:t>
            </w:r>
          </w:p>
          <w:p>
            <w:pPr>
              <w:pStyle w:val="null3"/>
              <w:spacing w:before="285"/>
              <w:ind w:left="1380"/>
              <w:jc w:val="left"/>
            </w:pPr>
            <w:r>
              <w:rPr>
                <w:rFonts w:ascii="仿宋_GB2312" w:hAnsi="仿宋_GB2312" w:cs="仿宋_GB2312" w:eastAsia="仿宋_GB2312"/>
                <w:sz w:val="27"/>
                <w:color w:val="000000"/>
              </w:rPr>
              <w:t>(一)重点县专家指导帮扶</w:t>
            </w:r>
          </w:p>
          <w:p>
            <w:pPr>
              <w:pStyle w:val="null3"/>
              <w:spacing w:before="270"/>
              <w:ind w:left="720" w:right="120" w:firstLine="519"/>
              <w:jc w:val="both"/>
            </w:pPr>
            <w:r>
              <w:rPr>
                <w:rFonts w:ascii="仿宋_GB2312" w:hAnsi="仿宋_GB2312" w:cs="仿宋_GB2312" w:eastAsia="仿宋_GB2312"/>
                <w:sz w:val="27"/>
                <w:color w:val="000000"/>
              </w:rPr>
              <w:t>服务内容：聘请工艺、设备、仪表、安全、总图等专家对辖区部</w:t>
            </w:r>
            <w:r>
              <w:rPr>
                <w:rFonts w:ascii="仿宋_GB2312" w:hAnsi="仿宋_GB2312" w:cs="仿宋_GB2312" w:eastAsia="仿宋_GB2312"/>
                <w:sz w:val="27"/>
                <w:color w:val="000000"/>
              </w:rPr>
              <w:t>分化工企业对标指导帮扶，排查辖区化工企业存在的共性问题，建立</w:t>
            </w:r>
            <w:r>
              <w:rPr>
                <w:rFonts w:ascii="仿宋_GB2312" w:hAnsi="仿宋_GB2312" w:cs="仿宋_GB2312" w:eastAsia="仿宋_GB2312"/>
                <w:sz w:val="27"/>
                <w:color w:val="000000"/>
              </w:rPr>
              <w:t>问题清单，提出有针对性的改进措施，编制隐患排查汇总报告，对化</w:t>
            </w:r>
            <w:r>
              <w:rPr>
                <w:rFonts w:ascii="仿宋_GB2312" w:hAnsi="仿宋_GB2312" w:cs="仿宋_GB2312" w:eastAsia="仿宋_GB2312"/>
                <w:sz w:val="27"/>
                <w:color w:val="000000"/>
              </w:rPr>
              <w:t>工企业整改情况实施复查，形成复查报告。</w:t>
            </w:r>
          </w:p>
          <w:p>
            <w:pPr>
              <w:pStyle w:val="null3"/>
              <w:spacing w:before="30"/>
              <w:ind w:left="1380"/>
              <w:jc w:val="left"/>
            </w:pPr>
            <w:r>
              <w:rPr>
                <w:rFonts w:ascii="仿宋_GB2312" w:hAnsi="仿宋_GB2312" w:cs="仿宋_GB2312" w:eastAsia="仿宋_GB2312"/>
                <w:sz w:val="27"/>
                <w:color w:val="000000"/>
              </w:rPr>
              <w:t>(二)精细化工企业指导帮扶</w:t>
            </w:r>
          </w:p>
          <w:p>
            <w:pPr>
              <w:pStyle w:val="null3"/>
              <w:spacing w:before="285"/>
              <w:ind w:left="720" w:right="105" w:firstLine="519"/>
              <w:jc w:val="both"/>
            </w:pPr>
            <w:r>
              <w:rPr>
                <w:rFonts w:ascii="仿宋_GB2312" w:hAnsi="仿宋_GB2312" w:cs="仿宋_GB2312" w:eastAsia="仿宋_GB2312"/>
                <w:sz w:val="27"/>
                <w:color w:val="000000"/>
              </w:rPr>
              <w:t>服务内容：对精细化工企业从总体要求、工艺要求、规划</w:t>
            </w:r>
            <w:r>
              <w:rPr>
                <w:rFonts w:ascii="仿宋_GB2312" w:hAnsi="仿宋_GB2312" w:cs="仿宋_GB2312" w:eastAsia="仿宋_GB2312"/>
                <w:sz w:val="27"/>
                <w:color w:val="000000"/>
              </w:rPr>
              <w:t>布局与</w:t>
            </w:r>
            <w:r>
              <w:rPr>
                <w:rFonts w:ascii="仿宋_GB2312" w:hAnsi="仿宋_GB2312" w:cs="仿宋_GB2312" w:eastAsia="仿宋_GB2312"/>
                <w:sz w:val="27"/>
                <w:color w:val="000000"/>
              </w:rPr>
              <w:t>总图布置、设计要求、试生产管理、运行管理、检维修管理、应急管</w:t>
            </w:r>
            <w:r>
              <w:rPr>
                <w:rFonts w:ascii="仿宋_GB2312" w:hAnsi="仿宋_GB2312" w:cs="仿宋_GB2312" w:eastAsia="仿宋_GB2312"/>
                <w:sz w:val="27"/>
                <w:color w:val="000000"/>
              </w:rPr>
              <w:t>理以及常见危险化工工艺安全风险管控关键要求</w:t>
            </w:r>
            <w:r>
              <w:rPr>
                <w:rFonts w:ascii="仿宋_GB2312" w:hAnsi="仿宋_GB2312" w:cs="仿宋_GB2312" w:eastAsia="仿宋_GB2312"/>
                <w:sz w:val="27"/>
                <w:color w:val="000000"/>
              </w:rPr>
              <w:t>等方面，按工艺、设</w:t>
            </w:r>
            <w:r>
              <w:rPr>
                <w:rFonts w:ascii="仿宋_GB2312" w:hAnsi="仿宋_GB2312" w:cs="仿宋_GB2312" w:eastAsia="仿宋_GB2312"/>
                <w:sz w:val="27"/>
                <w:color w:val="000000"/>
              </w:rPr>
              <w:t>备、仪表、安全、总图等专业对辖区精细化工企业对标实施全覆盖专</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家指导帮扶，通过专家指导帮扶，督促辖区企业逐步向新标准要求靠</w:t>
            </w:r>
            <w:r>
              <w:rPr>
                <w:rFonts w:ascii="仿宋_GB2312" w:hAnsi="仿宋_GB2312" w:cs="仿宋_GB2312" w:eastAsia="仿宋_GB2312"/>
                <w:sz w:val="27"/>
                <w:color w:val="000000"/>
              </w:rPr>
              <w:t>拢，协助企业制定整改方案，降低企业安全风险。</w:t>
            </w:r>
          </w:p>
          <w:p>
            <w:pPr>
              <w:pStyle w:val="null3"/>
              <w:spacing w:before="45"/>
              <w:ind w:left="1380"/>
              <w:jc w:val="left"/>
            </w:pPr>
            <w:r>
              <w:rPr>
                <w:rFonts w:ascii="仿宋_GB2312" w:hAnsi="仿宋_GB2312" w:cs="仿宋_GB2312" w:eastAsia="仿宋_GB2312"/>
                <w:sz w:val="27"/>
                <w:color w:val="000000"/>
              </w:rPr>
              <w:t>(三)危险化学品罐区专项指导帮扶</w:t>
            </w:r>
          </w:p>
          <w:p>
            <w:pPr>
              <w:pStyle w:val="null3"/>
              <w:spacing w:before="270"/>
              <w:ind w:left="720" w:firstLine="519"/>
              <w:jc w:val="left"/>
            </w:pPr>
            <w:r>
              <w:rPr>
                <w:rFonts w:ascii="仿宋_GB2312" w:hAnsi="仿宋_GB2312" w:cs="仿宋_GB2312" w:eastAsia="仿宋_GB2312"/>
                <w:sz w:val="27"/>
                <w:color w:val="000000"/>
              </w:rPr>
              <w:t>服务内容：针对辖区企业液化烃储罐区、常压储罐区，从罐</w:t>
            </w:r>
            <w:r>
              <w:rPr>
                <w:rFonts w:ascii="仿宋_GB2312" w:hAnsi="仿宋_GB2312" w:cs="仿宋_GB2312" w:eastAsia="仿宋_GB2312"/>
                <w:sz w:val="27"/>
                <w:color w:val="000000"/>
              </w:rPr>
              <w:t>区总</w:t>
            </w:r>
            <w:r>
              <w:rPr>
                <w:rFonts w:ascii="仿宋_GB2312" w:hAnsi="仿宋_GB2312" w:cs="仿宋_GB2312" w:eastAsia="仿宋_GB2312"/>
                <w:sz w:val="27"/>
                <w:color w:val="000000"/>
              </w:rPr>
              <w:t>体布局，储罐工艺、设备、布置、防雷接地、自控和仪表、安全设施、</w:t>
            </w:r>
            <w:r>
              <w:rPr>
                <w:rFonts w:ascii="仿宋_GB2312" w:hAnsi="仿宋_GB2312" w:cs="仿宋_GB2312" w:eastAsia="仿宋_GB2312"/>
                <w:sz w:val="27"/>
                <w:color w:val="000000"/>
              </w:rPr>
              <w:t>消防，日常安全运行，检维修管理，应急管理等方面开展指导帮扶。</w:t>
            </w:r>
            <w:r>
              <w:rPr>
                <w:rFonts w:ascii="仿宋_GB2312" w:hAnsi="仿宋_GB2312" w:cs="仿宋_GB2312" w:eastAsia="仿宋_GB2312"/>
                <w:sz w:val="27"/>
                <w:color w:val="000000"/>
              </w:rPr>
              <w:t>提升本质安全水平，从源头上消除重大安全隐</w:t>
            </w:r>
            <w:r>
              <w:rPr>
                <w:rFonts w:ascii="仿宋_GB2312" w:hAnsi="仿宋_GB2312" w:cs="仿宋_GB2312" w:eastAsia="仿宋_GB2312"/>
                <w:sz w:val="27"/>
                <w:color w:val="000000"/>
              </w:rPr>
              <w:t>患；指导企业实现风险</w:t>
            </w:r>
            <w:r>
              <w:rPr>
                <w:rFonts w:ascii="仿宋_GB2312" w:hAnsi="仿宋_GB2312" w:cs="仿宋_GB2312" w:eastAsia="仿宋_GB2312"/>
                <w:sz w:val="27"/>
                <w:color w:val="000000"/>
              </w:rPr>
              <w:t>动态监控与有效控制。</w:t>
            </w:r>
          </w:p>
          <w:p>
            <w:pPr>
              <w:pStyle w:val="null3"/>
              <w:ind w:left="1380"/>
              <w:jc w:val="left"/>
            </w:pPr>
            <w:r>
              <w:rPr>
                <w:rFonts w:ascii="仿宋_GB2312" w:hAnsi="仿宋_GB2312" w:cs="仿宋_GB2312" w:eastAsia="仿宋_GB2312"/>
                <w:sz w:val="27"/>
                <w:color w:val="000000"/>
              </w:rPr>
              <w:t>(四)试生产企业专项指导帮扶</w:t>
            </w:r>
          </w:p>
          <w:p>
            <w:pPr>
              <w:pStyle w:val="null3"/>
            </w:pPr>
            <w:r>
              <w:rPr>
                <w:rFonts w:ascii="仿宋_GB2312" w:hAnsi="仿宋_GB2312" w:cs="仿宋_GB2312" w:eastAsia="仿宋_GB2312"/>
                <w:sz w:val="27"/>
                <w:color w:val="000000"/>
              </w:rPr>
              <w:t>服务内容</w:t>
            </w:r>
            <w:r>
              <w:rPr>
                <w:rFonts w:ascii="仿宋_GB2312" w:hAnsi="仿宋_GB2312" w:cs="仿宋_GB2312" w:eastAsia="仿宋_GB2312"/>
                <w:sz w:val="27"/>
                <w:color w:val="000000"/>
              </w:rPr>
              <w:t>：核查试生产企业人员的学历和专业、三级培训教育情</w:t>
            </w:r>
            <w:r>
              <w:rPr>
                <w:rFonts w:ascii="仿宋_GB2312" w:hAnsi="仿宋_GB2312" w:cs="仿宋_GB2312" w:eastAsia="仿宋_GB2312"/>
                <w:sz w:val="27"/>
                <w:color w:val="000000"/>
              </w:rPr>
              <w:t>况；主要负责人、安全管理人员、特种作业人员、特种设备作业人员</w:t>
            </w:r>
            <w:r>
              <w:rPr>
                <w:rFonts w:ascii="仿宋_GB2312" w:hAnsi="仿宋_GB2312" w:cs="仿宋_GB2312" w:eastAsia="仿宋_GB2312"/>
                <w:sz w:val="27"/>
                <w:color w:val="000000"/>
              </w:rPr>
              <w:t>持证情况；试生产方案审查情况；安全生产规章制度建设情况；试生</w:t>
            </w:r>
            <w:r>
              <w:rPr>
                <w:rFonts w:ascii="仿宋_GB2312" w:hAnsi="仿宋_GB2312" w:cs="仿宋_GB2312" w:eastAsia="仿宋_GB2312"/>
                <w:sz w:val="27"/>
                <w:color w:val="000000"/>
              </w:rPr>
              <w:t>产过程可能出现安全问题的对策措施及应急处置措施制定情况；是否</w:t>
            </w:r>
            <w:r>
              <w:rPr>
                <w:rFonts w:ascii="仿宋_GB2312" w:hAnsi="仿宋_GB2312" w:cs="仿宋_GB2312" w:eastAsia="仿宋_GB2312"/>
                <w:sz w:val="27"/>
                <w:color w:val="000000"/>
              </w:rPr>
              <w:t>有效开展开车前安全审查，在投料开车前审查发现的问题是否整改到</w:t>
            </w:r>
            <w:r>
              <w:rPr>
                <w:rFonts w:ascii="仿宋_GB2312" w:hAnsi="仿宋_GB2312" w:cs="仿宋_GB2312" w:eastAsia="仿宋_GB2312"/>
                <w:sz w:val="27"/>
                <w:color w:val="000000"/>
              </w:rPr>
              <w:t>位；试生产过程中，各类操作、维护、作业和变更过程是否严格执行</w:t>
            </w:r>
            <w:r>
              <w:rPr>
                <w:rFonts w:ascii="仿宋_GB2312" w:hAnsi="仿宋_GB2312" w:cs="仿宋_GB2312" w:eastAsia="仿宋_GB2312"/>
                <w:sz w:val="27"/>
                <w:color w:val="000000"/>
              </w:rPr>
              <w:t>安全生产规章制度和操作规程；是否配备试生产所需物资、个体防护</w:t>
            </w:r>
            <w:r>
              <w:rPr>
                <w:rFonts w:ascii="仿宋_GB2312" w:hAnsi="仿宋_GB2312" w:cs="仿宋_GB2312" w:eastAsia="仿宋_GB2312"/>
                <w:sz w:val="27"/>
                <w:color w:val="000000"/>
              </w:rPr>
              <w:t>用品、应急物资装备；设备及管道试压、吹扫、气密、单机试车、仪</w:t>
            </w:r>
            <w:r>
              <w:rPr>
                <w:rFonts w:ascii="仿宋_GB2312" w:hAnsi="仿宋_GB2312" w:cs="仿宋_GB2312" w:eastAsia="仿宋_GB2312"/>
                <w:sz w:val="27"/>
                <w:color w:val="000000"/>
              </w:rPr>
              <w:t>表调校、联动试车等完成情况；重大危险源的企业监控</w:t>
            </w:r>
            <w:r>
              <w:rPr>
                <w:rFonts w:ascii="仿宋_GB2312" w:hAnsi="仿宋_GB2312" w:cs="仿宋_GB2312" w:eastAsia="仿宋_GB2312"/>
                <w:sz w:val="27"/>
                <w:color w:val="000000"/>
              </w:rPr>
              <w:t>措施和接入系</w:t>
            </w:r>
            <w:r>
              <w:rPr>
                <w:rFonts w:ascii="仿宋_GB2312" w:hAnsi="仿宋_GB2312" w:cs="仿宋_GB2312" w:eastAsia="仿宋_GB2312"/>
                <w:sz w:val="27"/>
                <w:color w:val="000000"/>
              </w:rPr>
              <w:t>统情况；工艺提供方、设计单位、施工单位、监理单位、建设单位会</w:t>
            </w:r>
            <w:r>
              <w:rPr>
                <w:rFonts w:ascii="仿宋_GB2312" w:hAnsi="仿宋_GB2312" w:cs="仿宋_GB2312" w:eastAsia="仿宋_GB2312"/>
                <w:sz w:val="27"/>
                <w:color w:val="000000"/>
              </w:rPr>
              <w:t>签意见；</w:t>
            </w:r>
            <w:r>
              <w:rPr>
                <w:rFonts w:ascii="仿宋_GB2312" w:hAnsi="仿宋_GB2312" w:cs="仿宋_GB2312" w:eastAsia="仿宋_GB2312"/>
                <w:sz w:val="27"/>
                <w:color w:val="000000"/>
              </w:rPr>
              <w:t>“三查四定”开展情况。</w:t>
            </w:r>
          </w:p>
          <w:p>
            <w:pPr>
              <w:pStyle w:val="null3"/>
              <w:spacing w:before="75"/>
              <w:ind w:left="1410"/>
              <w:jc w:val="left"/>
            </w:pPr>
            <w:r>
              <w:rPr>
                <w:rFonts w:ascii="仿宋_GB2312" w:hAnsi="仿宋_GB2312" w:cs="仿宋_GB2312" w:eastAsia="仿宋_GB2312"/>
                <w:sz w:val="27"/>
                <w:color w:val="000000"/>
              </w:rPr>
              <w:t>(五)涉尘企业专项指导帮扶</w:t>
            </w:r>
          </w:p>
          <w:p>
            <w:pPr>
              <w:pStyle w:val="null3"/>
              <w:spacing w:before="270"/>
              <w:ind w:left="720" w:right="105" w:firstLine="529"/>
              <w:jc w:val="both"/>
            </w:pPr>
            <w:r>
              <w:rPr>
                <w:rFonts w:ascii="仿宋_GB2312" w:hAnsi="仿宋_GB2312" w:cs="仿宋_GB2312" w:eastAsia="仿宋_GB2312"/>
                <w:sz w:val="27"/>
                <w:color w:val="000000"/>
              </w:rPr>
              <w:t>服务内容：以法规标准为准绳、现场</w:t>
            </w:r>
            <w:r>
              <w:rPr>
                <w:rFonts w:ascii="仿宋_GB2312" w:hAnsi="仿宋_GB2312" w:cs="仿宋_GB2312" w:eastAsia="仿宋_GB2312"/>
                <w:sz w:val="27"/>
                <w:color w:val="000000"/>
              </w:rPr>
              <w:t>“解剖式”排查为核心、整</w:t>
            </w:r>
            <w:r>
              <w:rPr>
                <w:rFonts w:ascii="仿宋_GB2312" w:hAnsi="仿宋_GB2312" w:cs="仿宋_GB2312" w:eastAsia="仿宋_GB2312"/>
                <w:sz w:val="27"/>
                <w:color w:val="000000"/>
              </w:rPr>
              <w:t>改闭环与能力提升为目标，覆盖制度、现场、设备、管理、应急五大</w:t>
            </w:r>
            <w:r>
              <w:rPr>
                <w:rFonts w:ascii="仿宋_GB2312" w:hAnsi="仿宋_GB2312" w:cs="仿宋_GB2312" w:eastAsia="仿宋_GB2312"/>
                <w:sz w:val="27"/>
                <w:color w:val="000000"/>
              </w:rPr>
              <w:t>模块进行全面指导帮扶，围绕隐患消除、合规达标、能力提升、风险</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可控四大维度，使积尘严重、压缩空气吹扫、动火作业无清尘等高频</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隐患得到显著改善。</w:t>
            </w:r>
          </w:p>
          <w:p>
            <w:pPr>
              <w:pStyle w:val="null3"/>
              <w:ind w:left="1425"/>
              <w:jc w:val="left"/>
            </w:pPr>
            <w:r>
              <w:rPr>
                <w:rFonts w:ascii="仿宋_GB2312" w:hAnsi="仿宋_GB2312" w:cs="仿宋_GB2312" w:eastAsia="仿宋_GB2312"/>
                <w:sz w:val="27"/>
                <w:color w:val="000000"/>
              </w:rPr>
              <w:t>(六)涉氟、涉氯企业专项指导帮扶</w:t>
            </w:r>
          </w:p>
          <w:p>
            <w:pPr>
              <w:pStyle w:val="null3"/>
              <w:spacing w:before="285"/>
              <w:ind w:left="720" w:firstLine="529"/>
              <w:jc w:val="both"/>
            </w:pPr>
            <w:r>
              <w:rPr>
                <w:rFonts w:ascii="仿宋_GB2312" w:hAnsi="仿宋_GB2312" w:cs="仿宋_GB2312" w:eastAsia="仿宋_GB2312"/>
                <w:sz w:val="27"/>
                <w:color w:val="000000"/>
              </w:rPr>
              <w:t>服务内容：紧扣工艺安全、全流程自动化控制、</w:t>
            </w:r>
            <w:r>
              <w:rPr>
                <w:rFonts w:ascii="仿宋_GB2312" w:hAnsi="仿宋_GB2312" w:cs="仿宋_GB2312" w:eastAsia="仿宋_GB2312"/>
                <w:sz w:val="27"/>
                <w:color w:val="000000"/>
              </w:rPr>
              <w:t>储存防护、应急</w:t>
            </w:r>
            <w:r>
              <w:rPr>
                <w:rFonts w:ascii="仿宋_GB2312" w:hAnsi="仿宋_GB2312" w:cs="仿宋_GB2312" w:eastAsia="仿宋_GB2312"/>
                <w:sz w:val="27"/>
                <w:color w:val="000000"/>
              </w:rPr>
              <w:t>处置等核心风险点，实施精准指导、闭环整改。氟化工艺重点核查反</w:t>
            </w:r>
            <w:r>
              <w:rPr>
                <w:rFonts w:ascii="仿宋_GB2312" w:hAnsi="仿宋_GB2312" w:cs="仿宋_GB2312" w:eastAsia="仿宋_GB2312"/>
                <w:sz w:val="27"/>
                <w:color w:val="000000"/>
              </w:rPr>
              <w:t>应放热失控风险，反应温度、压力、物料配比、</w:t>
            </w:r>
            <w:r>
              <w:rPr>
                <w:rFonts w:ascii="仿宋_GB2312" w:hAnsi="仿宋_GB2312" w:cs="仿宋_GB2312" w:eastAsia="仿宋_GB2312"/>
                <w:sz w:val="27"/>
                <w:color w:val="000000"/>
              </w:rPr>
              <w:t>搅拌电流联锁，超温、</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超压、搅拌中断等自动切断进料；氟化氢投料控制，超量、超温、超</w:t>
            </w:r>
            <w:r>
              <w:rPr>
                <w:rFonts w:ascii="仿宋_GB2312" w:hAnsi="仿宋_GB2312" w:cs="仿宋_GB2312" w:eastAsia="仿宋_GB2312"/>
                <w:sz w:val="27"/>
                <w:color w:val="000000"/>
              </w:rPr>
              <w:t>压投料控制情况。氟化氢储罐重点核查耐压、</w:t>
            </w:r>
            <w:r>
              <w:rPr>
                <w:rFonts w:ascii="仿宋_GB2312" w:hAnsi="仿宋_GB2312" w:cs="仿宋_GB2312" w:eastAsia="仿宋_GB2312"/>
                <w:sz w:val="27"/>
                <w:color w:val="000000"/>
              </w:rPr>
              <w:t>低温、防腐情况，储罐</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紧急切断阀、双安全阀、压力/液位远传报警、高低液位/压力联锁</w:t>
            </w:r>
            <w:r>
              <w:rPr>
                <w:rFonts w:ascii="仿宋_GB2312" w:hAnsi="仿宋_GB2312" w:cs="仿宋_GB2312" w:eastAsia="仿宋_GB2312"/>
                <w:sz w:val="27"/>
                <w:color w:val="000000"/>
              </w:rPr>
              <w:t>切断进料设置情况，储罐区防火堤、围堰、喷淋降温、中和吸收系统</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设置情况。氯化工艺重点核查反应温度、压力、氯气流量联锁情况；</w:t>
            </w:r>
            <w:r>
              <w:rPr>
                <w:rFonts w:ascii="仿宋_GB2312" w:hAnsi="仿宋_GB2312" w:cs="仿宋_GB2312" w:eastAsia="仿宋_GB2312"/>
                <w:sz w:val="27"/>
                <w:color w:val="000000"/>
              </w:rPr>
              <w:t>工艺超指标自动切断和紧急停车设置情况；尾气吸收系统设置情况。</w:t>
            </w:r>
            <w:r>
              <w:rPr>
                <w:rFonts w:ascii="仿宋_GB2312" w:hAnsi="仿宋_GB2312" w:cs="仿宋_GB2312" w:eastAsia="仿宋_GB2312"/>
                <w:sz w:val="27"/>
                <w:color w:val="000000"/>
              </w:rPr>
              <w:t>液氯储存场所是否专库专用、库内负压、防爆通风；是否落实紧急切</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断、氯气泄漏检测报警，储罐双安全阀、喷淋装置完好等；是否配备</w:t>
            </w:r>
            <w:r>
              <w:rPr>
                <w:rFonts w:ascii="仿宋_GB2312" w:hAnsi="仿宋_GB2312" w:cs="仿宋_GB2312" w:eastAsia="仿宋_GB2312"/>
                <w:sz w:val="27"/>
                <w:color w:val="000000"/>
              </w:rPr>
              <w:t>氯气吸收中和装置、堵漏工具、负压抽吸系统。过氧化工艺重点核查</w:t>
            </w:r>
            <w:r>
              <w:rPr>
                <w:rFonts w:ascii="仿宋_GB2312" w:hAnsi="仿宋_GB2312" w:cs="仿宋_GB2312" w:eastAsia="仿宋_GB2312"/>
                <w:sz w:val="27"/>
                <w:color w:val="000000"/>
              </w:rPr>
              <w:t>温度、搅拌、氧含量、惰性气体保护联锁设置，超温紧急冷却、停车</w:t>
            </w:r>
            <w:r>
              <w:rPr>
                <w:rFonts w:ascii="仿宋_GB2312" w:hAnsi="仿宋_GB2312" w:cs="仿宋_GB2312" w:eastAsia="仿宋_GB2312"/>
                <w:sz w:val="27"/>
                <w:color w:val="000000"/>
              </w:rPr>
              <w:t>系统设置情况；超温、超压、停电、停搅拌联锁设置情</w:t>
            </w:r>
            <w:r>
              <w:rPr>
                <w:rFonts w:ascii="仿宋_GB2312" w:hAnsi="仿宋_GB2312" w:cs="仿宋_GB2312" w:eastAsia="仿宋_GB2312"/>
                <w:sz w:val="27"/>
                <w:color w:val="000000"/>
              </w:rPr>
              <w:t>况。</w:t>
            </w:r>
          </w:p>
          <w:p>
            <w:pPr>
              <w:pStyle w:val="null3"/>
            </w:pPr>
            <w:r>
              <w:rPr>
                <w:rFonts w:ascii="仿宋_GB2312" w:hAnsi="仿宋_GB2312" w:cs="仿宋_GB2312" w:eastAsia="仿宋_GB2312"/>
                <w:sz w:val="27"/>
                <w:color w:val="000000"/>
              </w:rPr>
              <w:t>(七)自控及仪表专项指导帮扶</w:t>
            </w:r>
          </w:p>
          <w:p>
            <w:pPr>
              <w:pStyle w:val="null3"/>
              <w:spacing w:before="255"/>
              <w:ind w:left="915" w:right="30" w:firstLine="570"/>
              <w:jc w:val="both"/>
            </w:pPr>
            <w:r>
              <w:rPr>
                <w:rFonts w:ascii="仿宋_GB2312" w:hAnsi="仿宋_GB2312" w:cs="仿宋_GB2312" w:eastAsia="仿宋_GB2312"/>
                <w:sz w:val="27"/>
                <w:color w:val="000000"/>
              </w:rPr>
              <w:t>服务内容：核查企业是否按要求开展反应风险评估以及评估内容</w:t>
            </w:r>
            <w:r>
              <w:rPr>
                <w:rFonts w:ascii="仿宋_GB2312" w:hAnsi="仿宋_GB2312" w:cs="仿宋_GB2312" w:eastAsia="仿宋_GB2312"/>
                <w:sz w:val="27"/>
                <w:color w:val="000000"/>
              </w:rPr>
              <w:t>完整性，评估结果是否用于工艺优化、联锁设置。核查企业是否开展</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HAZOP全流程分析，是否开展LOPA</w:t>
            </w:r>
            <w:r>
              <w:rPr>
                <w:rFonts w:ascii="仿宋_GB2312" w:hAnsi="仿宋_GB2312" w:cs="仿宋_GB2312" w:eastAsia="仿宋_GB2312"/>
                <w:sz w:val="27"/>
                <w:color w:val="000000"/>
              </w:rPr>
              <w:t>分析，是否科学核定</w:t>
            </w:r>
            <w:r>
              <w:rPr>
                <w:rFonts w:ascii="仿宋_GB2312" w:hAnsi="仿宋_GB2312" w:cs="仿宋_GB2312" w:eastAsia="仿宋_GB2312"/>
                <w:sz w:val="27"/>
                <w:color w:val="000000"/>
              </w:rPr>
              <w:t>SIL</w:t>
            </w:r>
            <w:r>
              <w:rPr>
                <w:rFonts w:ascii="仿宋_GB2312" w:hAnsi="仿宋_GB2312" w:cs="仿宋_GB2312" w:eastAsia="仿宋_GB2312"/>
                <w:sz w:val="27"/>
                <w:color w:val="000000"/>
              </w:rPr>
              <w:t>等级，</w:t>
            </w:r>
            <w:r>
              <w:rPr>
                <w:rFonts w:ascii="仿宋_GB2312" w:hAnsi="仿宋_GB2312" w:cs="仿宋_GB2312" w:eastAsia="仿宋_GB2312"/>
                <w:sz w:val="27"/>
                <w:color w:val="000000"/>
              </w:rPr>
              <w:t>HAZOP</w:t>
            </w:r>
            <w:r>
              <w:rPr>
                <w:rFonts w:ascii="仿宋_GB2312" w:hAnsi="仿宋_GB2312" w:cs="仿宋_GB2312" w:eastAsia="仿宋_GB2312"/>
                <w:sz w:val="27"/>
                <w:color w:val="000000"/>
              </w:rPr>
              <w:t>提出整改项、</w:t>
            </w:r>
            <w:r>
              <w:rPr>
                <w:rFonts w:ascii="仿宋_GB2312" w:hAnsi="仿宋_GB2312" w:cs="仿宋_GB2312" w:eastAsia="仿宋_GB2312"/>
                <w:sz w:val="27"/>
                <w:color w:val="000000"/>
              </w:rPr>
              <w:t>LOPA</w:t>
            </w:r>
            <w:r>
              <w:rPr>
                <w:rFonts w:ascii="仿宋_GB2312" w:hAnsi="仿宋_GB2312" w:cs="仿宋_GB2312" w:eastAsia="仿宋_GB2312"/>
                <w:sz w:val="24"/>
                <w:color w:val="000000"/>
              </w:rPr>
              <w:t xml:space="preserve"> </w:t>
            </w:r>
            <w:r>
              <w:rPr>
                <w:rFonts w:ascii="仿宋_GB2312" w:hAnsi="仿宋_GB2312" w:cs="仿宋_GB2312" w:eastAsia="仿宋_GB2312"/>
                <w:sz w:val="27"/>
                <w:color w:val="000000"/>
              </w:rPr>
              <w:t>确定</w:t>
            </w:r>
            <w:r>
              <w:rPr>
                <w:rFonts w:ascii="仿宋_GB2312" w:hAnsi="仿宋_GB2312" w:cs="仿宋_GB2312" w:eastAsia="仿宋_GB2312"/>
                <w:sz w:val="27"/>
                <w:color w:val="000000"/>
              </w:rPr>
              <w:t>SIL</w:t>
            </w:r>
            <w:r>
              <w:rPr>
                <w:rFonts w:ascii="仿宋_GB2312" w:hAnsi="仿宋_GB2312" w:cs="仿宋_GB2312" w:eastAsia="仿宋_GB2312"/>
                <w:sz w:val="27"/>
                <w:color w:val="000000"/>
              </w:rPr>
              <w:t>要求是否闭环落实；</w:t>
            </w:r>
            <w:r>
              <w:rPr>
                <w:rFonts w:ascii="仿宋_GB2312" w:hAnsi="仿宋_GB2312" w:cs="仿宋_GB2312" w:eastAsia="仿宋_GB2312"/>
                <w:sz w:val="27"/>
                <w:color w:val="000000"/>
              </w:rPr>
              <w:t>SIS</w:t>
            </w:r>
            <w:r>
              <w:rPr>
                <w:rFonts w:ascii="仿宋_GB2312" w:hAnsi="仿宋_GB2312" w:cs="仿宋_GB2312" w:eastAsia="仿宋_GB2312"/>
                <w:sz w:val="27"/>
                <w:color w:val="000000"/>
              </w:rPr>
              <w:t>设置是否符合《化</w:t>
            </w:r>
            <w:r>
              <w:rPr>
                <w:rFonts w:ascii="仿宋_GB2312" w:hAnsi="仿宋_GB2312" w:cs="仿宋_GB2312" w:eastAsia="仿宋_GB2312"/>
                <w:sz w:val="27"/>
                <w:color w:val="000000"/>
              </w:rPr>
              <w:t>工安全仪表系统管理规范》管理要求，是否存在违规摘除、屏蔽、停</w:t>
            </w:r>
            <w:r>
              <w:rPr>
                <w:rFonts w:ascii="仿宋_GB2312" w:hAnsi="仿宋_GB2312" w:cs="仿宋_GB2312" w:eastAsia="仿宋_GB2312"/>
                <w:sz w:val="27"/>
                <w:color w:val="000000"/>
              </w:rPr>
              <w:t>用、缺失安全仪表</w:t>
            </w:r>
            <w:r>
              <w:rPr>
                <w:rFonts w:ascii="仿宋_GB2312" w:hAnsi="仿宋_GB2312" w:cs="仿宋_GB2312" w:eastAsia="仿宋_GB2312"/>
                <w:sz w:val="27"/>
                <w:color w:val="000000"/>
              </w:rPr>
              <w:t>/联锁。通过核查反应风险评估、HAZOP/LOPA</w:t>
            </w:r>
            <w:r>
              <w:rPr>
                <w:rFonts w:ascii="仿宋_GB2312" w:hAnsi="仿宋_GB2312" w:cs="仿宋_GB2312" w:eastAsia="仿宋_GB2312"/>
                <w:sz w:val="27"/>
                <w:color w:val="000000"/>
              </w:rPr>
              <w:t>分</w:t>
            </w:r>
            <w:r>
              <w:rPr>
                <w:rFonts w:ascii="仿宋_GB2312" w:hAnsi="仿宋_GB2312" w:cs="仿宋_GB2312" w:eastAsia="仿宋_GB2312"/>
                <w:sz w:val="27"/>
                <w:color w:val="000000"/>
              </w:rPr>
              <w:t>析措施落实情况、安全仪表系统设置情况，协助制定</w:t>
            </w:r>
            <w:r>
              <w:rPr>
                <w:rFonts w:ascii="仿宋_GB2312" w:hAnsi="仿宋_GB2312" w:cs="仿宋_GB2312" w:eastAsia="仿宋_GB2312"/>
                <w:sz w:val="27"/>
                <w:color w:val="000000"/>
              </w:rPr>
              <w:t>“一企一案”,</w:t>
            </w:r>
            <w:r>
              <w:rPr>
                <w:rFonts w:ascii="仿宋_GB2312" w:hAnsi="仿宋_GB2312" w:cs="仿宋_GB2312" w:eastAsia="仿宋_GB2312"/>
                <w:sz w:val="27"/>
                <w:color w:val="000000"/>
              </w:rPr>
              <w:t>全面提升企业自控系统和安全仪表系统建设与管理水平。</w:t>
            </w:r>
          </w:p>
          <w:p>
            <w:pPr>
              <w:pStyle w:val="null3"/>
              <w:ind w:left="154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7"/>
                <w:color w:val="000000"/>
              </w:rPr>
              <w:t>二、安全培训教育类</w:t>
            </w:r>
          </w:p>
          <w:p>
            <w:pPr>
              <w:pStyle w:val="null3"/>
              <w:spacing w:before="255"/>
              <w:ind w:left="915" w:firstLine="619"/>
              <w:jc w:val="left"/>
            </w:pPr>
            <w:r>
              <w:rPr>
                <w:rFonts w:ascii="仿宋_GB2312" w:hAnsi="仿宋_GB2312" w:cs="仿宋_GB2312" w:eastAsia="仿宋_GB2312"/>
                <w:sz w:val="27"/>
                <w:color w:val="000000"/>
              </w:rPr>
              <w:t>服务内容：按照行业监管部门、企业负责人、专职管理人员、特</w:t>
            </w:r>
            <w:r>
              <w:rPr>
                <w:rFonts w:ascii="仿宋_GB2312" w:hAnsi="仿宋_GB2312" w:cs="仿宋_GB2312" w:eastAsia="仿宋_GB2312"/>
                <w:sz w:val="27"/>
                <w:color w:val="000000"/>
              </w:rPr>
              <w:t>殊作业操作人员四个层面开展安全培训教育，并对安全培训效果实施</w:t>
            </w:r>
            <w:r>
              <w:rPr>
                <w:rFonts w:ascii="仿宋_GB2312" w:hAnsi="仿宋_GB2312" w:cs="仿宋_GB2312" w:eastAsia="仿宋_GB2312"/>
                <w:sz w:val="26"/>
                <w:color w:val="000000"/>
              </w:rPr>
              <w:t>考核，通过实施培训教育与考核，推动行业监管部门了解国家最新政</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策和监管责任、属地责任；推动企业负责人强化安全责任意识、提升</w:t>
            </w:r>
            <w:r>
              <w:rPr>
                <w:rFonts w:ascii="仿宋_GB2312" w:hAnsi="仿宋_GB2312" w:cs="仿宋_GB2312" w:eastAsia="仿宋_GB2312"/>
                <w:sz w:val="26"/>
                <w:color w:val="000000"/>
              </w:rPr>
              <w:t>管理能力、掌握风险防控与应急处置技能，专职管理人员掌握安全生</w:t>
            </w:r>
            <w:r>
              <w:rPr>
                <w:rFonts w:ascii="仿宋_GB2312" w:hAnsi="仿宋_GB2312" w:cs="仿宋_GB2312" w:eastAsia="仿宋_GB2312"/>
                <w:sz w:val="26"/>
                <w:color w:val="000000"/>
              </w:rPr>
              <w:t>产法律法规，熟知法定职责与法律责任，有效运用安全管理方法开展</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风险管控与隐患治理，提升现场安全检查、应急处置、事故调查等实</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操能力，提升安全管理水平与履职效能；特殊</w:t>
            </w:r>
            <w:r>
              <w:rPr>
                <w:rFonts w:ascii="仿宋_GB2312" w:hAnsi="仿宋_GB2312" w:cs="仿宋_GB2312" w:eastAsia="仿宋_GB2312"/>
                <w:sz w:val="26"/>
                <w:color w:val="000000"/>
              </w:rPr>
              <w:t>作业人员提高风险识别</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精准化，操作行为规范化，异常工况处置专业化，防护意识本能化，</w:t>
            </w:r>
            <w:r>
              <w:rPr>
                <w:rFonts w:ascii="仿宋_GB2312" w:hAnsi="仿宋_GB2312" w:cs="仿宋_GB2312" w:eastAsia="仿宋_GB2312"/>
                <w:sz w:val="26"/>
                <w:color w:val="000000"/>
              </w:rPr>
              <w:t>强化隐患闭环管理能力和应急处置能力。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ind w:left="1500"/>
              <w:jc w:val="left"/>
            </w:pPr>
            <w:r>
              <w:rPr>
                <w:rFonts w:ascii="仿宋_GB2312" w:hAnsi="仿宋_GB2312" w:cs="仿宋_GB2312" w:eastAsia="仿宋_GB2312"/>
                <w:sz w:val="26"/>
                <w:color w:val="000000"/>
              </w:rPr>
              <w:t>三、</w:t>
            </w:r>
            <w:r>
              <w:rPr>
                <w:rFonts w:ascii="仿宋_GB2312" w:hAnsi="仿宋_GB2312" w:cs="仿宋_GB2312" w:eastAsia="仿宋_GB2312"/>
                <w:sz w:val="26"/>
                <w:color w:val="000000"/>
              </w:rPr>
              <w:t>“手指口述”安全作业确认法试点活动</w:t>
            </w:r>
          </w:p>
          <w:p>
            <w:pPr>
              <w:pStyle w:val="null3"/>
              <w:spacing w:before="300"/>
              <w:ind w:left="960" w:right="285" w:firstLine="540"/>
              <w:jc w:val="left"/>
            </w:pPr>
            <w:r>
              <w:rPr>
                <w:rFonts w:ascii="仿宋_GB2312" w:hAnsi="仿宋_GB2312" w:cs="仿宋_GB2312" w:eastAsia="仿宋_GB2312"/>
                <w:sz w:val="26"/>
                <w:color w:val="000000"/>
              </w:rPr>
              <w:t>服务内容：为有效提升辖区危险化学品生产、经营企业从业人员</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安全素质、安全技能和安全意识，引导企业从业人员自觉遵法守纪、</w:t>
            </w:r>
            <w:r>
              <w:rPr>
                <w:rFonts w:ascii="仿宋_GB2312" w:hAnsi="仿宋_GB2312" w:cs="仿宋_GB2312" w:eastAsia="仿宋_GB2312"/>
                <w:sz w:val="26"/>
                <w:color w:val="000000"/>
              </w:rPr>
              <w:t>按章作业，防止和减少违章指挥、违章作业、违反劳动纪律等不良行</w:t>
            </w:r>
            <w:r>
              <w:rPr>
                <w:rFonts w:ascii="仿宋_GB2312" w:hAnsi="仿宋_GB2312" w:cs="仿宋_GB2312" w:eastAsia="仿宋_GB2312"/>
                <w:sz w:val="26"/>
                <w:color w:val="000000"/>
              </w:rPr>
              <w:t>为，促进辖区安全生产形势持续稳定好转，决定在辖</w:t>
            </w:r>
            <w:r>
              <w:rPr>
                <w:rFonts w:ascii="仿宋_GB2312" w:hAnsi="仿宋_GB2312" w:cs="仿宋_GB2312" w:eastAsia="仿宋_GB2312"/>
                <w:sz w:val="26"/>
                <w:color w:val="000000"/>
              </w:rPr>
              <w:t>区危化领域开展</w:t>
            </w:r>
            <w:r>
              <w:rPr>
                <w:rFonts w:ascii="仿宋_GB2312" w:hAnsi="仿宋_GB2312" w:cs="仿宋_GB2312" w:eastAsia="仿宋_GB2312"/>
                <w:sz w:val="26"/>
                <w:color w:val="000000"/>
              </w:rPr>
              <w:t>“手指口述”安全确认作业法试点活动。帮助员工通过心想、眼看、</w:t>
            </w:r>
            <w:r>
              <w:rPr>
                <w:rFonts w:ascii="仿宋_GB2312" w:hAnsi="仿宋_GB2312" w:cs="仿宋_GB2312" w:eastAsia="仿宋_GB2312"/>
                <w:sz w:val="26"/>
                <w:color w:val="000000"/>
              </w:rPr>
              <w:t>手指、口述等方式，确保员工按规程上岗作业，有效提升企业安全管</w:t>
            </w:r>
            <w:r>
              <w:rPr>
                <w:rFonts w:ascii="仿宋_GB2312" w:hAnsi="仿宋_GB2312" w:cs="仿宋_GB2312" w:eastAsia="仿宋_GB2312"/>
                <w:sz w:val="26"/>
                <w:color w:val="000000"/>
              </w:rPr>
              <w:t>理基础水平和安全风险管控能力。</w:t>
            </w:r>
            <w:r>
              <w:rPr>
                <w:rFonts w:ascii="仿宋_GB2312" w:hAnsi="仿宋_GB2312" w:cs="仿宋_GB2312" w:eastAsia="仿宋_GB2312"/>
                <w:sz w:val="26"/>
                <w:color w:val="000000"/>
              </w:rPr>
              <w:t>“手指口述”主要是按照“干什么、</w:t>
            </w:r>
            <w:r>
              <w:rPr>
                <w:rFonts w:ascii="仿宋_GB2312" w:hAnsi="仿宋_GB2312" w:cs="仿宋_GB2312" w:eastAsia="仿宋_GB2312"/>
                <w:sz w:val="26"/>
                <w:color w:val="000000"/>
              </w:rPr>
              <w:t>说什么、怎么干、怎么说、有什么标准、说什么要求</w:t>
            </w:r>
            <w:r>
              <w:rPr>
                <w:rFonts w:ascii="仿宋_GB2312" w:hAnsi="仿宋_GB2312" w:cs="仿宋_GB2312" w:eastAsia="仿宋_GB2312"/>
                <w:sz w:val="26"/>
                <w:color w:val="000000"/>
              </w:rPr>
              <w:t>”的原则，逐岗</w:t>
            </w:r>
            <w:r>
              <w:rPr>
                <w:rFonts w:ascii="仿宋_GB2312" w:hAnsi="仿宋_GB2312" w:cs="仿宋_GB2312" w:eastAsia="仿宋_GB2312"/>
                <w:sz w:val="26"/>
                <w:color w:val="000000"/>
              </w:rPr>
              <w:t>位制定岗位职责要求和落实标准，内容力求口语化，形成</w:t>
            </w:r>
            <w:r>
              <w:rPr>
                <w:rFonts w:ascii="仿宋_GB2312" w:hAnsi="仿宋_GB2312" w:cs="仿宋_GB2312" w:eastAsia="仿宋_GB2312"/>
                <w:sz w:val="26"/>
                <w:color w:val="000000"/>
              </w:rPr>
              <w:t>“手指口述”</w:t>
            </w:r>
            <w:r>
              <w:rPr>
                <w:rFonts w:ascii="仿宋_GB2312" w:hAnsi="仿宋_GB2312" w:cs="仿宋_GB2312" w:eastAsia="仿宋_GB2312"/>
                <w:sz w:val="26"/>
                <w:color w:val="000000"/>
              </w:rPr>
              <w:t>实施手册。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6"/>
                <w:color w:val="000000"/>
              </w:rPr>
              <w:t>四</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、入园项目落地审查类</w:t>
            </w:r>
          </w:p>
          <w:p>
            <w:pPr>
              <w:pStyle w:val="null3"/>
              <w:jc w:val="left"/>
            </w:pPr>
            <w:r>
              <w:rPr>
                <w:rFonts w:ascii="仿宋_GB2312" w:hAnsi="仿宋_GB2312" w:cs="仿宋_GB2312" w:eastAsia="仿宋_GB2312"/>
                <w:sz w:val="26"/>
                <w:color w:val="000000"/>
              </w:rPr>
              <w:t>服务内容：根据《企业投资项目落地评审联系会议制度》的有关</w:t>
            </w:r>
            <w:r>
              <w:rPr>
                <w:rFonts w:ascii="仿宋_GB2312" w:hAnsi="仿宋_GB2312" w:cs="仿宋_GB2312" w:eastAsia="仿宋_GB2312"/>
                <w:sz w:val="26"/>
                <w:color w:val="000000"/>
              </w:rPr>
              <w:t>要求，对拟入园项目从产业政策、园区规划布局、选址合规性、工艺</w:t>
            </w:r>
            <w:r>
              <w:rPr>
                <w:rFonts w:ascii="仿宋_GB2312" w:hAnsi="仿宋_GB2312" w:cs="仿宋_GB2312" w:eastAsia="仿宋_GB2312"/>
                <w:sz w:val="26"/>
                <w:color w:val="000000"/>
              </w:rPr>
              <w:t>技术来源合规性、工艺设备和自控系统安全可靠性、与化园区现有企</w:t>
            </w:r>
            <w:r>
              <w:rPr>
                <w:rFonts w:ascii="仿宋_GB2312" w:hAnsi="仿宋_GB2312" w:cs="仿宋_GB2312" w:eastAsia="仿宋_GB2312"/>
                <w:sz w:val="26"/>
                <w:color w:val="000000"/>
              </w:rPr>
              <w:t>业产业链关联性等进行初步分析与判定；初步确认是否涉及国家和陕</w:t>
            </w:r>
            <w:r>
              <w:rPr>
                <w:rFonts w:ascii="仿宋_GB2312" w:hAnsi="仿宋_GB2312" w:cs="仿宋_GB2312" w:eastAsia="仿宋_GB2312"/>
                <w:sz w:val="26"/>
                <w:color w:val="000000"/>
              </w:rPr>
              <w:t>西省淘汰落后安全生产工艺技术设备、禁止生产的危险化学品；初步</w:t>
            </w:r>
            <w:r>
              <w:rPr>
                <w:rFonts w:ascii="仿宋_GB2312" w:hAnsi="仿宋_GB2312" w:cs="仿宋_GB2312" w:eastAsia="仿宋_GB2312"/>
                <w:sz w:val="26"/>
                <w:color w:val="000000"/>
              </w:rPr>
              <w:t>分析项目</w:t>
            </w:r>
            <w:r>
              <w:rPr>
                <w:rFonts w:ascii="仿宋_GB2312" w:hAnsi="仿宋_GB2312" w:cs="仿宋_GB2312" w:eastAsia="仿宋_GB2312"/>
                <w:sz w:val="26"/>
                <w:color w:val="000000"/>
              </w:rPr>
              <w:t>“</w:t>
            </w:r>
            <w:r>
              <w:rPr>
                <w:rFonts w:ascii="仿宋_GB2312" w:hAnsi="仿宋_GB2312" w:cs="仿宋_GB2312" w:eastAsia="仿宋_GB2312"/>
                <w:sz w:val="26"/>
                <w:color w:val="000000"/>
              </w:rPr>
              <w:t>两重点一重大</w:t>
            </w:r>
            <w:r>
              <w:rPr>
                <w:rFonts w:ascii="仿宋_GB2312" w:hAnsi="仿宋_GB2312" w:cs="仿宋_GB2312" w:eastAsia="仿宋_GB2312"/>
                <w:sz w:val="26"/>
                <w:color w:val="000000"/>
              </w:rPr>
              <w:t>”</w:t>
            </w:r>
            <w:r>
              <w:rPr>
                <w:rFonts w:ascii="仿宋_GB2312" w:hAnsi="仿宋_GB2312" w:cs="仿宋_GB2312" w:eastAsia="仿宋_GB2312"/>
                <w:sz w:val="26"/>
                <w:color w:val="000000"/>
              </w:rPr>
              <w:t>情况；初步预测项目整</w:t>
            </w:r>
            <w:r>
              <w:rPr>
                <w:rFonts w:ascii="仿宋_GB2312" w:hAnsi="仿宋_GB2312" w:cs="仿宋_GB2312" w:eastAsia="仿宋_GB2312"/>
                <w:sz w:val="26"/>
                <w:color w:val="000000"/>
              </w:rPr>
              <w:t>体安全风险和对园</w:t>
            </w:r>
            <w:r>
              <w:rPr>
                <w:rFonts w:ascii="仿宋_GB2312" w:hAnsi="仿宋_GB2312" w:cs="仿宋_GB2312" w:eastAsia="仿宋_GB2312"/>
                <w:sz w:val="26"/>
                <w:color w:val="000000"/>
              </w:rPr>
              <w:t>区整体安全风险外溢影响；初步判定对行业安全监管能力的要求等。</w:t>
            </w:r>
            <w:r>
              <w:rPr>
                <w:rFonts w:ascii="仿宋_GB2312" w:hAnsi="仿宋_GB2312" w:cs="仿宋_GB2312" w:eastAsia="仿宋_GB2312"/>
                <w:sz w:val="26"/>
                <w:color w:val="000000"/>
              </w:rPr>
              <w:t>从安全生产角度给出初步审查结论，分为不建议入园、建议入园、不</w:t>
            </w:r>
            <w:r>
              <w:rPr>
                <w:rFonts w:ascii="仿宋_GB2312" w:hAnsi="仿宋_GB2312" w:cs="仿宋_GB2312" w:eastAsia="仿宋_GB2312"/>
                <w:sz w:val="26"/>
                <w:color w:val="000000"/>
              </w:rPr>
              <w:t>具备给出入园结论三种结论。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ind w:left="2025"/>
              <w:jc w:val="left"/>
            </w:pPr>
            <w:r>
              <w:rPr>
                <w:rFonts w:ascii="仿宋_GB2312" w:hAnsi="仿宋_GB2312" w:cs="仿宋_GB2312" w:eastAsia="仿宋_GB2312"/>
                <w:sz w:val="26"/>
                <w:color w:val="000000"/>
              </w:rPr>
              <w:t>五</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、安全生产事故调查处置类</w:t>
            </w:r>
          </w:p>
          <w:p>
            <w:pPr>
              <w:pStyle w:val="null3"/>
              <w:jc w:val="left"/>
            </w:pPr>
            <w:r>
              <w:rPr>
                <w:rFonts w:ascii="仿宋_GB2312" w:hAnsi="仿宋_GB2312" w:cs="仿宋_GB2312" w:eastAsia="仿宋_GB2312"/>
                <w:sz w:val="26"/>
                <w:color w:val="000000"/>
              </w:rPr>
              <w:t>服务内容：在园区出现突发情况时，第一时间委派专家协助管理</w:t>
            </w:r>
            <w:r>
              <w:rPr>
                <w:rFonts w:ascii="仿宋_GB2312" w:hAnsi="仿宋_GB2312" w:cs="仿宋_GB2312" w:eastAsia="仿宋_GB2312"/>
                <w:sz w:val="26"/>
                <w:color w:val="000000"/>
              </w:rPr>
              <w:t>部门研判事故类型、事故风险特性、事故连</w:t>
            </w:r>
            <w:r>
              <w:rPr>
                <w:rFonts w:ascii="仿宋_GB2312" w:hAnsi="仿宋_GB2312" w:cs="仿宋_GB2312" w:eastAsia="仿宋_GB2312"/>
                <w:sz w:val="26"/>
                <w:color w:val="000000"/>
              </w:rPr>
              <w:t>锁扩散影响、可能引发的</w:t>
            </w:r>
            <w:r>
              <w:rPr>
                <w:rFonts w:ascii="仿宋_GB2312" w:hAnsi="仿宋_GB2312" w:cs="仿宋_GB2312" w:eastAsia="仿宋_GB2312"/>
                <w:sz w:val="26"/>
                <w:color w:val="000000"/>
              </w:rPr>
              <w:t>次生灾害，协助确定警戒疏散区、疏散范围等；协助管理部门制定现</w:t>
            </w:r>
            <w:r>
              <w:rPr>
                <w:rFonts w:ascii="仿宋_GB2312" w:hAnsi="仿宋_GB2312" w:cs="仿宋_GB2312" w:eastAsia="仿宋_GB2312"/>
                <w:sz w:val="26"/>
                <w:color w:val="000000"/>
              </w:rPr>
              <w:t>场应急处置方案，提供专业安全处置建议，降低救援次生风险；在事</w:t>
            </w:r>
            <w:r>
              <w:rPr>
                <w:rFonts w:ascii="仿宋_GB2312" w:hAnsi="仿宋_GB2312" w:cs="仿宋_GB2312" w:eastAsia="仿宋_GB2312"/>
                <w:sz w:val="26"/>
                <w:color w:val="000000"/>
              </w:rPr>
              <w:t>故现场善后物料处置过程中，提供专业的技术指导，采取科学的处置</w:t>
            </w:r>
            <w:r>
              <w:rPr>
                <w:rFonts w:ascii="仿宋_GB2312" w:hAnsi="仿宋_GB2312" w:cs="仿宋_GB2312" w:eastAsia="仿宋_GB2312"/>
                <w:sz w:val="26"/>
                <w:color w:val="000000"/>
              </w:rPr>
              <w:t>措施，确保安全处置事故现场物料，避免引发二次灾害。实施生产事</w:t>
            </w:r>
            <w:r>
              <w:rPr>
                <w:rFonts w:ascii="仿宋_GB2312" w:hAnsi="仿宋_GB2312" w:cs="仿宋_GB2312" w:eastAsia="仿宋_GB2312"/>
                <w:sz w:val="26"/>
                <w:color w:val="000000"/>
              </w:rPr>
              <w:t>故现场专业勘察，重点调研取证设备损坏、管道泄漏、爆炸痕迹、工</w:t>
            </w:r>
            <w:r>
              <w:rPr>
                <w:rFonts w:ascii="仿宋_GB2312" w:hAnsi="仿宋_GB2312" w:cs="仿宋_GB2312" w:eastAsia="仿宋_GB2312"/>
                <w:sz w:val="26"/>
                <w:color w:val="000000"/>
              </w:rPr>
              <w:t>艺工况等，固定关键证据，指导取样送检；调取</w:t>
            </w:r>
            <w:r>
              <w:rPr>
                <w:rFonts w:ascii="仿宋_GB2312" w:hAnsi="仿宋_GB2312" w:cs="仿宋_GB2312" w:eastAsia="仿宋_GB2312"/>
                <w:sz w:val="26"/>
                <w:color w:val="000000"/>
              </w:rPr>
              <w:t>DCS</w:t>
            </w:r>
            <w:r>
              <w:rPr>
                <w:rFonts w:ascii="仿宋_GB2312" w:hAnsi="仿宋_GB2312" w:cs="仿宋_GB2312" w:eastAsia="仿宋_GB2312"/>
                <w:sz w:val="26"/>
                <w:color w:val="000000"/>
              </w:rPr>
              <w:t>、</w:t>
            </w:r>
            <w:r>
              <w:rPr>
                <w:rFonts w:ascii="仿宋_GB2312" w:hAnsi="仿宋_GB2312" w:cs="仿宋_GB2312" w:eastAsia="仿宋_GB2312"/>
                <w:sz w:val="26"/>
                <w:color w:val="000000"/>
              </w:rPr>
              <w:t>SIS</w:t>
            </w:r>
            <w:r>
              <w:rPr>
                <w:rFonts w:ascii="仿宋_GB2312" w:hAnsi="仿宋_GB2312" w:cs="仿宋_GB2312" w:eastAsia="仿宋_GB2312"/>
                <w:sz w:val="24"/>
                <w:color w:val="000000"/>
              </w:rPr>
              <w:t xml:space="preserve"> </w:t>
            </w:r>
            <w:r>
              <w:rPr>
                <w:rFonts w:ascii="仿宋_GB2312" w:hAnsi="仿宋_GB2312" w:cs="仿宋_GB2312" w:eastAsia="仿宋_GB2312"/>
                <w:sz w:val="26"/>
                <w:color w:val="000000"/>
              </w:rPr>
              <w:t>、</w:t>
            </w:r>
            <w:r>
              <w:rPr>
                <w:rFonts w:ascii="仿宋_GB2312" w:hAnsi="仿宋_GB2312" w:cs="仿宋_GB2312" w:eastAsia="仿宋_GB2312"/>
                <w:sz w:val="26"/>
                <w:color w:val="000000"/>
              </w:rPr>
              <w:t>GDS</w:t>
            </w:r>
            <w:r>
              <w:rPr>
                <w:rFonts w:ascii="仿宋_GB2312" w:hAnsi="仿宋_GB2312" w:cs="仿宋_GB2312" w:eastAsia="仿宋_GB2312"/>
                <w:sz w:val="26"/>
                <w:color w:val="000000"/>
              </w:rPr>
              <w:t>、视</w:t>
            </w:r>
            <w:r>
              <w:rPr>
                <w:rFonts w:ascii="仿宋_GB2312" w:hAnsi="仿宋_GB2312" w:cs="仿宋_GB2312" w:eastAsia="仿宋_GB2312"/>
                <w:sz w:val="26"/>
                <w:color w:val="000000"/>
              </w:rPr>
              <w:t>频监控、报警记录等工业数据，分析还原事</w:t>
            </w:r>
            <w:r>
              <w:rPr>
                <w:rFonts w:ascii="仿宋_GB2312" w:hAnsi="仿宋_GB2312" w:cs="仿宋_GB2312" w:eastAsia="仿宋_GB2312"/>
                <w:sz w:val="26"/>
                <w:color w:val="000000"/>
              </w:rPr>
              <w:t>故时序与工艺异常过程；</w:t>
            </w:r>
            <w:r>
              <w:rPr>
                <w:rFonts w:ascii="仿宋_GB2312" w:hAnsi="仿宋_GB2312" w:cs="仿宋_GB2312" w:eastAsia="仿宋_GB2312"/>
                <w:sz w:val="26"/>
                <w:color w:val="000000"/>
              </w:rPr>
              <w:t>协助分析事故发生的直接、间接、根本技术原因等；从技术角度向管</w:t>
            </w:r>
            <w:r>
              <w:rPr>
                <w:rFonts w:ascii="仿宋_GB2312" w:hAnsi="仿宋_GB2312" w:cs="仿宋_GB2312" w:eastAsia="仿宋_GB2312"/>
                <w:sz w:val="26"/>
                <w:color w:val="000000"/>
              </w:rPr>
              <w:t>理部门提出事故责任界定建议。</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spacing w:before="360" w:after="360"/>
              <w:ind w:left="840" w:right="840"/>
              <w:jc w:val="center"/>
            </w:pPr>
            <w:r>
              <w:rPr>
                <w:rFonts w:ascii="仿宋_GB2312" w:hAnsi="仿宋_GB2312" w:cs="仿宋_GB2312" w:eastAsia="仿宋_GB2312"/>
                <w:sz w:val="57"/>
                <w:b/>
                <w:color w:val="000000"/>
              </w:rPr>
              <w:t>清单数量</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499"/>
              <w:gridCol w:w="673"/>
              <w:gridCol w:w="612"/>
              <w:gridCol w:w="521"/>
            </w:tblGrid>
            <w:tr>
              <w:tc>
                <w:tcPr>
                  <w:tcW w:type="dxa" w:w="247"/>
                  <w:tcBorders>
                    <w:top w:val="outset"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499"/>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服务名称</w:t>
                  </w:r>
                </w:p>
              </w:tc>
              <w:tc>
                <w:tcPr>
                  <w:tcW w:type="dxa" w:w="673"/>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服务范围</w:t>
                  </w:r>
                </w:p>
              </w:tc>
              <w:tc>
                <w:tcPr>
                  <w:tcW w:type="dxa" w:w="612"/>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服务要求</w:t>
                  </w:r>
                </w:p>
              </w:tc>
              <w:tc>
                <w:tcPr>
                  <w:tcW w:type="dxa" w:w="521"/>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服务</w:t>
                  </w:r>
                </w:p>
                <w:p>
                  <w:pPr>
                    <w:pStyle w:val="null3"/>
                    <w:jc w:val="center"/>
                  </w:pPr>
                  <w:r>
                    <w:rPr>
                      <w:rFonts w:ascii="仿宋_GB2312" w:hAnsi="仿宋_GB2312" w:cs="仿宋_GB2312" w:eastAsia="仿宋_GB2312"/>
                      <w:sz w:val="24"/>
                      <w:b/>
                    </w:rPr>
                    <w:t>数量</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1</w:t>
                  </w:r>
                </w:p>
              </w:tc>
              <w:tc>
                <w:tcPr>
                  <w:tcW w:type="dxa" w:w="499"/>
                  <w:vMerge w:val="restart"/>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专家指导帮扶</w:t>
                  </w:r>
                </w:p>
              </w:tc>
              <w:tc>
                <w:tcPr>
                  <w:tcW w:type="dxa" w:w="673"/>
                  <w:vMerge w:val="restart"/>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3"/>
                    </w:rPr>
                    <w:t>重点县专家指导帮</w:t>
                  </w:r>
                  <w:r>
                    <w:rPr>
                      <w:rFonts w:ascii="仿宋_GB2312" w:hAnsi="仿宋_GB2312" w:cs="仿宋_GB2312" w:eastAsia="仿宋_GB2312"/>
                      <w:sz w:val="23"/>
                    </w:rPr>
                    <w:t>扶</w:t>
                  </w:r>
                </w:p>
                <w:p>
                  <w:pPr>
                    <w:pStyle w:val="null3"/>
                    <w:jc w:val="center"/>
                  </w:pP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3"/>
                    </w:rPr>
                    <w:t>一轮检</w:t>
                  </w:r>
                  <w:r>
                    <w:rPr>
                      <w:rFonts w:ascii="仿宋_GB2312" w:hAnsi="仿宋_GB2312" w:cs="仿宋_GB2312" w:eastAsia="仿宋_GB2312"/>
                      <w:sz w:val="23"/>
                    </w:rPr>
                    <w:t>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8</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2</w:t>
                  </w:r>
                </w:p>
              </w:tc>
              <w:tc>
                <w:tcPr>
                  <w:tcW w:type="dxa" w:w="499"/>
                  <w:vMerge/>
                  <w:tcBorders>
                    <w:top w:val="none" w:color="000000" w:sz="4"/>
                    <w:left w:val="none" w:color="000000" w:sz="4"/>
                    <w:bottom w:val="outset" w:color="000000" w:sz="4"/>
                    <w:right w:val="outset" w:color="000000" w:sz="4"/>
                  </w:tcBorders>
                </w:tcPr>
                <w:p/>
              </w:tc>
              <w:tc>
                <w:tcPr>
                  <w:tcW w:type="dxa" w:w="673"/>
                  <w:vMerge/>
                  <w:tcBorders>
                    <w:top w:val="none" w:color="000000" w:sz="4"/>
                    <w:left w:val="none" w:color="000000" w:sz="4"/>
                    <w:bottom w:val="outset" w:color="000000" w:sz="4"/>
                    <w:right w:val="outset" w:color="000000" w:sz="4"/>
                  </w:tcBorders>
                </w:tcP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ind w:right="165"/>
                    <w:jc w:val="center"/>
                  </w:pPr>
                  <w:r>
                    <w:rPr>
                      <w:rFonts w:ascii="仿宋_GB2312" w:hAnsi="仿宋_GB2312" w:cs="仿宋_GB2312" w:eastAsia="仿宋_GB2312"/>
                      <w:sz w:val="23"/>
                    </w:rPr>
                    <w:t>二轮检</w:t>
                  </w:r>
                  <w:r>
                    <w:rPr>
                      <w:rFonts w:ascii="仿宋_GB2312" w:hAnsi="仿宋_GB2312" w:cs="仿宋_GB2312" w:eastAsia="仿宋_GB2312"/>
                      <w:sz w:val="23"/>
                    </w:rPr>
                    <w:t xml:space="preserve"> </w:t>
                  </w:r>
                  <w:r>
                    <w:rPr>
                      <w:rFonts w:ascii="仿宋_GB2312" w:hAnsi="仿宋_GB2312" w:cs="仿宋_GB2312" w:eastAsia="仿宋_GB2312"/>
                      <w:sz w:val="23"/>
                    </w:rPr>
                    <w:t>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7</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25"/>
                    <w:ind w:left="150"/>
                    <w:jc w:val="center"/>
                  </w:pPr>
                  <w:r>
                    <w:rPr>
                      <w:rFonts w:ascii="仿宋_GB2312" w:hAnsi="仿宋_GB2312" w:cs="仿宋_GB2312" w:eastAsia="仿宋_GB2312"/>
                      <w:sz w:val="23"/>
                    </w:rPr>
                    <w:t>3</w:t>
                  </w:r>
                </w:p>
              </w:tc>
              <w:tc>
                <w:tcPr>
                  <w:tcW w:type="dxa" w:w="499"/>
                  <w:vMerge/>
                  <w:tcBorders>
                    <w:top w:val="none" w:color="000000" w:sz="4"/>
                    <w:left w:val="none" w:color="000000" w:sz="4"/>
                    <w:bottom w:val="outset" w:color="000000" w:sz="4"/>
                    <w:right w:val="outset" w:color="000000" w:sz="4"/>
                  </w:tcBorders>
                </w:tcPr>
                <w:p/>
              </w:tc>
              <w:tc>
                <w:tcPr>
                  <w:tcW w:type="dxa" w:w="673"/>
                  <w:vMerge/>
                  <w:tcBorders>
                    <w:top w:val="none" w:color="000000" w:sz="4"/>
                    <w:left w:val="none" w:color="000000" w:sz="4"/>
                    <w:bottom w:val="outset" w:color="000000" w:sz="4"/>
                    <w:right w:val="outset" w:color="000000" w:sz="4"/>
                  </w:tcBorders>
                </w:tcP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复查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25"/>
                    <w:jc w:val="center"/>
                  </w:pPr>
                  <w:r>
                    <w:rPr>
                      <w:rFonts w:ascii="仿宋_GB2312" w:hAnsi="仿宋_GB2312" w:cs="仿宋_GB2312" w:eastAsia="仿宋_GB2312"/>
                      <w:sz w:val="23"/>
                    </w:rPr>
                    <w:t>21</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4</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60"/>
                    <w:ind w:left="90" w:right="165" w:firstLine="69"/>
                    <w:jc w:val="center"/>
                  </w:pPr>
                  <w:r>
                    <w:rPr>
                      <w:rFonts w:ascii="仿宋_GB2312" w:hAnsi="仿宋_GB2312" w:cs="仿宋_GB2312" w:eastAsia="仿宋_GB2312"/>
                      <w:sz w:val="23"/>
                    </w:rPr>
                    <w:t>精细化工企业指导</w:t>
                  </w:r>
                  <w:r>
                    <w:rPr>
                      <w:rFonts w:ascii="仿宋_GB2312" w:hAnsi="仿宋_GB2312" w:cs="仿宋_GB2312" w:eastAsia="仿宋_GB2312"/>
                      <w:sz w:val="23"/>
                    </w:rPr>
                    <w:t>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检查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9</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5</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60"/>
                    <w:ind w:left="60" w:right="150" w:firstLine="100"/>
                    <w:jc w:val="center"/>
                  </w:pPr>
                  <w:r>
                    <w:rPr>
                      <w:rFonts w:ascii="仿宋_GB2312" w:hAnsi="仿宋_GB2312" w:cs="仿宋_GB2312" w:eastAsia="仿宋_GB2312"/>
                      <w:sz w:val="23"/>
                    </w:rPr>
                    <w:t>储罐区专项指导帮</w:t>
                  </w:r>
                  <w:r>
                    <w:rPr>
                      <w:rFonts w:ascii="仿宋_GB2312" w:hAnsi="仿宋_GB2312" w:cs="仿宋_GB2312" w:eastAsia="仿宋_GB2312"/>
                      <w:sz w:val="23"/>
                    </w:rPr>
                    <w:t>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检查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12</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6</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60"/>
                    <w:ind w:left="165" w:right="180"/>
                    <w:jc w:val="center"/>
                  </w:pPr>
                  <w:r>
                    <w:rPr>
                      <w:rFonts w:ascii="仿宋_GB2312" w:hAnsi="仿宋_GB2312" w:cs="仿宋_GB2312" w:eastAsia="仿宋_GB2312"/>
                      <w:sz w:val="23"/>
                    </w:rPr>
                    <w:t>精细化工企业和储罐区专项指导帮扶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复查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21</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315"/>
                    <w:ind w:left="150"/>
                    <w:jc w:val="center"/>
                  </w:pPr>
                  <w:r>
                    <w:rPr>
                      <w:rFonts w:ascii="仿宋_GB2312" w:hAnsi="仿宋_GB2312" w:cs="仿宋_GB2312" w:eastAsia="仿宋_GB2312"/>
                      <w:sz w:val="23"/>
                    </w:rPr>
                    <w:t>7</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50"/>
                    <w:ind w:left="75" w:right="165" w:firstLine="79"/>
                    <w:jc w:val="center"/>
                  </w:pPr>
                  <w:r>
                    <w:rPr>
                      <w:rFonts w:ascii="仿宋_GB2312" w:hAnsi="仿宋_GB2312" w:cs="仿宋_GB2312" w:eastAsia="仿宋_GB2312"/>
                      <w:sz w:val="23"/>
                    </w:rPr>
                    <w:t>试生产企业专项指</w:t>
                  </w:r>
                  <w:r>
                    <w:rPr>
                      <w:rFonts w:ascii="仿宋_GB2312" w:hAnsi="仿宋_GB2312" w:cs="仿宋_GB2312" w:eastAsia="仿宋_GB2312"/>
                      <w:sz w:val="23"/>
                    </w:rPr>
                    <w:t>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30"/>
                    <w:jc w:val="center"/>
                  </w:pPr>
                  <w:r>
                    <w:rPr>
                      <w:rFonts w:ascii="仿宋_GB2312" w:hAnsi="仿宋_GB2312" w:cs="仿宋_GB2312" w:eastAsia="仿宋_GB2312"/>
                      <w:sz w:val="23"/>
                    </w:rPr>
                    <w:t>一对一</w:t>
                  </w:r>
                </w:p>
                <w:p>
                  <w:pPr>
                    <w:pStyle w:val="null3"/>
                    <w:jc w:val="center"/>
                  </w:pPr>
                  <w:r>
                    <w:rPr>
                      <w:rFonts w:ascii="仿宋_GB2312" w:hAnsi="仿宋_GB2312" w:cs="仿宋_GB2312" w:eastAsia="仿宋_GB2312"/>
                      <w:sz w:val="23"/>
                    </w:rPr>
                    <w:t>专项检</w:t>
                  </w:r>
                  <w:r>
                    <w:rPr>
                      <w:rFonts w:ascii="仿宋_GB2312" w:hAnsi="仿宋_GB2312" w:cs="仿宋_GB2312" w:eastAsia="仿宋_GB2312"/>
                      <w:sz w:val="23"/>
                    </w:rPr>
                    <w:t>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75"/>
                    <w:jc w:val="center"/>
                  </w:pPr>
                  <w:r>
                    <w:rPr>
                      <w:rFonts w:ascii="仿宋_GB2312" w:hAnsi="仿宋_GB2312" w:cs="仿宋_GB2312" w:eastAsia="仿宋_GB2312"/>
                      <w:sz w:val="23"/>
                    </w:rPr>
                    <w:t>11</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8</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75"/>
                    <w:ind w:left="75" w:right="165" w:firstLine="79"/>
                    <w:jc w:val="center"/>
                  </w:pPr>
                  <w:r>
                    <w:rPr>
                      <w:rFonts w:ascii="仿宋_GB2312" w:hAnsi="仿宋_GB2312" w:cs="仿宋_GB2312" w:eastAsia="仿宋_GB2312"/>
                      <w:sz w:val="23"/>
                    </w:rPr>
                    <w:t>粉尘爆炸企业专项</w:t>
                  </w:r>
                  <w:r>
                    <w:rPr>
                      <w:rFonts w:ascii="仿宋_GB2312" w:hAnsi="仿宋_GB2312" w:cs="仿宋_GB2312" w:eastAsia="仿宋_GB2312"/>
                      <w:sz w:val="23"/>
                    </w:rPr>
                    <w:t>指导帮扶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检查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5</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210"/>
                    <w:ind w:left="150"/>
                    <w:jc w:val="center"/>
                  </w:pPr>
                  <w:r>
                    <w:rPr>
                      <w:rFonts w:ascii="仿宋_GB2312" w:hAnsi="仿宋_GB2312" w:cs="仿宋_GB2312" w:eastAsia="仿宋_GB2312"/>
                      <w:sz w:val="23"/>
                    </w:rPr>
                    <w:t>9</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60"/>
                    <w:ind w:left="90" w:right="165" w:firstLine="69"/>
                    <w:jc w:val="center"/>
                  </w:pPr>
                  <w:r>
                    <w:rPr>
                      <w:rFonts w:ascii="仿宋_GB2312" w:hAnsi="仿宋_GB2312" w:cs="仿宋_GB2312" w:eastAsia="仿宋_GB2312"/>
                      <w:sz w:val="23"/>
                    </w:rPr>
                    <w:t>涉氟涉氯企业专项</w:t>
                  </w:r>
                  <w:r>
                    <w:rPr>
                      <w:rFonts w:ascii="仿宋_GB2312" w:hAnsi="仿宋_GB2312" w:cs="仿宋_GB2312" w:eastAsia="仿宋_GB2312"/>
                      <w:sz w:val="19"/>
                    </w:rPr>
                    <w:t xml:space="preserve"> </w:t>
                  </w:r>
                  <w:r>
                    <w:rPr>
                      <w:rFonts w:ascii="仿宋_GB2312" w:hAnsi="仿宋_GB2312" w:cs="仿宋_GB2312" w:eastAsia="仿宋_GB2312"/>
                      <w:sz w:val="23"/>
                    </w:rPr>
                    <w:t>指导帮扶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95"/>
                    <w:jc w:val="center"/>
                  </w:pPr>
                  <w:r>
                    <w:rPr>
                      <w:rFonts w:ascii="仿宋_GB2312" w:hAnsi="仿宋_GB2312" w:cs="仿宋_GB2312" w:eastAsia="仿宋_GB2312"/>
                      <w:sz w:val="23"/>
                    </w:rPr>
                    <w:t>检查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210"/>
                    <w:jc w:val="center"/>
                  </w:pPr>
                  <w:r>
                    <w:rPr>
                      <w:rFonts w:ascii="仿宋_GB2312" w:hAnsi="仿宋_GB2312" w:cs="仿宋_GB2312" w:eastAsia="仿宋_GB2312"/>
                      <w:sz w:val="23"/>
                    </w:rPr>
                    <w:t>7</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75"/>
                    <w:ind w:left="90"/>
                    <w:jc w:val="center"/>
                  </w:pPr>
                  <w:r>
                    <w:rPr>
                      <w:rFonts w:ascii="仿宋_GB2312" w:hAnsi="仿宋_GB2312" w:cs="仿宋_GB2312" w:eastAsia="仿宋_GB2312"/>
                      <w:sz w:val="23"/>
                    </w:rPr>
                    <w:t>10</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30"/>
                    <w:ind w:left="75" w:right="180" w:firstLine="79"/>
                    <w:jc w:val="center"/>
                  </w:pPr>
                  <w:r>
                    <w:rPr>
                      <w:rFonts w:ascii="仿宋_GB2312" w:hAnsi="仿宋_GB2312" w:cs="仿宋_GB2312" w:eastAsia="仿宋_GB2312"/>
                      <w:sz w:val="23"/>
                    </w:rPr>
                    <w:t>粉尘爆炸企业和涉</w:t>
                  </w:r>
                  <w:r>
                    <w:rPr>
                      <w:rFonts w:ascii="仿宋_GB2312" w:hAnsi="仿宋_GB2312" w:cs="仿宋_GB2312" w:eastAsia="仿宋_GB2312"/>
                      <w:sz w:val="19"/>
                    </w:rPr>
                    <w:t xml:space="preserve"> </w:t>
                  </w:r>
                  <w:r>
                    <w:rPr>
                      <w:rFonts w:ascii="仿宋_GB2312" w:hAnsi="仿宋_GB2312" w:cs="仿宋_GB2312" w:eastAsia="仿宋_GB2312"/>
                      <w:sz w:val="23"/>
                    </w:rPr>
                    <w:t>氟涉氯企业专项指</w:t>
                  </w:r>
                  <w:r>
                    <w:rPr>
                      <w:rFonts w:ascii="仿宋_GB2312" w:hAnsi="仿宋_GB2312" w:cs="仿宋_GB2312" w:eastAsia="仿宋_GB2312"/>
                      <w:sz w:val="19"/>
                    </w:rPr>
                    <w:t xml:space="preserve"> </w:t>
                  </w:r>
                  <w:r>
                    <w:rPr>
                      <w:rFonts w:ascii="仿宋_GB2312" w:hAnsi="仿宋_GB2312" w:cs="仿宋_GB2312" w:eastAsia="仿宋_GB2312"/>
                      <w:sz w:val="23"/>
                    </w:rPr>
                    <w:t>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300"/>
                    <w:jc w:val="center"/>
                  </w:pPr>
                  <w:r>
                    <w:rPr>
                      <w:rFonts w:ascii="仿宋_GB2312" w:hAnsi="仿宋_GB2312" w:cs="仿宋_GB2312" w:eastAsia="仿宋_GB2312"/>
                      <w:sz w:val="23"/>
                    </w:rPr>
                    <w:t>复查</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75"/>
                    <w:jc w:val="center"/>
                  </w:pPr>
                  <w:r>
                    <w:rPr>
                      <w:rFonts w:ascii="仿宋_GB2312" w:hAnsi="仿宋_GB2312" w:cs="仿宋_GB2312" w:eastAsia="仿宋_GB2312"/>
                      <w:sz w:val="23"/>
                    </w:rPr>
                    <w:t>12</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75"/>
                    <w:ind w:left="90"/>
                    <w:jc w:val="center"/>
                  </w:pPr>
                  <w:r>
                    <w:rPr>
                      <w:rFonts w:ascii="仿宋_GB2312" w:hAnsi="仿宋_GB2312" w:cs="仿宋_GB2312" w:eastAsia="仿宋_GB2312"/>
                      <w:sz w:val="23"/>
                    </w:rPr>
                    <w:t>11</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50"/>
                    <w:ind w:left="90" w:right="165" w:firstLine="69"/>
                    <w:jc w:val="center"/>
                  </w:pPr>
                  <w:r>
                    <w:rPr>
                      <w:rFonts w:ascii="仿宋_GB2312" w:hAnsi="仿宋_GB2312" w:cs="仿宋_GB2312" w:eastAsia="仿宋_GB2312"/>
                      <w:sz w:val="23"/>
                    </w:rPr>
                    <w:t>自控及仪表专项指</w:t>
                  </w:r>
                  <w:r>
                    <w:rPr>
                      <w:rFonts w:ascii="仿宋_GB2312" w:hAnsi="仿宋_GB2312" w:cs="仿宋_GB2312" w:eastAsia="仿宋_GB2312"/>
                      <w:sz w:val="19"/>
                    </w:rPr>
                    <w:t xml:space="preserve"> </w:t>
                  </w:r>
                  <w:r>
                    <w:rPr>
                      <w:rFonts w:ascii="仿宋_GB2312" w:hAnsi="仿宋_GB2312" w:cs="仿宋_GB2312" w:eastAsia="仿宋_GB2312"/>
                      <w:sz w:val="23"/>
                    </w:rPr>
                    <w:t>导帮扶</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一对</w:t>
                  </w:r>
                </w:p>
                <w:p>
                  <w:pPr>
                    <w:pStyle w:val="null3"/>
                    <w:ind w:right="165"/>
                    <w:jc w:val="center"/>
                  </w:pPr>
                  <w:r>
                    <w:rPr>
                      <w:rFonts w:ascii="仿宋_GB2312" w:hAnsi="仿宋_GB2312" w:cs="仿宋_GB2312" w:eastAsia="仿宋_GB2312"/>
                      <w:sz w:val="23"/>
                    </w:rPr>
                    <w:t>专项诊</w:t>
                  </w:r>
                  <w:r>
                    <w:rPr>
                      <w:rFonts w:ascii="仿宋_GB2312" w:hAnsi="仿宋_GB2312" w:cs="仿宋_GB2312" w:eastAsia="仿宋_GB2312"/>
                      <w:sz w:val="23"/>
                    </w:rPr>
                    <w:t>断</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75"/>
                    <w:jc w:val="center"/>
                  </w:pPr>
                  <w:r>
                    <w:rPr>
                      <w:rFonts w:ascii="仿宋_GB2312" w:hAnsi="仿宋_GB2312" w:cs="仿宋_GB2312" w:eastAsia="仿宋_GB2312"/>
                      <w:sz w:val="23"/>
                    </w:rPr>
                    <w:t>8</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75"/>
                    <w:ind w:left="90"/>
                    <w:jc w:val="center"/>
                  </w:pPr>
                  <w:r>
                    <w:rPr>
                      <w:rFonts w:ascii="仿宋_GB2312" w:hAnsi="仿宋_GB2312" w:cs="仿宋_GB2312" w:eastAsia="仿宋_GB2312"/>
                      <w:sz w:val="23"/>
                    </w:rPr>
                    <w:t>12</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150"/>
                    <w:ind w:left="105" w:right="165" w:firstLine="49"/>
                    <w:jc w:val="center"/>
                  </w:pPr>
                  <w:r>
                    <w:rPr>
                      <w:rFonts w:ascii="仿宋_GB2312" w:hAnsi="仿宋_GB2312" w:cs="仿宋_GB2312" w:eastAsia="仿宋_GB2312"/>
                      <w:sz w:val="23"/>
                    </w:rPr>
                    <w:t>自控及仪表专项指</w:t>
                  </w:r>
                  <w:r>
                    <w:rPr>
                      <w:rFonts w:ascii="仿宋_GB2312" w:hAnsi="仿宋_GB2312" w:cs="仿宋_GB2312" w:eastAsia="仿宋_GB2312"/>
                      <w:sz w:val="19"/>
                    </w:rPr>
                    <w:t xml:space="preserve"> </w:t>
                  </w:r>
                  <w:r>
                    <w:rPr>
                      <w:rFonts w:ascii="仿宋_GB2312" w:hAnsi="仿宋_GB2312" w:cs="仿宋_GB2312" w:eastAsia="仿宋_GB2312"/>
                      <w:sz w:val="23"/>
                    </w:rPr>
                    <w:t>导帮扶回头看</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一对一</w:t>
                  </w:r>
                  <w:r>
                    <w:rPr>
                      <w:rFonts w:ascii="仿宋_GB2312" w:hAnsi="仿宋_GB2312" w:cs="仿宋_GB2312" w:eastAsia="仿宋_GB2312"/>
                      <w:sz w:val="23"/>
                    </w:rPr>
                    <w:t>专项指</w:t>
                  </w:r>
                  <w:r>
                    <w:rPr>
                      <w:rFonts w:ascii="仿宋_GB2312" w:hAnsi="仿宋_GB2312" w:cs="仿宋_GB2312" w:eastAsia="仿宋_GB2312"/>
                      <w:sz w:val="23"/>
                    </w:rPr>
                    <w:t>导复核</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75"/>
                    <w:jc w:val="center"/>
                  </w:pPr>
                  <w:r>
                    <w:rPr>
                      <w:rFonts w:ascii="仿宋_GB2312" w:hAnsi="仿宋_GB2312" w:cs="仿宋_GB2312" w:eastAsia="仿宋_GB2312"/>
                      <w:sz w:val="23"/>
                    </w:rPr>
                    <w:t>8</w:t>
                  </w:r>
                  <w:r>
                    <w:rPr>
                      <w:rFonts w:ascii="仿宋_GB2312" w:hAnsi="仿宋_GB2312" w:cs="仿宋_GB2312" w:eastAsia="仿宋_GB2312"/>
                      <w:sz w:val="23"/>
                    </w:rPr>
                    <w:t>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13</w:t>
                  </w:r>
                </w:p>
              </w:tc>
              <w:tc>
                <w:tcPr>
                  <w:tcW w:type="dxa" w:w="499"/>
                  <w:vMerge w:val="restart"/>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安全教育培训</w:t>
                  </w: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政府监管层面</w:t>
                  </w:r>
                  <w:r>
                    <w:rPr>
                      <w:rFonts w:ascii="仿宋_GB2312" w:hAnsi="仿宋_GB2312" w:cs="仿宋_GB2312" w:eastAsia="仿宋_GB2312"/>
                      <w:sz w:val="23"/>
                    </w:rPr>
                    <w:t>(1次)</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培训</w:t>
                  </w:r>
                  <w:r>
                    <w:rPr>
                      <w:rFonts w:ascii="仿宋_GB2312" w:hAnsi="仿宋_GB2312" w:cs="仿宋_GB2312" w:eastAsia="仿宋_GB2312"/>
                      <w:sz w:val="23"/>
                    </w:rPr>
                    <w:t>1次、分1个班次</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半天</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14</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企业负责人</w:t>
                  </w:r>
                  <w:r>
                    <w:rPr>
                      <w:rFonts w:ascii="仿宋_GB2312" w:hAnsi="仿宋_GB2312" w:cs="仿宋_GB2312" w:eastAsia="仿宋_GB2312"/>
                      <w:sz w:val="23"/>
                    </w:rPr>
                    <w:t>(1次)</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培训</w:t>
                  </w:r>
                  <w:r>
                    <w:rPr>
                      <w:rFonts w:ascii="仿宋_GB2312" w:hAnsi="仿宋_GB2312" w:cs="仿宋_GB2312" w:eastAsia="仿宋_GB2312"/>
                      <w:sz w:val="23"/>
                    </w:rPr>
                    <w:t>1次、分两个班次</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每班</w:t>
                  </w:r>
                  <w:r>
                    <w:rPr>
                      <w:rFonts w:ascii="仿宋_GB2312" w:hAnsi="仿宋_GB2312" w:cs="仿宋_GB2312" w:eastAsia="仿宋_GB2312"/>
                      <w:sz w:val="23"/>
                    </w:rPr>
                    <w:t>1天</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15</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企业专职管理人员</w:t>
                  </w:r>
                  <w:r>
                    <w:rPr>
                      <w:rFonts w:ascii="仿宋_GB2312" w:hAnsi="仿宋_GB2312" w:cs="仿宋_GB2312" w:eastAsia="仿宋_GB2312"/>
                      <w:sz w:val="23"/>
                    </w:rPr>
                    <w:t xml:space="preserve"> (1次)</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培训</w:t>
                  </w:r>
                  <w:r>
                    <w:rPr>
                      <w:rFonts w:ascii="仿宋_GB2312" w:hAnsi="仿宋_GB2312" w:cs="仿宋_GB2312" w:eastAsia="仿宋_GB2312"/>
                      <w:sz w:val="23"/>
                    </w:rPr>
                    <w:t>1次、分4个班次</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每班</w:t>
                  </w:r>
                  <w:r>
                    <w:rPr>
                      <w:rFonts w:ascii="仿宋_GB2312" w:hAnsi="仿宋_GB2312" w:cs="仿宋_GB2312" w:eastAsia="仿宋_GB2312"/>
                      <w:sz w:val="23"/>
                    </w:rPr>
                    <w:t>1天</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16</w:t>
                  </w:r>
                </w:p>
              </w:tc>
              <w:tc>
                <w:tcPr>
                  <w:tcW w:type="dxa" w:w="499"/>
                  <w:vMerge/>
                  <w:tcBorders>
                    <w:top w:val="none" w:color="000000" w:sz="4"/>
                    <w:left w:val="none" w:color="000000" w:sz="4"/>
                    <w:bottom w:val="outset" w:color="000000" w:sz="4"/>
                    <w:right w:val="outset" w:color="000000" w:sz="4"/>
                  </w:tcBorders>
                </w:tcPr>
                <w:p/>
              </w:tc>
              <w:tc>
                <w:tcPr>
                  <w:tcW w:type="dxa" w:w="67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企业特殊操作人员</w:t>
                  </w:r>
                  <w:r>
                    <w:rPr>
                      <w:rFonts w:ascii="仿宋_GB2312" w:hAnsi="仿宋_GB2312" w:cs="仿宋_GB2312" w:eastAsia="仿宋_GB2312"/>
                      <w:sz w:val="23"/>
                    </w:rPr>
                    <w:t xml:space="preserve"> (3次)</w:t>
                  </w:r>
                </w:p>
              </w:tc>
              <w:tc>
                <w:tcPr>
                  <w:tcW w:type="dxa" w:w="61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培训</w:t>
                  </w:r>
                  <w:r>
                    <w:rPr>
                      <w:rFonts w:ascii="仿宋_GB2312" w:hAnsi="仿宋_GB2312" w:cs="仿宋_GB2312" w:eastAsia="仿宋_GB2312"/>
                      <w:sz w:val="23"/>
                    </w:rPr>
                    <w:t>3个作业类别</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每班</w:t>
                  </w:r>
                  <w:r>
                    <w:rPr>
                      <w:rFonts w:ascii="仿宋_GB2312" w:hAnsi="仿宋_GB2312" w:cs="仿宋_GB2312" w:eastAsia="仿宋_GB2312"/>
                      <w:sz w:val="23"/>
                    </w:rPr>
                    <w:t>2天</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17</w:t>
                  </w:r>
                </w:p>
              </w:tc>
              <w:tc>
                <w:tcPr>
                  <w:tcW w:type="dxa" w:w="499"/>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“手指口述”安全作业确认法试点活动</w:t>
                  </w:r>
                </w:p>
              </w:tc>
              <w:tc>
                <w:tcPr>
                  <w:tcW w:type="dxa" w:w="1806"/>
                  <w:gridSpan w:val="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在辖区推选</w:t>
                  </w:r>
                  <w:r>
                    <w:rPr>
                      <w:rFonts w:ascii="仿宋_GB2312" w:hAnsi="仿宋_GB2312" w:cs="仿宋_GB2312" w:eastAsia="仿宋_GB2312"/>
                      <w:sz w:val="23"/>
                    </w:rPr>
                    <w:t>1-2户企业展开试点，并全</w:t>
                  </w:r>
                  <w:r>
                    <w:rPr>
                      <w:rFonts w:ascii="仿宋_GB2312" w:hAnsi="仿宋_GB2312" w:cs="仿宋_GB2312" w:eastAsia="仿宋_GB2312"/>
                      <w:sz w:val="23"/>
                    </w:rPr>
                    <w:t>程策划指导、协助创建、制定创建相关</w:t>
                  </w:r>
                  <w:r>
                    <w:rPr>
                      <w:rFonts w:ascii="仿宋_GB2312" w:hAnsi="仿宋_GB2312" w:cs="仿宋_GB2312" w:eastAsia="仿宋_GB2312"/>
                      <w:sz w:val="23"/>
                    </w:rPr>
                    <w:t>标准和实施指南，在试点企业取得一定效果的基础上协助管委会在园区全面推</w:t>
                  </w:r>
                  <w:r>
                    <w:rPr>
                      <w:rFonts w:ascii="仿宋_GB2312" w:hAnsi="仿宋_GB2312" w:cs="仿宋_GB2312" w:eastAsia="仿宋_GB2312"/>
                      <w:sz w:val="23"/>
                    </w:rPr>
                    <w:t>广实施</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18</w:t>
                  </w:r>
                </w:p>
              </w:tc>
              <w:tc>
                <w:tcPr>
                  <w:tcW w:type="dxa" w:w="499"/>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入园项目落地审查类</w:t>
                  </w:r>
                </w:p>
              </w:tc>
              <w:tc>
                <w:tcPr>
                  <w:tcW w:type="dxa" w:w="1285"/>
                  <w:gridSpan w:val="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90"/>
                    <w:ind w:right="30"/>
                    <w:jc w:val="both"/>
                  </w:pPr>
                  <w:r>
                    <w:rPr>
                      <w:rFonts w:ascii="仿宋_GB2312" w:hAnsi="仿宋_GB2312" w:cs="仿宋_GB2312" w:eastAsia="仿宋_GB2312"/>
                      <w:sz w:val="23"/>
                    </w:rPr>
                    <w:t>从安全生产角度给出初步审查结论，分为不建议入园、建议入园、不具备给出入园结论三种结论。</w:t>
                  </w:r>
                </w:p>
                <w:p>
                  <w:pPr>
                    <w:pStyle w:val="null3"/>
                    <w:spacing w:before="45"/>
                    <w:jc w:val="center"/>
                  </w:pPr>
                </w:p>
              </w:tc>
              <w:tc>
                <w:tcPr>
                  <w:tcW w:type="dxa" w:w="521"/>
                  <w:tcBorders>
                    <w:top w:val="outset"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3"/>
                    </w:rPr>
                    <w:t>20个</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19</w:t>
                  </w:r>
                </w:p>
              </w:tc>
              <w:tc>
                <w:tcPr>
                  <w:tcW w:type="dxa" w:w="499"/>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安全生产事故调查处置</w:t>
                  </w:r>
                </w:p>
              </w:tc>
              <w:tc>
                <w:tcPr>
                  <w:tcW w:type="dxa" w:w="1285"/>
                  <w:gridSpan w:val="2"/>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包括专家、车辆等所有费用</w:t>
                  </w:r>
                </w:p>
              </w:tc>
              <w:tc>
                <w:tcPr>
                  <w:tcW w:type="dxa" w:w="521"/>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暂按</w:t>
                  </w:r>
                  <w:r>
                    <w:rPr>
                      <w:rFonts w:ascii="仿宋_GB2312" w:hAnsi="仿宋_GB2312" w:cs="仿宋_GB2312" w:eastAsia="仿宋_GB2312"/>
                      <w:sz w:val="23"/>
                    </w:rPr>
                    <w:t>28件</w:t>
                  </w:r>
                </w:p>
              </w:tc>
            </w:tr>
            <w:tr>
              <w:tc>
                <w:tcPr>
                  <w:tcW w:type="dxa" w:w="247"/>
                  <w:tcBorders>
                    <w:top w:val="none" w:color="000000" w:sz="4"/>
                    <w:left w:val="outset"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20</w:t>
                  </w:r>
                </w:p>
              </w:tc>
              <w:tc>
                <w:tcPr>
                  <w:tcW w:type="dxa" w:w="499"/>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说明</w:t>
                  </w:r>
                </w:p>
              </w:tc>
              <w:tc>
                <w:tcPr>
                  <w:tcW w:type="dxa" w:w="1806"/>
                  <w:gridSpan w:val="3"/>
                  <w:tcBorders>
                    <w:top w:val="none" w:color="000000" w:sz="4"/>
                    <w:left w:val="none" w:color="000000" w:sz="4"/>
                    <w:bottom w:val="outset" w:color="000000" w:sz="4"/>
                    <w:right w:val="outset" w:color="000000" w:sz="4"/>
                  </w:tcBorders>
                  <w:tcMar>
                    <w:top w:type="dxa" w:w="150"/>
                    <w:left w:type="dxa" w:w="150"/>
                    <w:bottom w:type="dxa" w:w="150"/>
                    <w:right w:type="dxa" w:w="150"/>
                  </w:tcMar>
                  <w:vAlign w:val="top"/>
                </w:tcPr>
                <w:p>
                  <w:pPr>
                    <w:pStyle w:val="null3"/>
                    <w:spacing w:before="45"/>
                    <w:jc w:val="center"/>
                  </w:pPr>
                  <w:r>
                    <w:rPr>
                      <w:rFonts w:ascii="仿宋_GB2312" w:hAnsi="仿宋_GB2312" w:cs="仿宋_GB2312" w:eastAsia="仿宋_GB2312"/>
                      <w:sz w:val="23"/>
                    </w:rPr>
                    <w:t>按照以上数量内容填报分项报价表</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1、国家、省市相关规范及其他相关专业现行规范； 2、采购文件及合同要求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合同签订后，供应商按照采购人要求开展实质性工作，第三个月支付一次，支付前供应商须提供增值税发票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供应商按照采购人要求开展实质性工作，第六个月支付一次，支付前供应商须提供增值税发票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供应商按照采购人要求开展实质性工作，第九个月支付一次，支付前供应商须提供增值税发票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供应商按照采购人及合同要求全部完成所有工作内容，支付剩余款项，支付前供应商须提供增值税发票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双方友好协商，协商不成可向项目所在地人民法院起诉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供应商资格证明文件.docx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自然人，企业法人应提供具有统一社会信用代码的营业执照证明文件；事业法人应提供事业单位法人证、组织机构代码证等证明文件；其他组织应提供合法证明文件；自然人提供身份证明文件；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者2025年度的财务审计报告（至少包括资产负债表和利润表，成立时间至提交响应文件截止时间不足一年的可提供成立后任意时段的资产负债表）或开标时间前六个月内银行出具的资信证明；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税收缴纳证明：提供投标截止日前近一年内任意一个月的纳税证明或完税证明（任意税种），依法免税的单位应提供相关证明材料；供应商需在项目电子化交易系统中按要求提交资料完成承诺并进行电子签章。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日前近一年内任意一个月的社会保障资金缴存单据或社保机构开具的社会保险参保缴费情况证明，依法不需要缴纳社会保障资金的单位应提供相关证明材料；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专业技术承诺</w:t>
            </w:r>
          </w:p>
        </w:tc>
        <w:tc>
          <w:tcPr>
            <w:tcW w:type="dxa" w:w="3322"/>
          </w:tcPr>
          <w:p>
            <w:pPr>
              <w:pStyle w:val="null3"/>
            </w:pPr>
            <w:r>
              <w:rPr>
                <w:rFonts w:ascii="仿宋_GB2312" w:hAnsi="仿宋_GB2312" w:cs="仿宋_GB2312" w:eastAsia="仿宋_GB2312"/>
              </w:rPr>
              <w:t>提供具有履行本合同所必需的设备和专业技术能力的说明及承诺书；供应商需在项目电子化交易系统中按要求提交资料完成承诺并进行电子签章。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无犯罪声明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投标保证金（附银行转账凭证）；供应商需在项目电子化交易系统中按要求提交资料完成承诺并进行电子签章。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投标函 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采购项目需要落实的政府采购政策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（2）《财政部司法部关于政府采购支持监狱企业发展有关问题的通知》（财库〔2014〕68号）； （3）《关于促进残疾人就业政府采购政策的通知》（财库〔2017〕141号）； （4）《节能产品政府采购实施意见》（财库〔2004〕185号）； （5）《环境标志产品政府采购实施的意见》（财库〔2006〕90号）； （6）《国务院办公厅关于建立政府强制采购节能产品制度的通知》（国办发〔2007〕51号）； （7）财政部发展改革委生态环境部市场监管总局关于调整优化节能产品、环境标志产品政府采购执行机制的通知（财库〔2019〕9号）； （8）《关于印发环境标志产品政府采购品目清单的通知》（财库〔2019〕18号）； （9）《关于印发节能产品政府采购品目清单的通知》（财库〔2019〕19号）； （10）《关于发布参与实施政府采购节能产品、环境标志产品认证机构名录的公告》（2019年第16号)； （11）《关于运用政府采购政策支持乡村产业振兴的通知》（财库〔2021〕19号）； （12）陕西省财政厅关于印发《陕西省中小企业政府采购信用融资办法》（陕财办采〔2018〕23号），相关政策、业务流程、办理平台（详见http://www.ccgp-shaanxi.gov.cn/zcdservice/zcd/shanxi/）； （13）《陕西省财政厅关于加快推进我省中小企业政府采购信用融资工作的通知》（陕财办采〔2020〕15号）； （14）《关于进一步加强政府绿色采购有关问题的通知》（陕财办采〔2021〕29号）； （15）《陕西省财政厅陕西省工业和信息化厅关于运用政府采购政策支持首台（套）及创新产品有关事项的通知》（陕财办采〔2021〕17号）； （16）《关于进一步加大政府采购支持中小企业力度的通知》（财库〔2022〕19号）、《关于落实政府采购支持中小企业政策有关事项的通知》（陕财办采函〔2022〕10号）； （17）其他需要落实的政府采购政策。</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投标报价是固定价且唯一，不得提交选择性报价，且投标报价不得高于等于最高投标限价。</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按照招标文件要求缴纳</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投标单位名称</w:t>
            </w:r>
          </w:p>
        </w:tc>
        <w:tc>
          <w:tcPr>
            <w:tcW w:type="dxa" w:w="3322"/>
          </w:tcPr>
          <w:p>
            <w:pPr>
              <w:pStyle w:val="null3"/>
            </w:pPr>
            <w:r>
              <w:rPr>
                <w:rFonts w:ascii="仿宋_GB2312" w:hAnsi="仿宋_GB2312" w:cs="仿宋_GB2312" w:eastAsia="仿宋_GB2312"/>
              </w:rPr>
              <w:t>投标单位名称与营业执照等资料相一致</w:t>
            </w:r>
          </w:p>
        </w:tc>
        <w:tc>
          <w:tcPr>
            <w:tcW w:type="dxa" w:w="1661"/>
          </w:tcPr>
          <w:p>
            <w:pPr>
              <w:pStyle w:val="null3"/>
            </w:pPr>
            <w:r>
              <w:rPr>
                <w:rFonts w:ascii="仿宋_GB2312" w:hAnsi="仿宋_GB2312" w:cs="仿宋_GB2312" w:eastAsia="仿宋_GB2312"/>
              </w:rPr>
              <w:t>开标一览表 售后服务方案.docx 服务内容及服务邀请应答表 服务保障承诺.docx 分项报价表 中小企业声明函 服务质量措施.docx 商务应答表 安全保密措施.docx 服务团队.docx 商务部分类似业绩.docx 投标函 残疾人福利性单位声明函 服务方案 驻场服务方案.docx 投标文件封面 项目理解.docx 供应商资格证明文件.docx 质量进度保证措施.docx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售后服务方案.docx 服务内容及服务邀请应答表 服务保障承诺.docx 分项报价表 中小企业声明函 服务质量措施.docx 商务应答表 安全保密措施.docx 服务团队.docx 商务部分类似业绩.docx 投标函 残疾人福利性单位声明函 服务方案 驻场服务方案.docx 投标文件封面 项目理解.docx 供应商资格证明文件.docx 质量进度保证措施.docx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服务期限、投标有效期等符合采购文件要求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均按招标文件要求编制</w:t>
            </w:r>
          </w:p>
        </w:tc>
        <w:tc>
          <w:tcPr>
            <w:tcW w:type="dxa" w:w="1661"/>
          </w:tcPr>
          <w:p>
            <w:pPr>
              <w:pStyle w:val="null3"/>
            </w:pPr>
            <w:r>
              <w:rPr>
                <w:rFonts w:ascii="仿宋_GB2312" w:hAnsi="仿宋_GB2312" w:cs="仿宋_GB2312" w:eastAsia="仿宋_GB2312"/>
              </w:rPr>
              <w:t>开标一览表 售后服务方案.docx 服务内容及服务邀请应答表 服务保障承诺.docx 分项报价表 中小企业声明函 服务质量措施.docx 商务应答表 安全保密措施.docx 服务团队.docx 商务部分类似业绩.docx 投标函 残疾人福利性单位声明函 服务方案 驻场服务方案.docx 投标文件封面 项目理解.docx 供应商资格证明文件.docx 质量进度保证措施.docx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针对本项目采购人要求的服务内容有完整、明确的需求理解说明： 1、对项目理解全面详细，贴合实际需求得10分； 2、对项目理解较全面详细，较贴合实际需求得8分； 3、对项目理解基本全面，基本贴合实际需求得6分； 4、对项目理解程度一般，未贴合实际需求得4分； 5、对项目理解不完善，未贴合实际需求得2分； 6、未提供不计分。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供应商根据对本项目采购需求及技术要求的理解，提供整体安全服务方案，根据本项目采购内容制定全面服务方案，方案包含的范围及内容全面详细、科学有效、安全可靠。 1、服务方案详细完整，内容表述清晰，针对性、可操作性强的得20分； 2、服务方案较完整，内容表述较清晰，较有针对性、可操作性的得16分； 3、服务方案基本完整，内容表述基本清晰，针对性、可操作性一般的得12分； 4、服务方案不完整，内容表述稍有欠缺，针对性、可操作性稍有不足的得8分； 5、服务方案粗略，内容表述不清晰，针对性、可操作性有明显瑕疵的得4分； 6、未提供不计分。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驻场服务方案</w:t>
            </w:r>
          </w:p>
        </w:tc>
        <w:tc>
          <w:tcPr>
            <w:tcW w:type="dxa" w:w="2492"/>
          </w:tcPr>
          <w:p>
            <w:pPr>
              <w:pStyle w:val="null3"/>
            </w:pPr>
            <w:r>
              <w:rPr>
                <w:rFonts w:ascii="仿宋_GB2312" w:hAnsi="仿宋_GB2312" w:cs="仿宋_GB2312" w:eastAsia="仿宋_GB2312"/>
              </w:rPr>
              <w:t>供应商针对本项目制定详实的驻场服务方案，包括流程、机制、内容、惩罚措施、人力保障等，与采购人相关人员配合方案包括配合的业务内容及配合人员等。 1、驻场服务方案详细完整，内容表述清晰，针对性、可操作性强的得5分； 2、驻场服务方案较完整，内容表述较清晰，较有针对性、可操作性的得4分； 3、驻场服务方案基本完整，内容表述基本清晰，针对性、可操作性一般的得3分； 4、驻场服务方案不完整，内容表述稍有欠缺，针对性、可操作性稍有不足的得2分； 5、驻场服务方案粗略，内容表述不清晰，针对性、可操作性有明显瑕疵的得1分； 6、未提供不计分。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驻场服务方案.docx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为确保项目的服务质量和交付保障，项目团队服务能力要求如下： 1、项目负责人：具备高级职称2分，具备中级职称计1分，满分2分，未提供不计分。 2、项目驻场人员需具备：提供一个中级职称计1分，满分2分，未提供不计分。 注：以上人员需提供证书复印件或扫描件、劳动合同等相关证明材料，未提供不得分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质量进度保证措施方案</w:t>
            </w:r>
          </w:p>
        </w:tc>
        <w:tc>
          <w:tcPr>
            <w:tcW w:type="dxa" w:w="2492"/>
          </w:tcPr>
          <w:p>
            <w:pPr>
              <w:pStyle w:val="null3"/>
            </w:pPr>
            <w:r>
              <w:rPr>
                <w:rFonts w:ascii="仿宋_GB2312" w:hAnsi="仿宋_GB2312" w:cs="仿宋_GB2312" w:eastAsia="仿宋_GB2312"/>
              </w:rPr>
              <w:t>供应商应提供针对本项目的质量进度保证措施方案，能够根据项目所需提供明确的质量进度保障方案。 1、保障方案细致详细、合理性强、项目情况针对性强得8分； 2、保障方案细致较详细、合理性较强、项目情况针对性较强得6分； 3.保障方案细致一般、合理性一般、项目情况针对性一般得4分； 4、保障方案不完善，提供内容简单有欠缺，未贴合实际得2分； 5、保障方案简单粗略，内容表述不清得1分； 6、未提供不得分。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质量进度保证措施.docx</w:t>
            </w:r>
          </w:p>
        </w:tc>
      </w:tr>
      <w:tr>
        <w:tc>
          <w:tcPr>
            <w:tcW w:type="dxa" w:w="831"/>
            <w:vMerge/>
          </w:tcPr>
          <w:p/>
        </w:tc>
        <w:tc>
          <w:tcPr>
            <w:tcW w:type="dxa" w:w="1661"/>
          </w:tcPr>
          <w:p>
            <w:pPr>
              <w:pStyle w:val="null3"/>
            </w:pPr>
            <w:r>
              <w:rPr>
                <w:rFonts w:ascii="仿宋_GB2312" w:hAnsi="仿宋_GB2312" w:cs="仿宋_GB2312" w:eastAsia="仿宋_GB2312"/>
              </w:rPr>
              <w:t>服务保障承诺</w:t>
            </w:r>
          </w:p>
        </w:tc>
        <w:tc>
          <w:tcPr>
            <w:tcW w:type="dxa" w:w="2492"/>
          </w:tcPr>
          <w:p>
            <w:pPr>
              <w:pStyle w:val="null3"/>
            </w:pPr>
            <w:r>
              <w:rPr>
                <w:rFonts w:ascii="仿宋_GB2312" w:hAnsi="仿宋_GB2312" w:cs="仿宋_GB2312" w:eastAsia="仿宋_GB2312"/>
              </w:rPr>
              <w:t>供应商根据招标文件要求的服务内容提供完整可行的服务保障承诺，根据响应情况进行赋分。 1、保障承诺细致详细、合理性强、项目情况针对性强得8分； 2、保障承诺细致较详细、合理性较强、项目情况针对性较强得6分； 3.保障承诺细致一般、合理性一般、项目情况针对性一般得4分； 4、保障承诺不完善，提供内容简单有欠缺，未贴合实际得2分； 5、保障承诺简单粗略，内容表述不清晰得1分； 6、未提供不得分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服务保障承诺.docx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供应商在项目服务期间，保障采购人及相关单位数据安全保密措施进行描述： 1、保密措施细致详细、合理性强、项目情况针对性强得5分； 2、保密措施细致较详细、合理性较强、项目情况针对性较强得4分； 3.保密措施细致一般、合理性一般、项目情况针对性一般得3分； 4、保密措施不完善，提供内容简单有欠缺，未贴合实际得2分； 5、保密措施简单粗略，内容表述不清得1分； 6、未提供不得分。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安全保密措施.docx</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供应商在项目服务期间，保障服务质量措施进行描述： 1、措施细致详细、合理性强、项目情况针对性强得5分； 2、措施细致较详细、合理性较强、项目情况针对性较强得4分； 3.措施细致一般、合理性一般、项目情况针对性一般得3分； 4、措施不完善，提供内容简单有欠缺，未贴合实际得2分； 5、措施简单粗略，内容表述不清得1分； 6、未提供不得分。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提出完整的服务管理方案，包括服务承诺、服务体系、服务流程 、服务能力，服务内容、应急预案、质量保障措施等。 （1）具备完整的服务体系，方案内容完整，满足本次服务需求， 得5分； （2）服务方案较为完整，基本满足本次服务需求，得3分 ; （3）服务方案不完整，不能完全满足本次服务需求，得0分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商务部分（类似业绩）</w:t>
            </w:r>
          </w:p>
        </w:tc>
        <w:tc>
          <w:tcPr>
            <w:tcW w:type="dxa" w:w="2492"/>
          </w:tcPr>
          <w:p>
            <w:pPr>
              <w:pStyle w:val="null3"/>
            </w:pPr>
            <w:r>
              <w:rPr>
                <w:rFonts w:ascii="仿宋_GB2312" w:hAnsi="仿宋_GB2312" w:cs="仿宋_GB2312" w:eastAsia="仿宋_GB2312"/>
              </w:rPr>
              <w:t>提供 2023 年5月至今类项目业绩， 以合同作为证明文件（以合同签订时间为准），提供合同复印件，每提供一个业绩证明材料计2分， 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报价得分=（评审基准价/投标报价）×20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详见附件：驻场服务方案.docx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详见附件：服务保障承诺.docx</w:t>
      </w:r>
    </w:p>
    <w:p>
      <w:pPr>
        <w:pStyle w:val="null3"/>
        <w:ind w:firstLine="960"/>
      </w:pPr>
      <w:r>
        <w:rPr>
          <w:rFonts w:ascii="仿宋_GB2312" w:hAnsi="仿宋_GB2312" w:cs="仿宋_GB2312" w:eastAsia="仿宋_GB2312"/>
        </w:rPr>
        <w:t>详见附件：服务质量措施.docx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详见附件：安全保密措施.docx</w:t>
      </w:r>
    </w:p>
    <w:p>
      <w:pPr>
        <w:pStyle w:val="null3"/>
        <w:ind w:firstLine="960"/>
      </w:pPr>
      <w:r>
        <w:rPr>
          <w:rFonts w:ascii="仿宋_GB2312" w:hAnsi="仿宋_GB2312" w:cs="仿宋_GB2312" w:eastAsia="仿宋_GB2312"/>
        </w:rPr>
        <w:t>详见附件：质量进度保证措施.docx</w:t>
      </w:r>
    </w:p>
    <w:p>
      <w:pPr>
        <w:pStyle w:val="null3"/>
        <w:ind w:firstLine="960"/>
      </w:pPr>
      <w:r>
        <w:rPr>
          <w:rFonts w:ascii="仿宋_GB2312" w:hAnsi="仿宋_GB2312" w:cs="仿宋_GB2312" w:eastAsia="仿宋_GB2312"/>
        </w:rPr>
        <w:t>详见附件：商务部分类似业绩.docx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