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版本号：KY2026-1-62820260710001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SIREA640流片封装服务项目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KY2026-1-628</w:t>
      </w:r>
      <w:r>
        <w:br/>
      </w:r>
      <w:r>
        <w:br/>
      </w:r>
      <w:r>
        <w:br/>
      </w:r>
    </w:p>
    <w:p>
      <w:pPr>
        <w:pStyle w:val="null3"/>
        <w:jc w:val="center"/>
        <w:outlineLvl w:val="2"/>
      </w:pPr>
      <w:r>
        <w:rPr>
          <w:rFonts w:ascii="仿宋_GB2312" w:hAnsi="仿宋_GB2312" w:cs="仿宋_GB2312" w:eastAsia="仿宋_GB2312"/>
          <w:sz w:val="28"/>
          <w:b/>
        </w:rPr>
        <w:t>西安科技大学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西安科技大学</w:t>
      </w:r>
      <w:r>
        <w:rPr>
          <w:rFonts w:ascii="仿宋_GB2312" w:hAnsi="仿宋_GB2312" w:cs="仿宋_GB2312" w:eastAsia="仿宋_GB2312"/>
        </w:rPr>
        <w:t>委托，拟对</w:t>
      </w:r>
      <w:r>
        <w:rPr>
          <w:rFonts w:ascii="仿宋_GB2312" w:hAnsi="仿宋_GB2312" w:cs="仿宋_GB2312" w:eastAsia="仿宋_GB2312"/>
        </w:rPr>
        <w:t>SIREA640流片封装服务项目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KY2026-1-628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SIREA640流片封装服务项目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西安科技大学SIREA-640 流片封装服务项目，1项，具体内容详见磋商文件第3章。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采购包1（西安科技大学SIREA-640 流片封装服务项目）：属于专门面向中小企业采购。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法人提供会计师事务所出具的有效的2025年度审计报告(成立时间至提交投标文件截止时间不足一年的可提供成立后任意时段的资产负债表)，或提交自2025年11月1日以来银行出具的资信证明，或信用担保构出具的投标担保函(以上三种形式的资料提供任何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pPr>
        <w:pStyle w:val="null3"/>
      </w:pPr>
      <w:r>
        <w:rPr>
          <w:rFonts w:ascii="仿宋_GB2312" w:hAnsi="仿宋_GB2312" w:cs="仿宋_GB2312" w:eastAsia="仿宋_GB2312"/>
        </w:rPr>
        <w:t>3、税收缴纳证明：提供2025年6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4、社会保障资金缴存证明：提供2025年6月至今已缴存的至少一个月的社会保障资金缴存单据或社保机构开具的社会保险参保缴费情况证明，依法不需要缴纳社会保障资金的单位应提供相关证明材料。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7、法定代表人授权书：法定代表人授权书及被授权人身份证明。（法定代表人直接磋商只须提交其身份证明）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029-83858191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银行账号：86113010750181502000760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说明：1、履约保证金缴纳时间：供应商成交后凭成交通知书向采购人缴纳成交金额的5%作为履约保证金。 2、履约保证金缴纳形式：成交供应商应当以支票、汇票、本票、保函等非现金形式缴纳。 3、履约保证金的退还：合同履约完毕后无息退还。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成交服务费，参照国家计委颁布的《招标代理服务收费管理暂行办法》（计价格[2002]1980号）及发改办价格[2003]857号文件规定标准的77.5%收取。 2、本项目代理服务费按服务计取。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联系人：杨子雨、韩婷</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邮编：716000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西安科技大学SIREA 640 流片封装服务项目，1项，具体内容详见采购技术需求。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SIREA 640 流片封装服务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标的名称：SIREA 640 流片封装服务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outlineLvl w:val="0"/>
            </w:pPr>
            <w:r>
              <w:rPr>
                <w:rFonts w:ascii="仿宋_GB2312" w:hAnsi="仿宋_GB2312" w:cs="仿宋_GB2312" w:eastAsia="仿宋_GB2312"/>
                <w:sz w:val="24"/>
                <w:b/>
              </w:rPr>
              <w:t>一、采购内容</w:t>
            </w:r>
          </w:p>
          <w:p>
            <w:pPr>
              <w:pStyle w:val="null3"/>
              <w:ind w:firstLine="480"/>
              <w:jc w:val="both"/>
            </w:pPr>
            <w:r>
              <w:rPr>
                <w:rFonts w:ascii="仿宋_GB2312" w:hAnsi="仿宋_GB2312" w:cs="仿宋_GB2312" w:eastAsia="仿宋_GB2312"/>
                <w:sz w:val="24"/>
              </w:rPr>
              <w:t>异构裸片的封装服务：用于对采购</w:t>
            </w:r>
            <w:r>
              <w:rPr>
                <w:rFonts w:ascii="仿宋_GB2312" w:hAnsi="仿宋_GB2312" w:cs="仿宋_GB2312" w:eastAsia="仿宋_GB2312"/>
                <w:sz w:val="24"/>
              </w:rPr>
              <w:t>人</w:t>
            </w:r>
            <w:r>
              <w:rPr>
                <w:rFonts w:ascii="仿宋_GB2312" w:hAnsi="仿宋_GB2312" w:cs="仿宋_GB2312" w:eastAsia="仿宋_GB2312"/>
                <w:sz w:val="24"/>
              </w:rPr>
              <w:t>自研的</w:t>
            </w:r>
            <w:r>
              <w:rPr>
                <w:rFonts w:ascii="仿宋_GB2312" w:hAnsi="仿宋_GB2312" w:cs="仿宋_GB2312" w:eastAsia="仿宋_GB2312"/>
                <w:sz w:val="24"/>
              </w:rPr>
              <w:t>28nm</w:t>
            </w:r>
            <w:r>
              <w:rPr>
                <w:rFonts w:ascii="仿宋_GB2312" w:hAnsi="仿宋_GB2312" w:cs="仿宋_GB2312" w:eastAsia="仿宋_GB2312"/>
                <w:sz w:val="24"/>
              </w:rPr>
              <w:t>工艺</w:t>
            </w:r>
            <w:r>
              <w:rPr>
                <w:rFonts w:ascii="仿宋_GB2312" w:hAnsi="仿宋_GB2312" w:cs="仿宋_GB2312" w:eastAsia="仿宋_GB2312"/>
                <w:sz w:val="24"/>
              </w:rPr>
              <w:t>SIREA-640</w:t>
            </w:r>
            <w:r>
              <w:rPr>
                <w:rFonts w:ascii="仿宋_GB2312" w:hAnsi="仿宋_GB2312" w:cs="仿宋_GB2312" w:eastAsia="仿宋_GB2312"/>
                <w:sz w:val="24"/>
              </w:rPr>
              <w:t>芯片和铁电存算芯片的异质集成封装。</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、针对</w:t>
            </w:r>
            <w:r>
              <w:rPr>
                <w:rFonts w:ascii="仿宋_GB2312" w:hAnsi="仿宋_GB2312" w:cs="仿宋_GB2312" w:eastAsia="仿宋_GB2312"/>
                <w:sz w:val="24"/>
              </w:rPr>
              <w:t>SIREA-640</w:t>
            </w:r>
            <w:r>
              <w:rPr>
                <w:rFonts w:ascii="仿宋_GB2312" w:hAnsi="仿宋_GB2312" w:cs="仿宋_GB2312" w:eastAsia="仿宋_GB2312"/>
                <w:sz w:val="24"/>
              </w:rPr>
              <w:t>芯片全接口信号电平转换及与铁电存算的稳定通讯需求，需采用与该项目适配的国产自主可控的专用电平转换</w:t>
            </w:r>
            <w:r>
              <w:rPr>
                <w:rFonts w:ascii="仿宋_GB2312" w:hAnsi="仿宋_GB2312" w:cs="仿宋_GB2312" w:eastAsia="仿宋_GB2312"/>
                <w:sz w:val="24"/>
              </w:rPr>
              <w:t>ASIC</w:t>
            </w:r>
            <w:r>
              <w:rPr>
                <w:rFonts w:ascii="仿宋_GB2312" w:hAnsi="仿宋_GB2312" w:cs="仿宋_GB2312" w:eastAsia="仿宋_GB2312"/>
                <w:sz w:val="24"/>
              </w:rPr>
              <w:t>芯片实现全部信号转换与接口适配功能。基本情况如下：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）待封装的两颗芯片</w:t>
            </w:r>
            <w:r>
              <w:rPr>
                <w:rFonts w:ascii="仿宋_GB2312" w:hAnsi="仿宋_GB2312" w:cs="仿宋_GB2312" w:eastAsia="仿宋_GB2312"/>
                <w:sz w:val="24"/>
              </w:rPr>
              <w:t>I/O</w:t>
            </w:r>
            <w:r>
              <w:rPr>
                <w:rFonts w:ascii="仿宋_GB2312" w:hAnsi="仿宋_GB2312" w:cs="仿宋_GB2312" w:eastAsia="仿宋_GB2312"/>
                <w:sz w:val="24"/>
              </w:rPr>
              <w:t>电平不同，</w:t>
            </w:r>
            <w:r>
              <w:rPr>
                <w:rFonts w:ascii="仿宋_GB2312" w:hAnsi="仿宋_GB2312" w:cs="仿宋_GB2312" w:eastAsia="仿宋_GB2312"/>
                <w:sz w:val="24"/>
              </w:rPr>
              <w:t>SIREA-640 1.8V</w:t>
            </w:r>
            <w:r>
              <w:rPr>
                <w:rFonts w:ascii="仿宋_GB2312" w:hAnsi="仿宋_GB2312" w:cs="仿宋_GB2312" w:eastAsia="仿宋_GB2312"/>
                <w:sz w:val="24"/>
              </w:rPr>
              <w:t>与铁电存算芯片</w:t>
            </w:r>
            <w:r>
              <w:rPr>
                <w:rFonts w:ascii="仿宋_GB2312" w:hAnsi="仿宋_GB2312" w:cs="仿宋_GB2312" w:eastAsia="仿宋_GB2312"/>
                <w:sz w:val="24"/>
              </w:rPr>
              <w:t xml:space="preserve"> 3.3V</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）共计</w:t>
            </w:r>
            <w:r>
              <w:rPr>
                <w:rFonts w:ascii="仿宋_GB2312" w:hAnsi="仿宋_GB2312" w:cs="仿宋_GB2312" w:eastAsia="仿宋_GB2312"/>
                <w:sz w:val="24"/>
              </w:rPr>
              <w:t>60</w:t>
            </w:r>
            <w:r>
              <w:rPr>
                <w:rFonts w:ascii="仿宋_GB2312" w:hAnsi="仿宋_GB2312" w:cs="仿宋_GB2312" w:eastAsia="仿宋_GB2312"/>
                <w:sz w:val="24"/>
              </w:rPr>
              <w:t>路信号的双向通讯需求，需要进行电平转换；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）电平转换芯片延迟最大不超过</w:t>
            </w:r>
            <w:r>
              <w:rPr>
                <w:rFonts w:ascii="仿宋_GB2312" w:hAnsi="仿宋_GB2312" w:cs="仿宋_GB2312" w:eastAsia="仿宋_GB2312"/>
                <w:sz w:val="24"/>
              </w:rPr>
              <w:t>40ns</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该</w:t>
            </w:r>
            <w:r>
              <w:rPr>
                <w:rFonts w:ascii="仿宋_GB2312" w:hAnsi="仿宋_GB2312" w:cs="仿宋_GB2312" w:eastAsia="仿宋_GB2312"/>
                <w:sz w:val="24"/>
              </w:rPr>
              <w:t>电平转换ASIC</w:t>
            </w:r>
            <w:r>
              <w:rPr>
                <w:rFonts w:ascii="仿宋_GB2312" w:hAnsi="仿宋_GB2312" w:cs="仿宋_GB2312" w:eastAsia="仿宋_GB2312"/>
                <w:sz w:val="24"/>
              </w:rPr>
              <w:t>芯片需为国产自主可控芯片（提供全套设计文件）。</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、封装体内用于电平转换功能的独立芯片数量不得超过</w:t>
            </w:r>
            <w:r>
              <w:rPr>
                <w:rFonts w:ascii="仿宋_GB2312" w:hAnsi="仿宋_GB2312" w:cs="仿宋_GB2312" w:eastAsia="仿宋_GB2312"/>
                <w:sz w:val="24"/>
              </w:rPr>
              <w:t>2</w:t>
            </w:r>
            <w:r>
              <w:rPr>
                <w:rFonts w:ascii="仿宋_GB2312" w:hAnsi="仿宋_GB2312" w:cs="仿宋_GB2312" w:eastAsia="仿宋_GB2312"/>
                <w:sz w:val="24"/>
              </w:rPr>
              <w:t>颗</w:t>
            </w:r>
            <w:r>
              <w:rPr>
                <w:rFonts w:ascii="仿宋_GB2312" w:hAnsi="仿宋_GB2312" w:cs="仿宋_GB2312" w:eastAsia="仿宋_GB2312"/>
                <w:sz w:val="24"/>
              </w:rPr>
              <w:t>（提供承诺书和技术方案）</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、采用不多于</w:t>
            </w:r>
            <w:r>
              <w:rPr>
                <w:rFonts w:ascii="仿宋_GB2312" w:hAnsi="仿宋_GB2312" w:cs="仿宋_GB2312" w:eastAsia="仿宋_GB2312"/>
                <w:sz w:val="24"/>
              </w:rPr>
              <w:t>6</w:t>
            </w:r>
            <w:r>
              <w:rPr>
                <w:rFonts w:ascii="仿宋_GB2312" w:hAnsi="仿宋_GB2312" w:cs="仿宋_GB2312" w:eastAsia="仿宋_GB2312"/>
                <w:sz w:val="24"/>
              </w:rPr>
              <w:t>层</w:t>
            </w:r>
            <w:r>
              <w:rPr>
                <w:rFonts w:ascii="仿宋_GB2312" w:hAnsi="仿宋_GB2312" w:cs="仿宋_GB2312" w:eastAsia="仿宋_GB2312"/>
                <w:sz w:val="24"/>
              </w:rPr>
              <w:t>ABF</w:t>
            </w:r>
            <w:r>
              <w:rPr>
                <w:rFonts w:ascii="仿宋_GB2312" w:hAnsi="仿宋_GB2312" w:cs="仿宋_GB2312" w:eastAsia="仿宋_GB2312"/>
                <w:sz w:val="24"/>
              </w:rPr>
              <w:t>材料基板实现封装互连。</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、封装基板</w:t>
            </w:r>
            <w:r>
              <w:rPr>
                <w:rFonts w:ascii="仿宋_GB2312" w:hAnsi="仿宋_GB2312" w:cs="仿宋_GB2312" w:eastAsia="仿宋_GB2312"/>
                <w:sz w:val="24"/>
              </w:rPr>
              <w:t>：</w:t>
            </w:r>
            <w:r>
              <w:rPr>
                <w:rFonts w:ascii="仿宋_GB2312" w:hAnsi="仿宋_GB2312" w:cs="仿宋_GB2312" w:eastAsia="仿宋_GB2312"/>
                <w:sz w:val="24"/>
              </w:rPr>
              <w:t>最大电源压降不得大于</w:t>
            </w:r>
            <w:r>
              <w:rPr>
                <w:rFonts w:ascii="仿宋_GB2312" w:hAnsi="仿宋_GB2312" w:cs="仿宋_GB2312" w:eastAsia="仿宋_GB2312"/>
                <w:sz w:val="24"/>
              </w:rPr>
              <w:t>0.1%</w:t>
            </w:r>
            <w:r>
              <w:rPr>
                <w:rFonts w:ascii="仿宋_GB2312" w:hAnsi="仿宋_GB2312" w:cs="仿宋_GB2312" w:eastAsia="仿宋_GB2312"/>
                <w:sz w:val="24"/>
              </w:rPr>
              <w:t>、最大通道间延迟小于</w:t>
            </w:r>
            <w:r>
              <w:rPr>
                <w:rFonts w:ascii="仿宋_GB2312" w:hAnsi="仿宋_GB2312" w:cs="仿宋_GB2312" w:eastAsia="仿宋_GB2312"/>
                <w:sz w:val="24"/>
              </w:rPr>
              <w:t>100ps</w:t>
            </w:r>
            <w:r>
              <w:rPr>
                <w:rFonts w:ascii="仿宋_GB2312" w:hAnsi="仿宋_GB2312" w:cs="仿宋_GB2312" w:eastAsia="仿宋_GB2312"/>
                <w:sz w:val="24"/>
              </w:rPr>
              <w:t>、</w:t>
            </w:r>
            <w:r>
              <w:rPr>
                <w:rFonts w:ascii="仿宋_GB2312" w:hAnsi="仿宋_GB2312" w:cs="仿宋_GB2312" w:eastAsia="仿宋_GB2312"/>
                <w:sz w:val="24"/>
              </w:rPr>
              <w:t>CTE</w:t>
            </w:r>
            <w:r>
              <w:rPr>
                <w:rFonts w:ascii="仿宋_GB2312" w:hAnsi="仿宋_GB2312" w:cs="仿宋_GB2312" w:eastAsia="仿宋_GB2312"/>
                <w:sz w:val="24"/>
              </w:rPr>
              <w:t>热膨胀系数小于</w:t>
            </w:r>
            <w:r>
              <w:rPr>
                <w:rFonts w:ascii="仿宋_GB2312" w:hAnsi="仿宋_GB2312" w:cs="仿宋_GB2312" w:eastAsia="仿宋_GB2312"/>
                <w:sz w:val="24"/>
              </w:rPr>
              <w:t>40 ppm/</w:t>
            </w:r>
            <w:r>
              <w:rPr>
                <w:rFonts w:ascii="仿宋_GB2312" w:hAnsi="仿宋_GB2312" w:cs="仿宋_GB2312" w:eastAsia="仿宋_GB2312"/>
                <w:sz w:val="24"/>
              </w:rPr>
              <w:t>℃、基板总厚度不得高于</w:t>
            </w:r>
            <w:r>
              <w:rPr>
                <w:rFonts w:ascii="仿宋_GB2312" w:hAnsi="仿宋_GB2312" w:cs="仿宋_GB2312" w:eastAsia="仿宋_GB2312"/>
                <w:sz w:val="24"/>
              </w:rPr>
              <w:t>350um</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、信号线引出管脚规划：需要将封装体内部电平转换芯片和</w:t>
            </w:r>
            <w:r>
              <w:rPr>
                <w:rFonts w:ascii="仿宋_GB2312" w:hAnsi="仿宋_GB2312" w:cs="仿宋_GB2312" w:eastAsia="仿宋_GB2312"/>
                <w:sz w:val="24"/>
              </w:rPr>
              <w:t>SIREA-640</w:t>
            </w:r>
            <w:r>
              <w:rPr>
                <w:rFonts w:ascii="仿宋_GB2312" w:hAnsi="仿宋_GB2312" w:cs="仿宋_GB2312" w:eastAsia="仿宋_GB2312"/>
                <w:sz w:val="24"/>
              </w:rPr>
              <w:t>芯片、</w:t>
            </w:r>
            <w:r>
              <w:rPr>
                <w:rFonts w:ascii="仿宋_GB2312" w:hAnsi="仿宋_GB2312" w:cs="仿宋_GB2312" w:eastAsia="仿宋_GB2312"/>
                <w:sz w:val="24"/>
              </w:rPr>
              <w:t>铁电存算</w:t>
            </w:r>
            <w:r>
              <w:rPr>
                <w:rFonts w:ascii="仿宋_GB2312" w:hAnsi="仿宋_GB2312" w:cs="仿宋_GB2312" w:eastAsia="仿宋_GB2312"/>
                <w:sz w:val="24"/>
              </w:rPr>
              <w:t>芯片之间的接口拉出到芯片外部。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、异质集成封装模块完成最终封装后的最大外形尺寸不得超过</w:t>
            </w:r>
            <w:r>
              <w:rPr>
                <w:rFonts w:ascii="仿宋_GB2312" w:hAnsi="仿宋_GB2312" w:cs="仿宋_GB2312" w:eastAsia="仿宋_GB2312"/>
                <w:sz w:val="24"/>
              </w:rPr>
              <w:t xml:space="preserve"> 28</w:t>
            </w:r>
            <w:r>
              <w:rPr>
                <w:rFonts w:ascii="仿宋_GB2312" w:hAnsi="仿宋_GB2312" w:cs="仿宋_GB2312" w:eastAsia="仿宋_GB2312"/>
                <w:sz w:val="24"/>
              </w:rPr>
              <w:t>×</w:t>
            </w:r>
            <w:r>
              <w:rPr>
                <w:rFonts w:ascii="仿宋_GB2312" w:hAnsi="仿宋_GB2312" w:cs="仿宋_GB2312" w:eastAsia="仿宋_GB2312"/>
                <w:sz w:val="24"/>
              </w:rPr>
              <w:t>28</w:t>
            </w:r>
            <w:r>
              <w:rPr>
                <w:rFonts w:ascii="仿宋_GB2312" w:hAnsi="仿宋_GB2312" w:cs="仿宋_GB2312" w:eastAsia="仿宋_GB2312"/>
                <w:sz w:val="24"/>
              </w:rPr>
              <w:t>×</w:t>
            </w:r>
            <w:r>
              <w:rPr>
                <w:rFonts w:ascii="仿宋_GB2312" w:hAnsi="仿宋_GB2312" w:cs="仿宋_GB2312" w:eastAsia="仿宋_GB2312"/>
                <w:sz w:val="24"/>
              </w:rPr>
              <w:t>1.5mm</w:t>
            </w:r>
            <w:r>
              <w:rPr>
                <w:rFonts w:ascii="仿宋_GB2312" w:hAnsi="仿宋_GB2312" w:cs="仿宋_GB2312" w:eastAsia="仿宋_GB2312"/>
                <w:sz w:val="24"/>
                <w:vertAlign w:val="superscript"/>
              </w:rPr>
              <w:t>3</w:t>
            </w:r>
            <w:r>
              <w:rPr>
                <w:rFonts w:ascii="仿宋_GB2312" w:hAnsi="仿宋_GB2312" w:cs="仿宋_GB2312" w:eastAsia="仿宋_GB2312"/>
                <w:sz w:val="24"/>
              </w:rPr>
              <w:t>。该尺寸包含塑封体、焊球</w:t>
            </w:r>
            <w:r>
              <w:rPr>
                <w:rFonts w:ascii="仿宋_GB2312" w:hAnsi="仿宋_GB2312" w:cs="仿宋_GB2312" w:eastAsia="仿宋_GB2312"/>
                <w:sz w:val="24"/>
              </w:rPr>
              <w:t>/</w:t>
            </w:r>
            <w:r>
              <w:rPr>
                <w:rFonts w:ascii="仿宋_GB2312" w:hAnsi="仿宋_GB2312" w:cs="仿宋_GB2312" w:eastAsia="仿宋_GB2312"/>
                <w:sz w:val="24"/>
              </w:rPr>
              <w:t>引脚、标记点及所有封装附属结构</w:t>
            </w:r>
            <w:r>
              <w:rPr>
                <w:rFonts w:ascii="仿宋_GB2312" w:hAnsi="仿宋_GB2312" w:cs="仿宋_GB2312" w:eastAsia="仿宋_GB2312"/>
                <w:sz w:val="24"/>
              </w:rPr>
              <w:t>（提供承诺书）。</w:t>
            </w:r>
          </w:p>
          <w:p>
            <w:pPr>
              <w:pStyle w:val="null3"/>
              <w:ind w:firstLine="480"/>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测试座整体尺寸不得大于</w:t>
            </w: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70</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vertAlign w:val="superscript"/>
              </w:rPr>
              <w:t>3</w:t>
            </w:r>
            <w:r>
              <w:rPr>
                <w:rFonts w:ascii="仿宋_GB2312" w:hAnsi="仿宋_GB2312" w:cs="仿宋_GB2312" w:eastAsia="仿宋_GB2312"/>
                <w:sz w:val="24"/>
              </w:rPr>
              <w:t>，每个测试座放一颗芯片。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、整个封装制作周期包含提供专用电平转换芯片，基板设计，基板生产，封装设计，基板仿真，封装制作与测试座制作，支持分批封装（次数不少于</w:t>
            </w:r>
            <w:r>
              <w:rPr>
                <w:rFonts w:ascii="仿宋_GB2312" w:hAnsi="仿宋_GB2312" w:cs="仿宋_GB2312" w:eastAsia="仿宋_GB2312"/>
                <w:sz w:val="24"/>
              </w:rPr>
              <w:t>3</w:t>
            </w:r>
            <w:r>
              <w:rPr>
                <w:rFonts w:ascii="仿宋_GB2312" w:hAnsi="仿宋_GB2312" w:cs="仿宋_GB2312" w:eastAsia="仿宋_GB2312"/>
                <w:sz w:val="24"/>
              </w:rPr>
              <w:t>次）。</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、硬件交付物要求：异构集成封装完成的合格样品：≥</w:t>
            </w:r>
            <w:r>
              <w:rPr>
                <w:rFonts w:ascii="仿宋_GB2312" w:hAnsi="仿宋_GB2312" w:cs="仿宋_GB2312" w:eastAsia="仿宋_GB2312"/>
                <w:sz w:val="24"/>
              </w:rPr>
              <w:t>25</w:t>
            </w:r>
            <w:r>
              <w:rPr>
                <w:rFonts w:ascii="仿宋_GB2312" w:hAnsi="仿宋_GB2312" w:cs="仿宋_GB2312" w:eastAsia="仿宋_GB2312"/>
                <w:sz w:val="24"/>
              </w:rPr>
              <w:t>颗；测试座：≥</w:t>
            </w:r>
            <w:r>
              <w:rPr>
                <w:rFonts w:ascii="仿宋_GB2312" w:hAnsi="仿宋_GB2312" w:cs="仿宋_GB2312" w:eastAsia="仿宋_GB2312"/>
                <w:sz w:val="24"/>
              </w:rPr>
              <w:t>1</w:t>
            </w:r>
            <w:r>
              <w:rPr>
                <w:rFonts w:ascii="仿宋_GB2312" w:hAnsi="仿宋_GB2312" w:cs="仿宋_GB2312" w:eastAsia="仿宋_GB2312"/>
                <w:sz w:val="24"/>
              </w:rPr>
              <w:t>套。</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、文档交付物要求：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）专用电平转换</w:t>
            </w:r>
            <w:r>
              <w:rPr>
                <w:rFonts w:ascii="仿宋_GB2312" w:hAnsi="仿宋_GB2312" w:cs="仿宋_GB2312" w:eastAsia="仿宋_GB2312"/>
                <w:sz w:val="24"/>
              </w:rPr>
              <w:t xml:space="preserve"> ASIC </w:t>
            </w:r>
            <w:r>
              <w:rPr>
                <w:rFonts w:ascii="仿宋_GB2312" w:hAnsi="仿宋_GB2312" w:cs="仿宋_GB2312" w:eastAsia="仿宋_GB2312"/>
                <w:sz w:val="24"/>
              </w:rPr>
              <w:t>全套设计文档：需包括以下内容：设计说明书、功能规格书、原理图、</w:t>
            </w:r>
            <w:r>
              <w:rPr>
                <w:rFonts w:ascii="仿宋_GB2312" w:hAnsi="仿宋_GB2312" w:cs="仿宋_GB2312" w:eastAsia="仿宋_GB2312"/>
                <w:sz w:val="24"/>
              </w:rPr>
              <w:t xml:space="preserve">Verilog/VHDL </w:t>
            </w:r>
            <w:r>
              <w:rPr>
                <w:rFonts w:ascii="仿宋_GB2312" w:hAnsi="仿宋_GB2312" w:cs="仿宋_GB2312" w:eastAsia="仿宋_GB2312"/>
                <w:sz w:val="24"/>
              </w:rPr>
              <w:t>代码、仿真报告（功能、时序、物理验证）、版图设计文件（</w:t>
            </w:r>
            <w:r>
              <w:rPr>
                <w:rFonts w:ascii="仿宋_GB2312" w:hAnsi="仿宋_GB2312" w:cs="仿宋_GB2312" w:eastAsia="仿宋_GB2312"/>
                <w:sz w:val="24"/>
              </w:rPr>
              <w:t>GDSII</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）封装基板全套设计文档：基板设计说明书、叠层结构图、布线图、</w:t>
            </w:r>
            <w:r>
              <w:rPr>
                <w:rFonts w:ascii="仿宋_GB2312" w:hAnsi="仿宋_GB2312" w:cs="仿宋_GB2312" w:eastAsia="仿宋_GB2312"/>
                <w:sz w:val="24"/>
              </w:rPr>
              <w:t xml:space="preserve">Gerber </w:t>
            </w:r>
            <w:r>
              <w:rPr>
                <w:rFonts w:ascii="仿宋_GB2312" w:hAnsi="仿宋_GB2312" w:cs="仿宋_GB2312" w:eastAsia="仿宋_GB2312"/>
                <w:sz w:val="24"/>
              </w:rPr>
              <w:t>文件、钻孔文件、物料清单（</w:t>
            </w:r>
            <w:r>
              <w:rPr>
                <w:rFonts w:ascii="仿宋_GB2312" w:hAnsi="仿宋_GB2312" w:cs="仿宋_GB2312" w:eastAsia="仿宋_GB2312"/>
                <w:sz w:val="24"/>
              </w:rPr>
              <w:t>BOM</w:t>
            </w:r>
            <w:r>
              <w:rPr>
                <w:rFonts w:ascii="仿宋_GB2312" w:hAnsi="仿宋_GB2312" w:cs="仿宋_GB2312" w:eastAsia="仿宋_GB2312"/>
                <w:sz w:val="24"/>
              </w:rPr>
              <w:t>）、仿真报告；</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）封装全套设计文档：封装设计说明书、封装结构图、键合图、焊盘图、工艺文件、组装指导书；</w:t>
            </w:r>
          </w:p>
          <w:p>
            <w:pPr>
              <w:pStyle w:val="null3"/>
              <w:ind w:firstLine="480"/>
              <w:jc w:val="both"/>
            </w:pPr>
            <w:r>
              <w:rPr>
                <w:rFonts w:ascii="仿宋_GB2312" w:hAnsi="仿宋_GB2312" w:cs="仿宋_GB2312" w:eastAsia="仿宋_GB2312"/>
                <w:sz w:val="24"/>
              </w:rPr>
              <w:t>（4）提供出厂测试报告、出厂测试大纲。</w:t>
            </w:r>
          </w:p>
          <w:p>
            <w:pPr>
              <w:pStyle w:val="null3"/>
            </w:pPr>
            <w:r>
              <w:rPr>
                <w:rFonts w:ascii="仿宋_GB2312" w:hAnsi="仿宋_GB2312" w:cs="仿宋_GB2312" w:eastAsia="仿宋_GB2312"/>
                <w:sz w:val="24"/>
                <w:b/>
              </w:rPr>
              <w:t>二、其他要求</w:t>
            </w:r>
          </w:p>
          <w:p>
            <w:pPr>
              <w:pStyle w:val="null3"/>
              <w:ind w:firstLine="480"/>
              <w:jc w:val="both"/>
            </w:pPr>
            <w:r>
              <w:rPr>
                <w:rFonts w:ascii="仿宋_GB2312" w:hAnsi="仿宋_GB2312" w:cs="仿宋_GB2312" w:eastAsia="仿宋_GB2312"/>
                <w:sz w:val="24"/>
              </w:rPr>
              <w:t>售后服务响应时间：≤24小时。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①封装周期：合同签订后75日历日内完成。 ②服务期限：合同签订之日起一年。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西安科技大学指定地点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其他，项目验收合格后，达到付款条件起10个工作日内，支付合同总金额的40.0%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从业人员300人以下的为中小微型企业。其中，从业人员100人及以上的为中型企业；从业人员10人及以上的为小型企业；从业人员10人以下的为微型企业。 2、保证金的退还：自采购合同签订之日起5个工作日内退还成交供应商的投标保证金。 3、成交通知书发出后，成交供应商需提供响应文件正本壹套、副本叁套、电子版壹套（U盘一套标明投标人名称）且提供的响应文件纸质版与电子版必须与在陕西省政府采购网电子化交易系统上提交的电子响应文件内容一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2025年11月1日以来银行出具的资信证明，或信用担保构出具的投标担保函(以上三种形式的资料提供任何种即可);其他组织和自然人提供银行出具的资信证明或财务报表。(注: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法定代表人授权书及被授权人身份证明。（法定代表人直接磋商只须提交其身份证明）</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响应报价表、分项报价表.docx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响应方案说明.docx 中小企业声明函.docx 保证金交纳凭证保函.docx 供应商承诺书.docx 商务条款响应说明.docx 响应文件封面 响应报价表、分项报价表.docx 残疾人福利性单位声明函 标的清单 供应商资格证明文件.docx 服务内容及服务邀请应答表.docx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响应文件按磋商文件要求签字盖章</w:t>
            </w:r>
          </w:p>
        </w:tc>
        <w:tc>
          <w:tcPr>
            <w:tcW w:type="dxa" w:w="1661"/>
          </w:tcPr>
          <w:p>
            <w:pPr>
              <w:pStyle w:val="null3"/>
            </w:pPr>
            <w:r>
              <w:rPr>
                <w:rFonts w:ascii="仿宋_GB2312" w:hAnsi="仿宋_GB2312" w:cs="仿宋_GB2312" w:eastAsia="仿宋_GB2312"/>
              </w:rPr>
              <w:t>响应方案说明.docx 中小企业声明函.docx 保证金交纳凭证保函.docx 供应商承诺书.docx 商务条款响应说明.docx 响应文件封面 响应报价表、分项报价表.docx 残疾人福利性单位声明函 标的清单 供应商资格证明文件.docx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保证金缴纳符合磋商文件要求</w:t>
            </w:r>
          </w:p>
        </w:tc>
        <w:tc>
          <w:tcPr>
            <w:tcW w:type="dxa" w:w="1661"/>
          </w:tcPr>
          <w:p>
            <w:pPr>
              <w:pStyle w:val="null3"/>
            </w:pPr>
            <w:r>
              <w:rPr>
                <w:rFonts w:ascii="仿宋_GB2312" w:hAnsi="仿宋_GB2312" w:cs="仿宋_GB2312" w:eastAsia="仿宋_GB2312"/>
              </w:rPr>
              <w:t>保证金交纳凭证保函.docx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响应方案说明.docx 中小企业声明函.docx 保证金交纳凭证保函.docx 供应商承诺书.docx 商务条款响应说明.docx 响应文件封面 响应报价表、分项报价表.docx 残疾人福利性单位声明函 标的清单 供应商资格证明文件.docx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供应商结合本项目进行需求理解分析，内容包括：①工作思路及工作原则；②重难点分析及解决措施。 评审标准：各项内容全面详细、阐述条理清晰、对评审内容中的各项要求有详细描述及说明得5分，每有一项缺项扣2.5分，每有一项内容存在1处缺陷扣0.5分，扣完为止。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技术响应情况</w:t>
            </w:r>
          </w:p>
        </w:tc>
        <w:tc>
          <w:tcPr>
            <w:tcW w:type="dxa" w:w="2492"/>
          </w:tcPr>
          <w:p>
            <w:pPr>
              <w:pStyle w:val="null3"/>
            </w:pPr>
            <w:r>
              <w:rPr>
                <w:rFonts w:ascii="仿宋_GB2312" w:hAnsi="仿宋_GB2312" w:cs="仿宋_GB2312" w:eastAsia="仿宋_GB2312"/>
              </w:rPr>
              <w:t>根据供应商对磋商文件“第三章 磋商项目技术、服务、商务及其他要求——3.2.2服务要求”中的响应情况进行评审：完全符合、响应磋商文件要求，没有负偏离计30分；“▲”号参数为重要技术指标，每负偏离一项扣5分，非“▲”号参数每负偏离一项扣2分。扣完为止。 备注：“▲”参数需提供相应的佐证材料（包括但不限于产品说明书、技术报告、测试报告、功能截图等）予以证明技术的响应性，否则视为负偏离。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提出针对本项目的实施方案，内容包括：①专用电平转换芯片提供方案；②基板设计方案；③基板生产方案；④封装设计方案；⑤基板仿真方案；⑥封装制作方案；⑦测试座制作方案；⑧项目交付方案。 评审标准：方案各项内容全面详细、阐述条理清晰、对评审内容中的各项要求有详细描述及说明得12分，每有一项缺项扣1.5分，每有一项内容存在1处缺陷扣0.5分，扣完为止。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提出针对本项目的服务质量保证措施，内容包括：①项目进度计划与安排；②项目进度控制与管理（明确各阶段的工作内容、责任人、资源配置情况等）③风险防范与应对措施。 评审标准：方案各项内容全面详细、阐述条理清晰、对评审内容中的各项要求有详细描述及说明得6分，每有一项缺项扣2分，每有一项内容存在1处缺陷扣1分，扣完为止。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针对本项目提供项目团队成员配备情况，内容包括：①人员整体配置情况、②人员职责与分工；③团队人员专业性及工作经验介绍。 评审标准：各部分内容全面详细、阐述条理清晰详尽、符合本项目采购需求计9分，每有一项缺项扣3分，每有一项内容存在1处缺陷扣1分,扣完为止。 备注：缺陷是指内容不合理、虽有内容但不完善、内容表述前后不一致、套用其他项目方案或与项目需求不匹配及其他不利于项目实施的等任意一种情形；团队人员需提供人员身份证扫描件、职称证、个税及社会保险缴纳证明，并加盖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提出针对本项目的售后服务及培训方案，内容包括：①服务内容及承诺；②售后响应时间；③技术咨询及技术支持；④培训计划、培训内容及方式。 评审标准：培训方案各项内容全面详细、阐述条理清晰、符合本项目采购要求，能有效保障本项目实施计8分，每有一项缺项扣2分，每有一项内容存在1处缺陷扣1分,扣完为止。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1.提供集成电路布图设计登记证书，计2分； 2.提供与本项目相关的软件著作权等材料，每个计1分，满分3分。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供应商提供2023年1月1日至今（以合同签订日期为准）类似项目的业绩合同，每份计3分，满分15分。 注：须提供项目合同或协议的关键页（包括但不限于合同首尾页、项目内容页，签字盖章页，签订日期页）扫描件，加盖公章，否则不计分。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详见附件：保证金交纳凭证保函.docx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