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版本号：ZMZB2026ZXYY-13520260513001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存储扩容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ZMZB2026ZXYY-135</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存储扩容</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ZMZB2026ZXYY-135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存储扩容</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为满足医院PACS 影像系统数据存储快速增长需求，解决现有存储容量不足、性能下降问题，保障医疗影像数据安全、稳定、高效存储与调取，支撑临床诊疗、急诊急救、科研教学业务开展，现对 PACS 存储进行扩容升级采购。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提供经审计的2024年度或2025年度的财务审计报告复印件（财务报告是指经会计师事务所审计的上述指定年度整个会计年度财务报表,复印件至少须包括报告正文、资产负债表、利润表、现金流量表、所有者权益变动表及附注和会计师事务所营业执照，报告正文应当有会计师事务所公章和2名注册会计师的签字及盖章。且审计报告应当经过注册会计师行业统一监管平台备案赋码），或在响应文件提交截至时间前六个月内其基本开户银行出具的资信证明和基本户证明材料(若供应商成立时间不足六个月，需提供成立至今的财务状况证明材料，或成立至响应文件提交截至时间前的基本开户银行出具的资信证明和基本户证明材料)。（以上两种形式的资料提供任何一种即可）。</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6、法定代表人授权书：非法定代表人参加投标的，须提供法定代表人委托授权书及被授权人近三个月内任意一个月在本单位的社会保障资金的缴纳证明，法定代表人参加投标时,只需提供法定代表人身份证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预算金额超过30万元，代理机构服务费参照《招标代理服务收费管理暂行办法》(计价格(2002)1980号)》基准费用×0.8收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为满足医院PACS 影像系统数据存储快速增长需求，解决现有存储容量不足、性能下降问题，保障医疗影像数据安全、稳定、高效存储与调取，支撑临床诊疗、急诊急救、科研教学业务开展，现对PACS存储进行扩容升级采购。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存储扩容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标的名称：存储扩容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采购标的</w:t>
            </w:r>
          </w:p>
          <w:tbl>
            <w:tblPr>
              <w:tblInd w:type="dxa" w:w="135"/>
              <w:tblBorders>
                <w:top w:val="none" w:color="000000" w:sz="4"/>
                <w:left w:val="none" w:color="000000" w:sz="4"/>
                <w:bottom w:val="none" w:color="000000" w:sz="4"/>
                <w:right w:val="none" w:color="000000" w:sz="4"/>
                <w:insideH w:val="none"/>
                <w:insideV w:val="none"/>
              </w:tblBorders>
            </w:tblPr>
            <w:tblGrid>
              <w:gridCol w:w="271"/>
              <w:gridCol w:w="1373"/>
              <w:gridCol w:w="350"/>
              <w:gridCol w:w="536"/>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控制器扩容</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存储电源模块</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7块</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控制器扩容</w:t>
            </w:r>
            <w:r>
              <w:rPr>
                <w:rFonts w:ascii="仿宋_GB2312" w:hAnsi="仿宋_GB2312" w:cs="仿宋_GB2312" w:eastAsia="仿宋_GB2312"/>
                <w:sz w:val="20"/>
                <w:b/>
              </w:rPr>
              <w:t>：</w:t>
            </w:r>
          </w:p>
          <w:p>
            <w:pPr>
              <w:pStyle w:val="null3"/>
            </w:pPr>
            <w:r>
              <w:rPr>
                <w:rFonts w:ascii="仿宋_GB2312" w:hAnsi="仿宋_GB2312" w:cs="仿宋_GB2312" w:eastAsia="仿宋_GB2312"/>
                <w:sz w:val="20"/>
                <w:color w:val="000000"/>
              </w:rPr>
              <w:t>扩容双控制器与原有控制器可以无缝对接（提供原厂盖章对接证明函和技术说明）最大可扩展</w:t>
            </w:r>
            <w:r>
              <w:rPr>
                <w:rFonts w:ascii="仿宋_GB2312" w:hAnsi="仿宋_GB2312" w:cs="仿宋_GB2312" w:eastAsia="仿宋_GB2312"/>
                <w:sz w:val="20"/>
                <w:color w:val="000000"/>
              </w:rPr>
              <w:t>16 控；扩容控制器采用国产 x86 处理器，通过国家安全可靠测评；双控 256GB 一级缓存，可扩展至 512GB；8 个 16Gb FC 接口（含模块）、8 个 10GE 接口（含模块）；12 块 3.84TB SSD 硬盘；支持 RAID6、CRAID2.0、双活、快照、精简配置、QoS、智能告警等功能；硬盘 / 控制器 / 电源支持在线热插拔；冗余电源及风扇。</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color w:val="000000"/>
              </w:rPr>
              <w:t>存储电源模块：</w:t>
            </w:r>
          </w:p>
          <w:p>
            <w:pPr>
              <w:pStyle w:val="null3"/>
              <w:jc w:val="both"/>
            </w:pPr>
            <w:r>
              <w:rPr>
                <w:rFonts w:ascii="仿宋_GB2312" w:hAnsi="仿宋_GB2312" w:cs="仿宋_GB2312" w:eastAsia="仿宋_GB2312"/>
                <w:sz w:val="20"/>
                <w:color w:val="000000"/>
              </w:rPr>
              <w:t>适配医院现有宏杉</w:t>
            </w:r>
            <w:r>
              <w:rPr>
                <w:rFonts w:ascii="仿宋_GB2312" w:hAnsi="仿宋_GB2312" w:cs="仿宋_GB2312" w:eastAsia="仿宋_GB2312"/>
                <w:sz w:val="20"/>
                <w:color w:val="000000"/>
              </w:rPr>
              <w:t>MS5580G2-AF 存储磁盘柜，原厂兼容配件。</w:t>
            </w:r>
          </w:p>
          <w:p>
            <w:pPr>
              <w:pStyle w:val="null3"/>
            </w:pPr>
            <w:r>
              <w:rPr>
                <w:rFonts w:ascii="仿宋_GB2312" w:hAnsi="仿宋_GB2312" w:cs="仿宋_GB2312" w:eastAsia="仿宋_GB2312"/>
                <w:sz w:val="20"/>
                <w:color w:val="000000"/>
              </w:rPr>
              <w:t>提供的所有产品均为正品、全新、合法来源，非走私、非假冒、非翻新、非侵权产品，产品中涉及的软件均为正版授权，不得存在盗版或未经许可使用情形。</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b/>
                <w:color w:val="000000"/>
              </w:rPr>
              <w:t>技术要求：</w:t>
            </w:r>
          </w:p>
          <w:p>
            <w:pPr>
              <w:pStyle w:val="null3"/>
              <w:ind w:firstLine="400"/>
              <w:jc w:val="both"/>
            </w:pPr>
            <w:r>
              <w:rPr>
                <w:rFonts w:ascii="仿宋_GB2312" w:hAnsi="仿宋_GB2312" w:cs="仿宋_GB2312" w:eastAsia="仿宋_GB2312"/>
                <w:sz w:val="20"/>
              </w:rPr>
              <w:t>核心架构：</w:t>
            </w:r>
            <w:r>
              <w:rPr>
                <w:rFonts w:ascii="仿宋_GB2312" w:hAnsi="仿宋_GB2312" w:cs="仿宋_GB2312" w:eastAsia="仿宋_GB2312"/>
                <w:sz w:val="20"/>
              </w:rPr>
              <w:t>扩容</w:t>
            </w:r>
            <w:r>
              <w:rPr>
                <w:rFonts w:ascii="仿宋_GB2312" w:hAnsi="仿宋_GB2312" w:cs="仿宋_GB2312" w:eastAsia="仿宋_GB2312"/>
                <w:sz w:val="20"/>
              </w:rPr>
              <w:t>双活控制器，国产</w:t>
            </w:r>
            <w:r>
              <w:rPr>
                <w:rFonts w:ascii="仿宋_GB2312" w:hAnsi="仿宋_GB2312" w:cs="仿宋_GB2312" w:eastAsia="仿宋_GB2312"/>
                <w:sz w:val="20"/>
              </w:rPr>
              <w:t>x86 处理器，通过国家安全可靠测评。</w:t>
            </w:r>
          </w:p>
          <w:p>
            <w:pPr>
              <w:pStyle w:val="null3"/>
              <w:ind w:firstLine="400"/>
              <w:jc w:val="both"/>
            </w:pPr>
            <w:r>
              <w:rPr>
                <w:rFonts w:ascii="仿宋_GB2312" w:hAnsi="仿宋_GB2312" w:cs="仿宋_GB2312" w:eastAsia="仿宋_GB2312"/>
                <w:sz w:val="20"/>
              </w:rPr>
              <w:t>存储性能：双控缓存</w:t>
            </w:r>
            <w:r>
              <w:rPr>
                <w:rFonts w:ascii="仿宋_GB2312" w:hAnsi="仿宋_GB2312" w:cs="仿宋_GB2312" w:eastAsia="仿宋_GB2312"/>
                <w:sz w:val="20"/>
              </w:rPr>
              <w:t>≥256GB，支持扩展至 512GB；主机接口支持 16Gb FC、10GE，可兼容 32Gbps FC、25/100Gbps iSCSI。</w:t>
            </w:r>
          </w:p>
          <w:p>
            <w:pPr>
              <w:pStyle w:val="null3"/>
              <w:ind w:firstLine="400"/>
              <w:jc w:val="both"/>
            </w:pPr>
            <w:r>
              <w:rPr>
                <w:rFonts w:ascii="仿宋_GB2312" w:hAnsi="仿宋_GB2312" w:cs="仿宋_GB2312" w:eastAsia="仿宋_GB2312"/>
                <w:sz w:val="20"/>
              </w:rPr>
              <w:t>数据安全：支持</w:t>
            </w:r>
            <w:r>
              <w:rPr>
                <w:rFonts w:ascii="仿宋_GB2312" w:hAnsi="仿宋_GB2312" w:cs="仿宋_GB2312" w:eastAsia="仿宋_GB2312"/>
                <w:sz w:val="20"/>
              </w:rPr>
              <w:t>RAID 0/1/5/6/10，单 RAID 组可容忍任意 3 块硬盘故障不丢数据、不中断业务。</w:t>
            </w:r>
          </w:p>
          <w:p>
            <w:pPr>
              <w:pStyle w:val="null3"/>
              <w:ind w:firstLine="400"/>
              <w:jc w:val="both"/>
            </w:pPr>
            <w:r>
              <w:rPr>
                <w:rFonts w:ascii="仿宋_GB2312" w:hAnsi="仿宋_GB2312" w:cs="仿宋_GB2312" w:eastAsia="仿宋_GB2312"/>
                <w:sz w:val="20"/>
              </w:rPr>
              <w:t>硬件可靠性：所有关键部件冗余设计，支持在线热插拔，</w:t>
            </w:r>
            <w:r>
              <w:rPr>
                <w:rFonts w:ascii="仿宋_GB2312" w:hAnsi="仿宋_GB2312" w:cs="仿宋_GB2312" w:eastAsia="仿宋_GB2312"/>
                <w:sz w:val="20"/>
              </w:rPr>
              <w:t>7×24 小时不间断运行。</w:t>
            </w:r>
          </w:p>
          <w:p>
            <w:pPr>
              <w:pStyle w:val="null3"/>
              <w:ind w:firstLine="400"/>
              <w:jc w:val="both"/>
            </w:pPr>
            <w:r>
              <w:rPr>
                <w:rFonts w:ascii="仿宋_GB2312" w:hAnsi="仿宋_GB2312" w:cs="仿宋_GB2312" w:eastAsia="仿宋_GB2312"/>
                <w:sz w:val="20"/>
              </w:rPr>
              <w:t>管理功能：具备系统监控、性能监控、日志告警、邮件告警、自动精简配置、服务质量控制等功能。</w:t>
            </w:r>
          </w:p>
          <w:p>
            <w:pPr>
              <w:pStyle w:val="null3"/>
              <w:ind w:firstLine="400"/>
              <w:jc w:val="both"/>
            </w:pPr>
            <w:r>
              <w:rPr>
                <w:rFonts w:ascii="仿宋_GB2312" w:hAnsi="仿宋_GB2312" w:cs="仿宋_GB2312" w:eastAsia="仿宋_GB2312"/>
                <w:sz w:val="20"/>
              </w:rPr>
              <w:t>兼容性：无缝对接医院现有</w:t>
            </w:r>
            <w:r>
              <w:rPr>
                <w:rFonts w:ascii="仿宋_GB2312" w:hAnsi="仿宋_GB2312" w:cs="仿宋_GB2312" w:eastAsia="仿宋_GB2312"/>
                <w:sz w:val="20"/>
              </w:rPr>
              <w:t>PACS 系统与存储环境，实施期间不影响业务正常运行。</w:t>
            </w:r>
          </w:p>
          <w:p>
            <w:pPr>
              <w:pStyle w:val="null3"/>
            </w:pPr>
            <w:r>
              <w:rPr>
                <w:rFonts w:ascii="仿宋_GB2312" w:hAnsi="仿宋_GB2312" w:cs="仿宋_GB2312" w:eastAsia="仿宋_GB2312"/>
                <w:sz w:val="20"/>
                <w:color w:val="000000"/>
              </w:rPr>
              <w:t>提供的所有产品均为正品、全新、合法来源，非走私、非假冒、非翻新、非侵权产品，产品中涉及的软件均为正版授权，不得存在盗版或未经许可使用情形。</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b/>
                <w:color w:val="000000"/>
              </w:rPr>
              <w:t>注：以上技术参数与性能指标不允许负偏离，任意一项负偏离按无效投标处理。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30 个日历日内完成安装调试、验收交付</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货物到达采购人指定地点，运输、安装、调试、第一次验收合格后（第一次验收要求乙方按合同约定提供货物，安装调试完成，确保设备能够正常运行）</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95.00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从第一次验收合格之日起满三年后，如无质量、服务等问题，进行第二次验收，剩余5%待第二次验收通过后，无质量问题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按照国家信息技术设备标准、行业规范及采购文件要求进行验收，所有功能、性能、参数须满足采购需求。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整体硬件与软件功能质保 3 年，自验收合格之日起计算。供应商提供原厂三年质保，7×24 小时技术支持，故障响应时间≤2 小时，4 小时内到场处理。负责设备安装、调试、部署、数据迁移与系统对接，提供完整部署方案与验收文档。合同签订后1个月内完成全部交付、调试并验收合格。</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1.培训内容及要求：提供操作培训与运维指导，确保医院工作人员可独立使用与管理。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线下递交文件地点： 西安市雁塔区科技路30号合力紫郡大厦B座21层，若电子投标文件与纸质投标文件不一致的，以电子投标文件为准。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审计的2024年度或2025年度的财务审计报告复印件（财务报告是指经会计师事务所审计的上述指定年度整个会计年度财务报表,复印件至少须包括报告正文、资产负债表、利润表、现金流量表、所有者权益变动表及附注和会计师事务所营业执照，报告正文应当有会计师事务所公章和2名注册会计师的签字及盖章。且审计报告应当经过注册会计师行业统一监管平台备案赋码），或在响应文件提交截至时间前六个月内其基本开户银行出具的资信证明和基本户证明材料(若供应商成立时间不足六个月，需提供成立至今的财务状况证明材料，或成立至响应文件提交截至时间前的基本开户银行出具的资信证明和基本户证明材料)。（以上两种形式的资料提供任何一种即可）。</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非法定代表人参加投标的，须提供法定代表人委托授权书及被授权人近三个月内任意一个月在本单位的社会保障资金的缴纳证明，法定代表人参加投标时,只需提供法定代表人身份证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 (合格) ，响应报价超过采购预算或者最高限价(不合格)</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商务要求满足采购文件要求 (合格)，商务要求不满足采购文件要求(不合格)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响应文件的签署、盖章不符合采购文件要求 不合格 响应文件的签署、盖章符合采购文件要求 合格</w:t>
            </w:r>
          </w:p>
        </w:tc>
        <w:tc>
          <w:tcPr>
            <w:tcW w:type="dxa" w:w="1661"/>
          </w:tcPr>
          <w:p>
            <w:pPr>
              <w:pStyle w:val="null3"/>
            </w:pPr>
            <w:r>
              <w:rPr>
                <w:rFonts w:ascii="仿宋_GB2312" w:hAnsi="仿宋_GB2312" w:cs="仿宋_GB2312" w:eastAsia="仿宋_GB2312"/>
              </w:rPr>
              <w:t>响应文件封面 供应商参加政府采购活动承诺书.docx 分项报价表.docx 投标人企业关系关联承诺书.docx 供应商资格要求.docx 商务应答表 标的清单 报价表 产品技术参数表.docx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响应有效期满足采购文件要求(合格)，无响应有效期或有效期不满足采购文件要求(不合格)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投标人企业关系关联承诺书</w:t>
            </w:r>
          </w:p>
        </w:tc>
        <w:tc>
          <w:tcPr>
            <w:tcW w:type="dxa" w:w="3322"/>
          </w:tcPr>
          <w:p>
            <w:pPr>
              <w:pStyle w:val="null3"/>
            </w:pPr>
            <w:r>
              <w:rPr>
                <w:rFonts w:ascii="仿宋_GB2312" w:hAnsi="仿宋_GB2312" w:cs="仿宋_GB2312" w:eastAsia="仿宋_GB2312"/>
              </w:rPr>
              <w:t>响应文件提供了合格的投标人企业关系关联承诺书（合格） 响应文件未提供或提供的投标人企业关系关联承诺书不合格（不合格）</w:t>
            </w:r>
          </w:p>
        </w:tc>
        <w:tc>
          <w:tcPr>
            <w:tcW w:type="dxa" w:w="1661"/>
          </w:tcPr>
          <w:p>
            <w:pPr>
              <w:pStyle w:val="null3"/>
            </w:pPr>
            <w:r>
              <w:rPr>
                <w:rFonts w:ascii="仿宋_GB2312" w:hAnsi="仿宋_GB2312" w:cs="仿宋_GB2312" w:eastAsia="仿宋_GB2312"/>
              </w:rPr>
              <w:t>投标人企业关系关联承诺书.docx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法律、法规和竞争性谈判文件规定的其他无效情形</w:t>
            </w:r>
          </w:p>
        </w:tc>
        <w:tc>
          <w:tcPr>
            <w:tcW w:type="dxa" w:w="3322"/>
          </w:tcPr>
          <w:p>
            <w:pPr>
              <w:pStyle w:val="null3"/>
            </w:pPr>
            <w:r>
              <w:rPr>
                <w:rFonts w:ascii="仿宋_GB2312" w:hAnsi="仿宋_GB2312" w:cs="仿宋_GB2312" w:eastAsia="仿宋_GB2312"/>
              </w:rPr>
              <w:t>不存在法律、法规和竞争性谈判文件规定的其他无效 情形（合 格），存在法律、法规和竞争性谈判文件规定的其他无效情形 （不合格）</w:t>
            </w:r>
          </w:p>
        </w:tc>
        <w:tc>
          <w:tcPr>
            <w:tcW w:type="dxa" w:w="1661"/>
          </w:tcPr>
          <w:p>
            <w:pPr>
              <w:pStyle w:val="null3"/>
            </w:pPr>
            <w:r>
              <w:rPr>
                <w:rFonts w:ascii="仿宋_GB2312" w:hAnsi="仿宋_GB2312" w:cs="仿宋_GB2312" w:eastAsia="仿宋_GB2312"/>
              </w:rPr>
              <w:t>关于符合本国产品标准的声明函.docx 供应商认为有必要说明的其他问题.docx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分项报价表.docx 中小企业声明函 残疾人福利性单位声明函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