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版本号：XYZJ-BCZX-20264320260616002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北城中学宿舍楼前地面维修改造项目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XYZJ-BCZX-202643</w:t>
      </w:r>
      <w:r>
        <w:br/>
      </w:r>
      <w:r>
        <w:br/>
      </w:r>
      <w:r>
        <w:br/>
      </w:r>
    </w:p>
    <w:p>
      <w:pPr>
        <w:pStyle w:val="null3"/>
        <w:jc w:val="center"/>
        <w:outlineLvl w:val="2"/>
      </w:pPr>
      <w:r>
        <w:rPr>
          <w:rFonts w:ascii="仿宋_GB2312" w:hAnsi="仿宋_GB2312" w:cs="仿宋_GB2312" w:eastAsia="仿宋_GB2312"/>
          <w:sz w:val="28"/>
          <w:b/>
        </w:rPr>
        <w:t>三原县北城中学</w:t>
      </w:r>
    </w:p>
    <w:p>
      <w:pPr>
        <w:pStyle w:val="null3"/>
        <w:jc w:val="center"/>
        <w:outlineLvl w:val="2"/>
      </w:pPr>
      <w:r>
        <w:rPr>
          <w:rFonts w:ascii="仿宋_GB2312" w:hAnsi="仿宋_GB2312" w:cs="仿宋_GB2312" w:eastAsia="仿宋_GB2312"/>
          <w:sz w:val="28"/>
          <w:b/>
        </w:rPr>
        <w:t>咸阳中金国际项目管理有限公司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咸阳中金国际项目管理有限公司</w:t>
      </w:r>
      <w:r>
        <w:rPr>
          <w:rFonts w:ascii="仿宋_GB2312" w:hAnsi="仿宋_GB2312" w:cs="仿宋_GB2312" w:eastAsia="仿宋_GB2312"/>
        </w:rPr>
        <w:t>（以下简称“代理机构”）受</w:t>
      </w:r>
      <w:r>
        <w:rPr>
          <w:rFonts w:ascii="仿宋_GB2312" w:hAnsi="仿宋_GB2312" w:cs="仿宋_GB2312" w:eastAsia="仿宋_GB2312"/>
        </w:rPr>
        <w:t>三原县北城中学</w:t>
      </w:r>
      <w:r>
        <w:rPr>
          <w:rFonts w:ascii="仿宋_GB2312" w:hAnsi="仿宋_GB2312" w:cs="仿宋_GB2312" w:eastAsia="仿宋_GB2312"/>
        </w:rPr>
        <w:t>委托，拟对</w:t>
      </w:r>
      <w:r>
        <w:rPr>
          <w:rFonts w:ascii="仿宋_GB2312" w:hAnsi="仿宋_GB2312" w:cs="仿宋_GB2312" w:eastAsia="仿宋_GB2312"/>
        </w:rPr>
        <w:t>北城中学宿舍楼前地面维修改造项目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XYZJ-BCZX-202643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北城中学宿舍楼前地面维修改造项目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北城中学现有教职工270余名，学生3200余名。学校强志楼建于2000年前后，成志楼建于1999年，这两栋楼前小广场均采用小彩砖(30 30)铺设，无水泥垫层，也没有下水管道，遇到雨天，容易形成积水且路面泥水泗溢，多次因泥水将学生、老师滑倒，形成安全隐患。因此，学校计划对上述路面重新进行硬化，增加水泥垫层和排水管道。以上硬化面积约为3900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采购包1（北城中学宿舍楼前地面维修改造项目）：属于专门面向中小企业采购。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2、税收缴纳证明：供应商提供在本项目投标文件递交截止时间前六个月内任意一个月的税收缴纳凭证，依法免税的单位应提供相关证明材料。供应商需在项目电子化交易系统中按要求上传相应证明文件。</w:t>
      </w:r>
    </w:p>
    <w:p>
      <w:pPr>
        <w:pStyle w:val="null3"/>
      </w:pPr>
      <w:r>
        <w:rPr>
          <w:rFonts w:ascii="仿宋_GB2312" w:hAnsi="仿宋_GB2312" w:cs="仿宋_GB2312" w:eastAsia="仿宋_GB2312"/>
        </w:rPr>
        <w:t>3、社会保障资金缴纳证明：提供投标文件递交截止时间前六个月内已缴存的任意一个月的社会保障资金缴存单据或社保机构开具的社会保险参保缴费情况证明，单据或证明上应有社保机构或代收机构的公章；依法不需要缴纳社会保障资金的单位应提供相关证明材料。供应商需在项目电子化交易系统中按要求上传相应证明文件。</w:t>
      </w:r>
    </w:p>
    <w:p>
      <w:pPr>
        <w:pStyle w:val="null3"/>
      </w:pPr>
      <w:r>
        <w:rPr>
          <w:rFonts w:ascii="仿宋_GB2312" w:hAnsi="仿宋_GB2312" w:cs="仿宋_GB2312" w:eastAsia="仿宋_GB2312"/>
        </w:rPr>
        <w:t>4、财务状况：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 (或基本账户信息表)，或提供政府采购专业担保机构出具的投标担保函。供应商需在项目电子化交易系统中按要求上传相应证明文件。</w:t>
      </w:r>
    </w:p>
    <w:p>
      <w:pPr>
        <w:pStyle w:val="null3"/>
      </w:pPr>
      <w:r>
        <w:rPr>
          <w:rFonts w:ascii="仿宋_GB2312" w:hAnsi="仿宋_GB2312" w:cs="仿宋_GB2312" w:eastAsia="仿宋_GB2312"/>
        </w:rPr>
        <w:t>5、法定代表人（主要负责人）委托授权书\身份证明：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6、书面声明：参加政府采购活动前 3 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7、承诺函：具有履行合同所必需的设备和专业技术能力书面声明函，供应商需在项目电子化交易系统中按要求上传相应证明文件并进行电子签章。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信用记录：供应商应在中国执行信息公开网（http://zxgk.court.gov.cn/）未被列入失信被执行人，信用中国（https://www.creditchina.gov.cn/）未被列入经营异常名录、严重失信主体名单及在中国政府采购网（http://www.ccgp.gov.cn/）未被列入政府采购严重违法失信行为记录名单；</w:t>
      </w:r>
    </w:p>
    <w:p>
      <w:pPr>
        <w:pStyle w:val="null3"/>
      </w:pPr>
      <w:r>
        <w:rPr>
          <w:rFonts w:ascii="仿宋_GB2312" w:hAnsi="仿宋_GB2312" w:cs="仿宋_GB2312" w:eastAsia="仿宋_GB2312"/>
        </w:rPr>
        <w:t>9、资质证书：供应商具备建设行政主管部门核发的建筑工程施工总承包三级及以上资质，具有有效的安全生产许可证。</w:t>
      </w:r>
    </w:p>
    <w:p>
      <w:pPr>
        <w:pStyle w:val="null3"/>
      </w:pPr>
      <w:r>
        <w:rPr>
          <w:rFonts w:ascii="仿宋_GB2312" w:hAnsi="仿宋_GB2312" w:cs="仿宋_GB2312" w:eastAsia="仿宋_GB2312"/>
        </w:rPr>
        <w:t>10、项目负责人（项目经理）：证书等级：二级及以上注册建造师资格，专业：建筑工程。补充说明：具有有效的安全生产考核合格证，且无在建工程项目。</w:t>
      </w:r>
    </w:p>
    <w:p>
      <w:pPr>
        <w:pStyle w:val="null3"/>
      </w:pPr>
      <w:r>
        <w:rPr>
          <w:rFonts w:ascii="仿宋_GB2312" w:hAnsi="仿宋_GB2312" w:cs="仿宋_GB2312" w:eastAsia="仿宋_GB2312"/>
        </w:rPr>
        <w:t>11、非联合体声明：本项目不接受联合体磋商。供应商提供非联合体声明函。</w:t>
      </w:r>
    </w:p>
    <w:p>
      <w:pPr>
        <w:pStyle w:val="null3"/>
      </w:pPr>
      <w:r>
        <w:rPr>
          <w:rFonts w:ascii="仿宋_GB2312" w:hAnsi="仿宋_GB2312" w:cs="仿宋_GB2312" w:eastAsia="仿宋_GB2312"/>
        </w:rPr>
        <w:t>12、本项目为专门面向中小企业项目：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三原县北城中学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三原县北城书院巷1号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029-32206708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咸阳中金国际项目管理有限公司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咸阳市秦都区秦皇路华泰假日酒店24层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王静静、赵媛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029-33290423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采购包1：741,653.75元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展改革委办公厅关于招标代理服务收费有关问题的通知》（发改办价格[2003]857号）及《国家发展改革委关于降低部分建设项目收费标准规范收费行为等有关问题的通知》（发改价格〔2011〕534号）文件规定标准计取，不足伍仟按伍仟计取。供应商将招标代理服务费计入投标报价但不单独列明，中标/成交单位在领取成交通知书前，须向采购代理机构一次性支付招标代理服务费；代理服务费以转账、电汇或现金等形式交纳。 银行户名：咸阳中金国际项目管理有限公司 开户银行：招商银行股份有限公司咸阳分行营业部 账 号9109 0055 7910 201 联系人：王静静 联系电话：029-33290423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三原县北城中学</w:t>
      </w:r>
      <w:r>
        <w:rPr>
          <w:rFonts w:ascii="仿宋_GB2312" w:hAnsi="仿宋_GB2312" w:cs="仿宋_GB2312" w:eastAsia="仿宋_GB2312"/>
        </w:rPr>
        <w:t>和</w:t>
      </w:r>
      <w:r>
        <w:rPr>
          <w:rFonts w:ascii="仿宋_GB2312" w:hAnsi="仿宋_GB2312" w:cs="仿宋_GB2312" w:eastAsia="仿宋_GB2312"/>
        </w:rPr>
        <w:t>咸阳中金国际项目管理有限公司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三原县北城中学</w:t>
      </w:r>
      <w:r>
        <w:rPr>
          <w:rFonts w:ascii="仿宋_GB2312" w:hAnsi="仿宋_GB2312" w:cs="仿宋_GB2312" w:eastAsia="仿宋_GB2312"/>
        </w:rPr>
        <w:t>负责解释。除上述磋商文件内容，其他内容由</w:t>
      </w:r>
      <w:r>
        <w:rPr>
          <w:rFonts w:ascii="仿宋_GB2312" w:hAnsi="仿宋_GB2312" w:cs="仿宋_GB2312" w:eastAsia="仿宋_GB2312"/>
        </w:rPr>
        <w:t>咸阳中金国际项目管理有限公司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三原县北城中学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咸阳中金国际项目管理有限公司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咸阳中金国际项目管理有限公司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咸阳中金国际项目管理有限公司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咸阳中金国际项目管理有限公司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联系人：王静静</w:t>
      </w:r>
    </w:p>
    <w:p>
      <w:pPr>
        <w:pStyle w:val="null3"/>
      </w:pPr>
      <w:r>
        <w:rPr>
          <w:rFonts w:ascii="仿宋_GB2312" w:hAnsi="仿宋_GB2312" w:cs="仿宋_GB2312" w:eastAsia="仿宋_GB2312"/>
        </w:rPr>
        <w:t>联系电话：029-33290423</w:t>
      </w:r>
    </w:p>
    <w:p>
      <w:pPr>
        <w:pStyle w:val="null3"/>
      </w:pPr>
      <w:r>
        <w:rPr>
          <w:rFonts w:ascii="仿宋_GB2312" w:hAnsi="仿宋_GB2312" w:cs="仿宋_GB2312" w:eastAsia="仿宋_GB2312"/>
        </w:rPr>
        <w:t>地址：咸阳市秦都区秦皇路华泰假日酒店24层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741,653.75</w:t>
      </w:r>
    </w:p>
    <w:p>
      <w:pPr>
        <w:pStyle w:val="null3"/>
      </w:pPr>
      <w:r>
        <w:rPr>
          <w:rFonts w:ascii="仿宋_GB2312" w:hAnsi="仿宋_GB2312" w:cs="仿宋_GB2312" w:eastAsia="仿宋_GB2312"/>
        </w:rPr>
        <w:t>采购包最高限价（元）: 741,653.75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三原县北城中学宿舍楼前地面维修改造项目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741,653.75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标的名称：三原县北城中学宿舍楼前地面维修改造项目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210" w:firstLine="560"/>
              <w:jc w:val="center"/>
            </w:pPr>
            <w:r>
              <w:rPr>
                <w:rFonts w:ascii="仿宋_GB2312" w:hAnsi="仿宋_GB2312" w:cs="仿宋_GB2312" w:eastAsia="仿宋_GB2312"/>
                <w:sz w:val="28"/>
              </w:rPr>
              <w:t>编制说明</w:t>
            </w:r>
          </w:p>
          <w:p>
            <w:pPr>
              <w:pStyle w:val="null3"/>
              <w:ind w:right="210" w:firstLine="560"/>
              <w:jc w:val="left"/>
            </w:pPr>
            <w:r>
              <w:rPr>
                <w:rFonts w:ascii="仿宋_GB2312" w:hAnsi="仿宋_GB2312" w:cs="仿宋_GB2312" w:eastAsia="仿宋_GB2312"/>
                <w:sz w:val="28"/>
              </w:rPr>
              <w:t>一、工程概况</w:t>
            </w:r>
          </w:p>
          <w:p>
            <w:pPr>
              <w:pStyle w:val="null3"/>
              <w:ind w:right="210" w:firstLine="560"/>
              <w:jc w:val="left"/>
            </w:pPr>
            <w:r>
              <w:rPr>
                <w:rFonts w:ascii="仿宋_GB2312" w:hAnsi="仿宋_GB2312" w:cs="仿宋_GB2312" w:eastAsia="仿宋_GB2312"/>
                <w:sz w:val="28"/>
              </w:rPr>
              <w:t>1.施工地点：三原县北城中学</w:t>
            </w:r>
          </w:p>
          <w:p>
            <w:pPr>
              <w:pStyle w:val="null3"/>
              <w:ind w:right="210" w:firstLine="560"/>
              <w:jc w:val="left"/>
            </w:pPr>
            <w:r>
              <w:rPr>
                <w:rFonts w:ascii="仿宋_GB2312" w:hAnsi="仿宋_GB2312" w:cs="仿宋_GB2312" w:eastAsia="仿宋_GB2312"/>
                <w:sz w:val="28"/>
              </w:rPr>
              <w:t>2.工程概况：北城中学现有教职工270余名，学生3200余名。学校强志楼建于2000年前后，成志楼建于1999年，这两栋楼前小广场均采用小彩砖(30 30)铺设，无水泥垫层，也没有下水管道，遇到雨天，容易形成积水且路面泥水泗溢，多次因泥水将学生、老师滑倒，形成安全隐患。因此，学校计划对上述路面重新进行硬化，增加水泥垫层和排水管道。以上硬化面积约为3900平方米。</w:t>
            </w:r>
          </w:p>
          <w:p>
            <w:pPr>
              <w:pStyle w:val="null3"/>
              <w:ind w:right="210" w:firstLine="560"/>
              <w:jc w:val="left"/>
            </w:pPr>
            <w:r>
              <w:rPr>
                <w:rFonts w:ascii="仿宋_GB2312" w:hAnsi="仿宋_GB2312" w:cs="仿宋_GB2312" w:eastAsia="仿宋_GB2312"/>
                <w:sz w:val="28"/>
              </w:rPr>
              <w:t>二</w:t>
            </w:r>
            <w:r>
              <w:rPr>
                <w:rFonts w:ascii="仿宋_GB2312" w:hAnsi="仿宋_GB2312" w:cs="仿宋_GB2312" w:eastAsia="仿宋_GB2312"/>
                <w:sz w:val="28"/>
              </w:rPr>
              <w:t>.质量标准：</w:t>
            </w:r>
            <w:r>
              <w:rPr>
                <w:rFonts w:ascii="仿宋_GB2312" w:hAnsi="仿宋_GB2312" w:cs="仿宋_GB2312" w:eastAsia="仿宋_GB2312"/>
                <w:sz w:val="28"/>
              </w:rPr>
              <w:t>达到</w:t>
            </w:r>
            <w:r>
              <w:rPr>
                <w:rFonts w:ascii="仿宋_GB2312" w:hAnsi="仿宋_GB2312" w:cs="仿宋_GB2312" w:eastAsia="仿宋_GB2312"/>
                <w:sz w:val="28"/>
              </w:rPr>
              <w:t>国家现行施工验收规范</w:t>
            </w:r>
            <w:r>
              <w:rPr>
                <w:rFonts w:ascii="仿宋_GB2312" w:hAnsi="仿宋_GB2312" w:cs="仿宋_GB2312" w:eastAsia="仿宋_GB2312"/>
                <w:sz w:val="28"/>
              </w:rPr>
              <w:t>“合格”标准。</w:t>
            </w:r>
          </w:p>
          <w:p>
            <w:pPr>
              <w:pStyle w:val="null3"/>
              <w:ind w:right="210" w:firstLine="560"/>
              <w:jc w:val="left"/>
            </w:pPr>
            <w:r>
              <w:rPr>
                <w:rFonts w:ascii="仿宋_GB2312" w:hAnsi="仿宋_GB2312" w:cs="仿宋_GB2312" w:eastAsia="仿宋_GB2312"/>
                <w:sz w:val="28"/>
              </w:rPr>
              <w:t>三</w:t>
            </w:r>
            <w:r>
              <w:rPr>
                <w:rFonts w:ascii="仿宋_GB2312" w:hAnsi="仿宋_GB2312" w:cs="仿宋_GB2312" w:eastAsia="仿宋_GB2312"/>
                <w:sz w:val="28"/>
              </w:rPr>
              <w:t>.计划工期：</w:t>
            </w:r>
            <w:r>
              <w:rPr>
                <w:rFonts w:ascii="仿宋_GB2312" w:hAnsi="仿宋_GB2312" w:cs="仿宋_GB2312" w:eastAsia="仿宋_GB2312"/>
                <w:sz w:val="28"/>
              </w:rPr>
              <w:t>30日历天</w:t>
            </w:r>
            <w:r>
              <w:rPr>
                <w:rFonts w:ascii="仿宋_GB2312" w:hAnsi="仿宋_GB2312" w:cs="仿宋_GB2312" w:eastAsia="仿宋_GB2312"/>
                <w:sz w:val="28"/>
              </w:rPr>
              <w:t>。</w:t>
            </w:r>
          </w:p>
          <w:p>
            <w:pPr>
              <w:pStyle w:val="null3"/>
              <w:ind w:right="210" w:firstLine="560"/>
              <w:jc w:val="left"/>
            </w:pPr>
            <w:r>
              <w:rPr>
                <w:rFonts w:ascii="仿宋_GB2312" w:hAnsi="仿宋_GB2312" w:cs="仿宋_GB2312" w:eastAsia="仿宋_GB2312"/>
                <w:sz w:val="28"/>
              </w:rPr>
              <w:t>四</w:t>
            </w:r>
            <w:r>
              <w:rPr>
                <w:rFonts w:ascii="仿宋_GB2312" w:hAnsi="仿宋_GB2312" w:cs="仿宋_GB2312" w:eastAsia="仿宋_GB2312"/>
                <w:sz w:val="28"/>
              </w:rPr>
              <w:t>.缺陷责任期:1 年。</w:t>
            </w:r>
          </w:p>
          <w:p>
            <w:pPr>
              <w:pStyle w:val="null3"/>
              <w:ind w:right="210" w:firstLine="560"/>
              <w:jc w:val="left"/>
            </w:pPr>
            <w:r>
              <w:rPr>
                <w:rFonts w:ascii="仿宋_GB2312" w:hAnsi="仿宋_GB2312" w:cs="仿宋_GB2312" w:eastAsia="仿宋_GB2312"/>
                <w:sz w:val="28"/>
              </w:rPr>
              <w:t>五</w:t>
            </w:r>
            <w:r>
              <w:rPr>
                <w:rFonts w:ascii="仿宋_GB2312" w:hAnsi="仿宋_GB2312" w:cs="仿宋_GB2312" w:eastAsia="仿宋_GB2312"/>
                <w:sz w:val="28"/>
              </w:rPr>
              <w:t>.质量保修期:1 年。</w:t>
            </w:r>
          </w:p>
          <w:p>
            <w:pPr>
              <w:pStyle w:val="null3"/>
              <w:ind w:right="210" w:firstLine="560"/>
              <w:jc w:val="left"/>
            </w:pPr>
            <w:r>
              <w:rPr>
                <w:rFonts w:ascii="仿宋_GB2312" w:hAnsi="仿宋_GB2312" w:cs="仿宋_GB2312" w:eastAsia="仿宋_GB2312"/>
                <w:sz w:val="28"/>
              </w:rPr>
              <w:t>六、编制范围</w:t>
            </w:r>
          </w:p>
          <w:p>
            <w:pPr>
              <w:pStyle w:val="null3"/>
              <w:ind w:right="210" w:firstLine="560"/>
              <w:jc w:val="left"/>
            </w:pPr>
            <w:r>
              <w:rPr>
                <w:rFonts w:ascii="仿宋_GB2312" w:hAnsi="仿宋_GB2312" w:cs="仿宋_GB2312" w:eastAsia="仿宋_GB2312"/>
                <w:sz w:val="28"/>
              </w:rPr>
              <w:t>三原县北城中学宿舍楼前地面维修改造工程包括拆除原地面、新建地面等全部内容。</w:t>
            </w:r>
          </w:p>
          <w:p>
            <w:pPr>
              <w:pStyle w:val="null3"/>
              <w:ind w:right="210" w:firstLine="560"/>
              <w:jc w:val="left"/>
            </w:pPr>
            <w:r>
              <w:rPr>
                <w:rFonts w:ascii="仿宋_GB2312" w:hAnsi="仿宋_GB2312" w:cs="仿宋_GB2312" w:eastAsia="仿宋_GB2312"/>
                <w:sz w:val="28"/>
              </w:rPr>
              <w:t>七、编制依据</w:t>
            </w:r>
          </w:p>
          <w:p>
            <w:pPr>
              <w:pStyle w:val="null3"/>
              <w:ind w:right="210" w:firstLine="560"/>
              <w:jc w:val="left"/>
            </w:pPr>
            <w:r>
              <w:rPr>
                <w:rFonts w:ascii="仿宋_GB2312" w:hAnsi="仿宋_GB2312" w:cs="仿宋_GB2312" w:eastAsia="仿宋_GB2312"/>
                <w:sz w:val="28"/>
              </w:rPr>
              <w:t>1.三原县北城中学宿舍楼前地面维修改造工程施工图纸</w:t>
            </w:r>
            <w:r>
              <w:rPr>
                <w:rFonts w:ascii="仿宋_GB2312" w:hAnsi="仿宋_GB2312" w:cs="仿宋_GB2312" w:eastAsia="仿宋_GB2312"/>
                <w:sz w:val="28"/>
              </w:rPr>
              <w:t>；</w:t>
            </w:r>
          </w:p>
          <w:p>
            <w:pPr>
              <w:pStyle w:val="null3"/>
              <w:ind w:right="210" w:firstLine="560"/>
              <w:jc w:val="left"/>
            </w:pPr>
            <w:r>
              <w:rPr>
                <w:rFonts w:ascii="仿宋_GB2312" w:hAnsi="仿宋_GB2312" w:cs="仿宋_GB2312" w:eastAsia="仿宋_GB2312"/>
                <w:sz w:val="28"/>
              </w:rPr>
              <w:t>2.陕西省建设工程工程量清单计价计算标准(2025）、陕西省建设工程费用规则（2025）、陕西省房屋建筑与装修工程基价表(2025)、陕西省通用安装工程基价表(2025)、陕西省市政工程基价表(2025)、陕西省通用安装工程消耗量定额(2025)、陕西省市政工程消耗量定额(2025)、陕西省建设工程施工机械台班费用定额（2025）、陕西省建设工程施工仪器表台班费用定额（2025）；</w:t>
            </w:r>
          </w:p>
          <w:p>
            <w:pPr>
              <w:pStyle w:val="null3"/>
              <w:ind w:right="210" w:firstLine="560"/>
              <w:jc w:val="left"/>
            </w:pPr>
            <w:r>
              <w:rPr>
                <w:rFonts w:ascii="仿宋_GB2312" w:hAnsi="仿宋_GB2312" w:cs="仿宋_GB2312" w:eastAsia="仿宋_GB2312"/>
                <w:sz w:val="28"/>
              </w:rPr>
              <w:t>3.材料价格采用《咸阳工程造价信息》2026年第3期信息价，《咸阳工程造价信息》中没有相对应价格参照市场询价计入；</w:t>
            </w:r>
          </w:p>
          <w:p>
            <w:pPr>
              <w:pStyle w:val="null3"/>
              <w:ind w:right="210" w:firstLine="560"/>
              <w:jc w:val="left"/>
            </w:pPr>
            <w:r>
              <w:rPr>
                <w:rFonts w:ascii="仿宋_GB2312" w:hAnsi="仿宋_GB2312" w:cs="仿宋_GB2312" w:eastAsia="仿宋_GB2312"/>
                <w:sz w:val="28"/>
              </w:rPr>
              <w:t>4.施工现场条件、本工程特点及常规施工方案；</w:t>
            </w:r>
          </w:p>
          <w:p>
            <w:pPr>
              <w:pStyle w:val="null3"/>
              <w:ind w:right="210" w:firstLine="560"/>
              <w:jc w:val="left"/>
            </w:pPr>
            <w:r>
              <w:rPr>
                <w:rFonts w:ascii="仿宋_GB2312" w:hAnsi="仿宋_GB2312" w:cs="仿宋_GB2312" w:eastAsia="仿宋_GB2312"/>
                <w:sz w:val="28"/>
              </w:rPr>
              <w:t>5.施工图中采用的相关标准图集、施工规范及验收规范；</w:t>
            </w:r>
          </w:p>
          <w:p>
            <w:pPr>
              <w:pStyle w:val="null3"/>
              <w:ind w:right="210" w:firstLine="560"/>
              <w:jc w:val="left"/>
            </w:pPr>
            <w:r>
              <w:rPr>
                <w:rFonts w:ascii="仿宋_GB2312" w:hAnsi="仿宋_GB2312" w:cs="仿宋_GB2312" w:eastAsia="仿宋_GB2312"/>
                <w:sz w:val="28"/>
              </w:rPr>
              <w:t>6.其他相关资料等。</w:t>
            </w:r>
          </w:p>
          <w:p>
            <w:pPr>
              <w:pStyle w:val="null3"/>
              <w:ind w:right="210" w:firstLine="560"/>
              <w:jc w:val="left"/>
            </w:pPr>
            <w:r>
              <w:rPr>
                <w:rFonts w:ascii="仿宋_GB2312" w:hAnsi="仿宋_GB2312" w:cs="仿宋_GB2312" w:eastAsia="仿宋_GB2312"/>
                <w:sz w:val="28"/>
              </w:rPr>
              <w:t>八、其他说明</w:t>
            </w:r>
          </w:p>
          <w:p>
            <w:pPr>
              <w:pStyle w:val="null3"/>
              <w:ind w:right="210" w:firstLine="560"/>
              <w:jc w:val="left"/>
            </w:pPr>
            <w:r>
              <w:rPr>
                <w:rFonts w:ascii="仿宋_GB2312" w:hAnsi="仿宋_GB2312" w:cs="仿宋_GB2312" w:eastAsia="仿宋_GB2312"/>
                <w:sz w:val="28"/>
              </w:rPr>
              <w:t>1.软件使用广联达云计价平台GCCP7.0(版本号：7.5000.23.3)</w:t>
            </w:r>
            <w:r>
              <w:rPr>
                <w:rFonts w:ascii="仿宋_GB2312" w:hAnsi="仿宋_GB2312" w:cs="仿宋_GB2312" w:eastAsia="仿宋_GB2312"/>
                <w:sz w:val="28"/>
              </w:rPr>
              <w:t>。</w:t>
            </w:r>
          </w:p>
          <w:p>
            <w:pPr>
              <w:pStyle w:val="null3"/>
              <w:ind w:right="210" w:firstLine="560"/>
              <w:jc w:val="left"/>
            </w:pPr>
            <w:r>
              <w:rPr>
                <w:rFonts w:ascii="仿宋_GB2312" w:hAnsi="仿宋_GB2312" w:cs="仿宋_GB2312" w:eastAsia="仿宋_GB2312"/>
                <w:sz w:val="28"/>
              </w:rPr>
              <w:t>2.工程量清单详见附件。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货物、服务及工程且验收合格的所有费用，包括但不限于投标人完成本项目所需的人工费、买样费、设备费、管理费、验收费、利润和税金等所产生的全部费用。任何有选择的报价将不予接受，按无效磋商处理。 （二）本项目所属行业为：建筑业。根据《工业和信息化部、国家统计局、国家发展和改革委员会、财政部关于印发中小企业划型标准规定的通知》《工信部联企业(2011)300 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三）成交供应商在领取成交通知书前，需向采购代理机构提交加盖公章的纸质版响应文件三套，成交供应商应保持响应文件纸质版内容与系统上传内容完全一致，否则将承担一切法律责任。（四）供应商在竞争性磋商响应文件中提供的财务审计报告必须满足以下要求方为有效的审计报告。 ①依据《财政部关于注册会计师在审计报告上签字盖章有关问题的通知》（财会【2001】1035 号）规定：由会计师事务所出具的《财务审计报告》 必须符合以下要求方为有效： a、必须附两名注册会计师资格证书，且在有效期内（注：若注册会计师资格证书有效期未体现或证件复印件模糊或二维码无法扫描等情况，采购人有权要求提供清晰可辨的证明材料并通过注册会计师行业统一监管平台查询，仍无法查询的视为资格证书无效）； b、两名注册会计师签名、盖章； c、经过会计师事务所盖章； 上述 3 条有任何一条不符合要求，其审计报告视为无效； ②提供的赋码审计报告通过“注册会计师行业统一监管平台”（http://acc.mof.gov.cn/）无法查验的，其审计报告视为无效。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 (或基本账户信息表)，或提供政府采购专业担保机构出具的投标担保函。供应商需在项目电子化交易系统中按要求上传相应证明文件。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供应商提供在本项目投标文件递交截止时间前六个月内任意一个月的税收缴纳凭证，依法免税的单位应提供相关证明材料。供应商需在项目电子化交易系统中按要求上传相应证明文件。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六个月内已缴存的任意一个月的社会保障资金缴存单据或社保机构开具的社会保险参保缴费情况证明，单据或证明上应有社保机构或代收机构的公章；依法不需要缴纳社会保障资金的单位应提供相关证明材料。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 (或基本账户信息表)，或提供政府采购专业担保机构出具的投标担保函。供应商需在项目电子化交易系统中按要求上传相应证明文件。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中国执行信息公开网（http://zxgk.court.gov.cn/）未被列入失信被执行人，信用中国（https://www.creditchina.gov.cn/）未被列入经营异常名录、严重失信主体名单及在中国政府采购网（http://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供应商具备建设行政主管部门核发的建筑工程施工总承包三级及以上资质，具有有效的安全生产许可证。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项目负责人（项目经理）</w:t>
            </w:r>
          </w:p>
        </w:tc>
        <w:tc>
          <w:tcPr>
            <w:tcW w:type="dxa" w:w="3322"/>
          </w:tcPr>
          <w:p>
            <w:pPr>
              <w:pStyle w:val="null3"/>
            </w:pPr>
            <w:r>
              <w:rPr>
                <w:rFonts w:ascii="仿宋_GB2312" w:hAnsi="仿宋_GB2312" w:cs="仿宋_GB2312" w:eastAsia="仿宋_GB2312"/>
              </w:rPr>
              <w:t>证书等级：二级及以上注册建造师资格，专业：建筑工程。补充说明：具有有效的安全生产考核合格证，且无在建工程项目。</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本项目不接受联合体磋商。供应商提供非联合体声明函。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与营业执照、资质证书、安全生产许可证均一致。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施工组织设计方案.docx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只能有一个有效报价且未超过本项目最高限价。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供应商需在项目电子化交易系统中按要求填写《报价函》、《标的清单》并进行电子签章。</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供应商需在项目电子化交易系统中按要求填写《报价函》并进行电子签章。</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施工组织设计方案.docx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 针对本项目的施工方案及技术措施。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施工总进度计划及保证措施</w:t>
            </w:r>
          </w:p>
        </w:tc>
        <w:tc>
          <w:tcPr>
            <w:tcW w:type="dxa" w:w="2492"/>
          </w:tcPr>
          <w:p>
            <w:pPr>
              <w:pStyle w:val="null3"/>
            </w:pPr>
            <w:r>
              <w:rPr>
                <w:rFonts w:ascii="仿宋_GB2312" w:hAnsi="仿宋_GB2312" w:cs="仿宋_GB2312" w:eastAsia="仿宋_GB2312"/>
              </w:rPr>
              <w:t>一、评审内容： 针对本项目的施工总进度计划及保证措施。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质量保证措施计划</w:t>
            </w:r>
          </w:p>
        </w:tc>
        <w:tc>
          <w:tcPr>
            <w:tcW w:type="dxa" w:w="2492"/>
          </w:tcPr>
          <w:p>
            <w:pPr>
              <w:pStyle w:val="null3"/>
            </w:pPr>
            <w:r>
              <w:rPr>
                <w:rFonts w:ascii="仿宋_GB2312" w:hAnsi="仿宋_GB2312" w:cs="仿宋_GB2312" w:eastAsia="仿宋_GB2312"/>
              </w:rPr>
              <w:t>一、评审内容： 针对本项目的质量保证措施计划。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施工安全措施计划</w:t>
            </w:r>
          </w:p>
        </w:tc>
        <w:tc>
          <w:tcPr>
            <w:tcW w:type="dxa" w:w="2492"/>
          </w:tcPr>
          <w:p>
            <w:pPr>
              <w:pStyle w:val="null3"/>
            </w:pPr>
            <w:r>
              <w:rPr>
                <w:rFonts w:ascii="仿宋_GB2312" w:hAnsi="仿宋_GB2312" w:cs="仿宋_GB2312" w:eastAsia="仿宋_GB2312"/>
              </w:rPr>
              <w:t>一、评审内容： 针对本项目的施工安全措施计划。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文明施工和环境保护措施计划</w:t>
            </w:r>
          </w:p>
        </w:tc>
        <w:tc>
          <w:tcPr>
            <w:tcW w:type="dxa" w:w="2492"/>
          </w:tcPr>
          <w:p>
            <w:pPr>
              <w:pStyle w:val="null3"/>
            </w:pPr>
            <w:r>
              <w:rPr>
                <w:rFonts w:ascii="仿宋_GB2312" w:hAnsi="仿宋_GB2312" w:cs="仿宋_GB2312" w:eastAsia="仿宋_GB2312"/>
              </w:rPr>
              <w:t>一、评审内容： 针对本项目的文明施工和环境保护措施计划。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针对本项目的施工机械配备和材料投入计划。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针对本项目的人员配备。 二、评审标准： 团队人员数量充足、配备合理、职责明确，完全满足项目需求，得6分； 团队人员数量较为充足、配备较为合理、职责较为明确，满足项目需求，得4分； 团队人员数量较少、配备合理性较差、职责基本明确，基本满足项目需求，得2分；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针对本项目的应急预案。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与采购人、监理的配合方案</w:t>
            </w:r>
          </w:p>
        </w:tc>
        <w:tc>
          <w:tcPr>
            <w:tcW w:type="dxa" w:w="2492"/>
          </w:tcPr>
          <w:p>
            <w:pPr>
              <w:pStyle w:val="null3"/>
            </w:pPr>
            <w:r>
              <w:rPr>
                <w:rFonts w:ascii="仿宋_GB2312" w:hAnsi="仿宋_GB2312" w:cs="仿宋_GB2312" w:eastAsia="仿宋_GB2312"/>
              </w:rPr>
              <w:t>一、评审内容： 针对本项目的与采购人、监理的配合方案。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工程保修工作的管理措施和承诺</w:t>
            </w:r>
          </w:p>
        </w:tc>
        <w:tc>
          <w:tcPr>
            <w:tcW w:type="dxa" w:w="2492"/>
          </w:tcPr>
          <w:p>
            <w:pPr>
              <w:pStyle w:val="null3"/>
            </w:pPr>
            <w:r>
              <w:rPr>
                <w:rFonts w:ascii="仿宋_GB2312" w:hAnsi="仿宋_GB2312" w:cs="仿宋_GB2312" w:eastAsia="仿宋_GB2312"/>
              </w:rPr>
              <w:t>一、评审内容： 针对本项目的工程保修工作的管理措施和承诺。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相关服务承诺</w:t>
            </w:r>
          </w:p>
        </w:tc>
        <w:tc>
          <w:tcPr>
            <w:tcW w:type="dxa" w:w="2492"/>
          </w:tcPr>
          <w:p>
            <w:pPr>
              <w:pStyle w:val="null3"/>
            </w:pPr>
            <w:r>
              <w:rPr>
                <w:rFonts w:ascii="仿宋_GB2312" w:hAnsi="仿宋_GB2312" w:cs="仿宋_GB2312" w:eastAsia="仿宋_GB2312"/>
              </w:rPr>
              <w:t>一、评审内容： 针对本项目的服务承诺。 二、评审标准： 服务承诺明确、合理、内容详实，针对性和可操作性强，得6分； 服务承诺较为明确、合理但不够详细，针对性和可操作性较强，得3分； 服务承诺粗略，针对性和可操作性不足，得1分；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供应商2023年6月至今类似项目业绩；每提供1份得2分，最高得4分。 业绩证明（以合同或中标/成交通知书签订日期为准）。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施工组织设计方案.docx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 其他供应商的价格分统一按照下列公式计算：磋商报价得分=30×（磋商基准价/最终磋商报价）。价格分计算：四舍五入，保留两位小数。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