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版本号：KCZC-2026-011.1B120260604001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2026年洋县溢水镇上溢水村中药材仓储及冷链建设项目（土建工程）(二次)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KCZC-2026-011.1B1</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2026年洋县溢水镇上溢水村中药材仓储及冷链建设项目（土建工程）(二次)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KCZC-2026-011.1B1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2026年洋县溢水镇上溢水村中药材仓储及冷链建设项目（土建工程）(二次)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新建中药材仓储加工厂房600平方米、砖砌防护围墙长71米、晾晒场地硬化1200平方米，仓储用房72平方米。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采购包1（2026年洋县溢水镇上溢水村中药材仓储及冷链建设项目（土建工程））：属于专门面向中小企业采购。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3、企业资质要求：供应商须具备建筑工程施工总承包三级及以上资质和合格有效的安全生产许可证；供应商需在项目电子化交易系统中按要求上传相应证明文件并进行电子签章；</w:t>
      </w:r>
    </w:p>
    <w:p>
      <w:pPr>
        <w:pStyle w:val="null3"/>
      </w:pPr>
      <w:r>
        <w:rPr>
          <w:rFonts w:ascii="仿宋_GB2312" w:hAnsi="仿宋_GB2312" w:cs="仿宋_GB2312" w:eastAsia="仿宋_GB2312"/>
        </w:rPr>
        <w:t>4、项目经理资格要求：拟派项目经理须具有建筑工程专业二级及以上注册建造师证书及安全生产考核合格证书（B证），且无在建工程；供应商需在项目电子化交易系统中按要求上传相应证明文件并进行电子签章；</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15091791305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庞静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采购包1：1,154,200.00元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1,154,200.00</w:t>
      </w:r>
    </w:p>
    <w:p>
      <w:pPr>
        <w:pStyle w:val="null3"/>
      </w:pPr>
      <w:r>
        <w:rPr>
          <w:rFonts w:ascii="仿宋_GB2312" w:hAnsi="仿宋_GB2312" w:cs="仿宋_GB2312" w:eastAsia="仿宋_GB2312"/>
        </w:rPr>
        <w:t>采购包最高限价（元）: 1,154,200.00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2026年洋县溢水镇上溢水村中药材仓储及冷链建设项目（土建工程）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1,154,200.00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标的名称：2026年洋县溢水镇上溢水村中药材仓储及冷链建设项目（土建工程）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1.施工工期：120日历天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4.合同履约地点：洋县溢水镇上溢水村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供应商须具备建筑工程施工总承包三级及以上资质和合格有效的安全生产许可证；供应商需在项目电子化交易系统中按要求上传相应证明文件并进行电子签章；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拟派项目经理须具有建筑工程专业二级及以上注册建造师证书及安全生产考核合格证书（B证），且无在建工程；供应商需在项目电子化交易系统中按要求上传相应证明文件并进行电子签章；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应当不少于磋商文件载明的有效期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投标保证金或投标担保.docx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响应文件签署或盖章</w:t>
            </w:r>
          </w:p>
        </w:tc>
        <w:tc>
          <w:tcPr>
            <w:tcW w:type="dxa" w:w="3322"/>
          </w:tcPr>
          <w:p>
            <w:pPr>
              <w:pStyle w:val="null3"/>
            </w:pPr>
            <w:r>
              <w:rPr>
                <w:rFonts w:ascii="仿宋_GB2312" w:hAnsi="仿宋_GB2312" w:cs="仿宋_GB2312" w:eastAsia="仿宋_GB2312"/>
              </w:rPr>
              <w:t>电子响应文件签章规范：响应文件逐页完成电子签名、电子签章。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投标保证金或投标担保.docx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施工组织方案.docx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；③风险与应变能力。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③风险与应变能力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一、评审内容：①项目负责人（项目经理）具备建筑类工程相关专业职称证书。②技术负责人具备建筑类工程相关职称证书。 ③所配备施工员、质检员、安全员、材料员、资料员，具有相应岗位证书。 二、赋分标准：①项目负责人（项目经理）具有高级职称得3分，中级职称得1.5分，其他不得分。响应文件内附职称证复印件并加盖供应商公章。②技术负责人具有高级职称得2分，中级职称得1分，其他不得分。响应文件内附职称证复印件并加盖供应商公章。③所配备施工员、质检员、安全员、材料员、资料员，每提供1人得1分，满分5分。响应文件内附相应人员证书证件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1、投标报价大于最高限价视为无效标； 2、以满足本次磋商文件要求的最低报价为评审基准价，其价格为满分； 3、不享有政策优惠条件的投标人报价得分=（评审基准价/报价）×30。 4.本项目为专门面向中小企业采购的项目，不再执行价格评审优惠的扶持政策。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