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5D5C36">
      <w:pPr>
        <w:pStyle w:val="11"/>
      </w:pPr>
      <w:r>
        <w:rPr>
          <w:rFonts w:ascii="仿宋_GB2312" w:hAnsi="仿宋_GB2312" w:eastAsia="仿宋_GB2312" w:cs="仿宋_GB2312"/>
        </w:rPr>
        <w:t>采购包1：</w:t>
      </w:r>
    </w:p>
    <w:p w14:paraId="61E5FFAF">
      <w:pPr>
        <w:pStyle w:val="11"/>
      </w:pPr>
      <w:r>
        <w:rPr>
          <w:rFonts w:ascii="仿宋_GB2312" w:hAnsi="仿宋_GB2312" w:eastAsia="仿宋_GB2312" w:cs="仿宋_GB2312"/>
        </w:rPr>
        <w:t>标的名称：西安邮电大学大跨度建筑结构加固工程</w:t>
      </w:r>
      <w:bookmarkStart w:id="0" w:name="_GoBack"/>
      <w:bookmarkEnd w:id="0"/>
    </w:p>
    <w:tbl>
      <w:tblPr>
        <w:tblStyle w:val="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33"/>
        <w:gridCol w:w="1294"/>
        <w:gridCol w:w="6380"/>
      </w:tblGrid>
      <w:tr w14:paraId="2D0247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254BDA24">
            <w:pPr>
              <w:pStyle w:val="11"/>
            </w:pPr>
            <w:r>
              <w:rPr>
                <w:rFonts w:ascii="仿宋_GB2312" w:hAnsi="仿宋_GB2312" w:eastAsia="仿宋_GB2312" w:cs="仿宋_GB2312"/>
              </w:rPr>
              <w:t xml:space="preserve"> 序号</w:t>
            </w:r>
          </w:p>
        </w:tc>
        <w:tc>
          <w:tcPr>
            <w:tcW w:w="1294" w:type="dxa"/>
          </w:tcPr>
          <w:p w14:paraId="2A0921C0">
            <w:pPr>
              <w:pStyle w:val="11"/>
            </w:pPr>
            <w:r>
              <w:rPr>
                <w:rFonts w:ascii="仿宋_GB2312" w:hAnsi="仿宋_GB2312" w:eastAsia="仿宋_GB2312" w:cs="仿宋_GB2312"/>
              </w:rPr>
              <w:t xml:space="preserve"> 参数性质</w:t>
            </w:r>
          </w:p>
        </w:tc>
        <w:tc>
          <w:tcPr>
            <w:tcW w:w="6380" w:type="dxa"/>
          </w:tcPr>
          <w:p w14:paraId="04BB1247">
            <w:pPr>
              <w:pStyle w:val="11"/>
            </w:pPr>
            <w:r>
              <w:rPr>
                <w:rFonts w:ascii="仿宋_GB2312" w:hAnsi="仿宋_GB2312" w:eastAsia="仿宋_GB2312" w:cs="仿宋_GB2312"/>
              </w:rPr>
              <w:t xml:space="preserve"> 技术参数与性能指标</w:t>
            </w:r>
          </w:p>
        </w:tc>
      </w:tr>
      <w:tr w14:paraId="63FB84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467353C4">
            <w:pPr>
              <w:pStyle w:val="11"/>
            </w:pPr>
            <w:r>
              <w:rPr>
                <w:rFonts w:ascii="仿宋_GB2312" w:hAnsi="仿宋_GB2312" w:eastAsia="仿宋_GB2312" w:cs="仿宋_GB2312"/>
              </w:rPr>
              <w:t>1</w:t>
            </w:r>
          </w:p>
        </w:tc>
        <w:tc>
          <w:tcPr>
            <w:tcW w:w="1294" w:type="dxa"/>
          </w:tcPr>
          <w:p w14:paraId="5AE24734"/>
        </w:tc>
        <w:tc>
          <w:tcPr>
            <w:tcW w:w="6380" w:type="dxa"/>
          </w:tcPr>
          <w:p w14:paraId="6A244282">
            <w:pPr>
              <w:pStyle w:val="11"/>
            </w:pPr>
            <w:r>
              <w:rPr>
                <w:rFonts w:ascii="仿宋_GB2312" w:hAnsi="仿宋_GB2312" w:eastAsia="仿宋_GB2312" w:cs="仿宋_GB2312"/>
                <w:sz w:val="20"/>
              </w:rPr>
              <w:t>一、项目概况</w:t>
            </w:r>
          </w:p>
          <w:p w14:paraId="55869C99">
            <w:pPr>
              <w:pStyle w:val="11"/>
              <w:ind w:firstLine="400"/>
            </w:pPr>
            <w:r>
              <w:rPr>
                <w:rFonts w:ascii="仿宋_GB2312" w:hAnsi="仿宋_GB2312" w:eastAsia="仿宋_GB2312" w:cs="仿宋_GB2312"/>
                <w:sz w:val="20"/>
              </w:rPr>
              <w:t>1、体育馆平面整体呈“凸”字形，东西向总尺寸为64.800m，南北向总尺寸为79.400m，总建筑面积约为7582.800m</w:t>
            </w:r>
            <w:r>
              <w:rPr>
                <w:rFonts w:ascii="仿宋_GB2312" w:hAnsi="仿宋_GB2312" w:eastAsia="仿宋_GB2312" w:cs="仿宋_GB2312"/>
                <w:sz w:val="20"/>
                <w:vertAlign w:val="superscript"/>
              </w:rPr>
              <w:t>2</w:t>
            </w:r>
            <w:r>
              <w:rPr>
                <w:rFonts w:ascii="仿宋_GB2312" w:hAnsi="仿宋_GB2312" w:eastAsia="仿宋_GB2312" w:cs="仿宋_GB2312"/>
                <w:sz w:val="20"/>
              </w:rPr>
              <w:t>。一层层高为6.950m（内含夹层，夹层层高为3.350m）、主体二层层高7.350m（内含夹层，夹层层高为3.600m，），室内外高差0.600m，房屋总高度为14.900m。墙体均为非承重空心砖，屋面为不上人屋面。</w:t>
            </w:r>
          </w:p>
          <w:p w14:paraId="2D52B6A3">
            <w:pPr>
              <w:pStyle w:val="11"/>
              <w:ind w:firstLine="400"/>
            </w:pPr>
            <w:r>
              <w:rPr>
                <w:rFonts w:ascii="仿宋_GB2312" w:hAnsi="仿宋_GB2312" w:eastAsia="仿宋_GB2312" w:cs="仿宋_GB2312"/>
                <w:sz w:val="20"/>
              </w:rPr>
              <w:t>2、大学生活动中心平面整体呈矩形，东西向总尺寸为74.400m，南北向总尺寸为37.620m，总建筑面积约为4207.300m</w:t>
            </w:r>
            <w:r>
              <w:rPr>
                <w:rFonts w:ascii="仿宋_GB2312" w:hAnsi="仿宋_GB2312" w:eastAsia="仿宋_GB2312" w:cs="仿宋_GB2312"/>
                <w:sz w:val="20"/>
                <w:vertAlign w:val="superscript"/>
              </w:rPr>
              <w:t>2</w:t>
            </w:r>
            <w:r>
              <w:rPr>
                <w:rFonts w:ascii="仿宋_GB2312" w:hAnsi="仿宋_GB2312" w:eastAsia="仿宋_GB2312" w:cs="仿宋_GB2312"/>
                <w:sz w:val="20"/>
              </w:rPr>
              <w:t>。局部地下一层层高为4.800m，一层层高为5.400m、局部二层为4.200m，室内外高差0.280m，房屋总高度为12.880m。屋面为不上人屋面。</w:t>
            </w:r>
          </w:p>
          <w:p w14:paraId="6C93C822">
            <w:pPr>
              <w:pStyle w:val="11"/>
              <w:ind w:firstLine="400"/>
            </w:pPr>
            <w:r>
              <w:rPr>
                <w:rFonts w:ascii="仿宋_GB2312" w:hAnsi="仿宋_GB2312" w:eastAsia="仿宋_GB2312" w:cs="仿宋_GB2312"/>
                <w:sz w:val="20"/>
              </w:rPr>
              <w:t>3、供应商投标即视为完全认可项目现场所有现状条件，充分知晓本项目高空作业、结构加固施工的全部风险与施工边界，后期不得以现场情况不熟、预估不足等理由提出增项、延期、索赔等诉求。</w:t>
            </w:r>
          </w:p>
          <w:p w14:paraId="6233D171">
            <w:pPr>
              <w:pStyle w:val="11"/>
              <w:ind w:firstLine="400"/>
            </w:pPr>
            <w:r>
              <w:rPr>
                <w:rFonts w:ascii="仿宋_GB2312" w:hAnsi="仿宋_GB2312" w:eastAsia="仿宋_GB2312" w:cs="仿宋_GB2312"/>
                <w:sz w:val="20"/>
              </w:rPr>
              <w:t>4、供应商须合理排布施工工序、加大人员设备投入，严格按照工期节点完成全部结构加固整改、自检整改及现场清理工作，确保按期竣工验收。</w:t>
            </w:r>
          </w:p>
          <w:p w14:paraId="2FF7E8EC">
            <w:pPr>
              <w:pStyle w:val="11"/>
              <w:ind w:firstLine="400"/>
            </w:pPr>
            <w:r>
              <w:rPr>
                <w:rFonts w:ascii="仿宋_GB2312" w:hAnsi="仿宋_GB2312" w:eastAsia="仿宋_GB2312" w:cs="仿宋_GB2312"/>
                <w:sz w:val="20"/>
              </w:rPr>
              <w:t>5、本项目存在大量高空结构作业、屋面及室内高支结构施工，所有高空作业人员必须持有有效高空作业特种操作证，持证上岗、人证合一，严禁无证人员开展高空施工作业。</w:t>
            </w:r>
          </w:p>
          <w:p w14:paraId="59912A98">
            <w:pPr>
              <w:pStyle w:val="11"/>
            </w:pPr>
            <w:r>
              <w:rPr>
                <w:rFonts w:ascii="仿宋_GB2312" w:hAnsi="仿宋_GB2312" w:eastAsia="仿宋_GB2312" w:cs="仿宋_GB2312"/>
                <w:sz w:val="20"/>
              </w:rPr>
              <w:t xml:space="preserve">    6、供应商须配备完整的现场施工班组、技术人员及安全管理人员，全程在岗履职，满足短期集中施工需求。</w:t>
            </w:r>
          </w:p>
        </w:tc>
      </w:tr>
      <w:tr w14:paraId="153EF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74162E6D">
            <w:pPr>
              <w:pStyle w:val="11"/>
            </w:pPr>
            <w:r>
              <w:rPr>
                <w:rFonts w:ascii="仿宋_GB2312" w:hAnsi="仿宋_GB2312" w:eastAsia="仿宋_GB2312" w:cs="仿宋_GB2312"/>
              </w:rPr>
              <w:t>2</w:t>
            </w:r>
          </w:p>
        </w:tc>
        <w:tc>
          <w:tcPr>
            <w:tcW w:w="1294" w:type="dxa"/>
          </w:tcPr>
          <w:p w14:paraId="4E49F01E"/>
        </w:tc>
        <w:tc>
          <w:tcPr>
            <w:tcW w:w="6380" w:type="dxa"/>
          </w:tcPr>
          <w:p w14:paraId="03CC8DEC">
            <w:pPr>
              <w:pStyle w:val="11"/>
            </w:pPr>
            <w:r>
              <w:rPr>
                <w:rFonts w:ascii="仿宋_GB2312" w:hAnsi="仿宋_GB2312" w:eastAsia="仿宋_GB2312" w:cs="仿宋_GB2312"/>
                <w:sz w:val="20"/>
              </w:rPr>
              <w:t>二、施工安全及责任划分</w:t>
            </w:r>
          </w:p>
          <w:p w14:paraId="38987CE8">
            <w:pPr>
              <w:pStyle w:val="11"/>
              <w:ind w:firstLine="400"/>
            </w:pPr>
            <w:r>
              <w:rPr>
                <w:rFonts w:ascii="仿宋_GB2312" w:hAnsi="仿宋_GB2312" w:eastAsia="仿宋_GB2312" w:cs="仿宋_GB2312"/>
                <w:sz w:val="20"/>
              </w:rPr>
              <w:t>1、供应商为本项目施工安全生产第一责任主体，须严格落实高空作业、结构施工安全规范，搭设安全防护体系，落实防坠落、防坍塌、结构施工专项安全措施。</w:t>
            </w:r>
          </w:p>
          <w:p w14:paraId="4F502D30">
            <w:pPr>
              <w:pStyle w:val="11"/>
            </w:pPr>
            <w:r>
              <w:rPr>
                <w:rFonts w:ascii="仿宋_GB2312" w:hAnsi="仿宋_GB2312" w:eastAsia="仿宋_GB2312" w:cs="仿宋_GB2312"/>
                <w:sz w:val="20"/>
              </w:rPr>
              <w:t xml:space="preserve">    2、施工全过程中，因施工操作不规范、安全措施不到位、人员管理疏忽、施工组织不当等施工方原因，造成的一切人身安全事故、设备损坏、结构二次损伤、校园财产损失及第三方纠纷，全部由施工单位独立承担全部责任及所有经济损失，采购人不承担任何责任。</w:t>
            </w:r>
          </w:p>
        </w:tc>
      </w:tr>
      <w:tr w14:paraId="6EE4C2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400A6C59">
            <w:pPr>
              <w:pStyle w:val="11"/>
            </w:pPr>
            <w:r>
              <w:rPr>
                <w:rFonts w:ascii="仿宋_GB2312" w:hAnsi="仿宋_GB2312" w:eastAsia="仿宋_GB2312" w:cs="仿宋_GB2312"/>
              </w:rPr>
              <w:t>3</w:t>
            </w:r>
          </w:p>
        </w:tc>
        <w:tc>
          <w:tcPr>
            <w:tcW w:w="1294" w:type="dxa"/>
          </w:tcPr>
          <w:p w14:paraId="7864504C"/>
        </w:tc>
        <w:tc>
          <w:tcPr>
            <w:tcW w:w="6380" w:type="dxa"/>
          </w:tcPr>
          <w:p w14:paraId="6DBEF10A">
            <w:pPr>
              <w:pStyle w:val="11"/>
            </w:pPr>
            <w:r>
              <w:rPr>
                <w:rFonts w:ascii="仿宋_GB2312" w:hAnsi="仿宋_GB2312" w:eastAsia="仿宋_GB2312" w:cs="仿宋_GB2312"/>
                <w:sz w:val="20"/>
              </w:rPr>
              <w:t>三、质量标准</w:t>
            </w:r>
          </w:p>
          <w:p w14:paraId="693E6239">
            <w:pPr>
              <w:pStyle w:val="11"/>
            </w:pPr>
            <w:r>
              <w:rPr>
                <w:rFonts w:ascii="仿宋_GB2312" w:hAnsi="仿宋_GB2312" w:eastAsia="仿宋_GB2312" w:cs="仿宋_GB2312"/>
                <w:sz w:val="20"/>
              </w:rPr>
              <w:t>本工程严格按照结构检测鉴定整改方案、国家现行结构加固施工规范、验收标准施工，整改完成后采购人将委托第三方检测机构针对施工内容进行检测验收，全部整改内容须一次性验收合格，满足建筑结构安全使用要求。</w:t>
            </w:r>
          </w:p>
        </w:tc>
      </w:tr>
      <w:tr w14:paraId="114FB9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7BDF4E1E">
            <w:pPr>
              <w:pStyle w:val="11"/>
            </w:pPr>
            <w:r>
              <w:rPr>
                <w:rFonts w:ascii="仿宋_GB2312" w:hAnsi="仿宋_GB2312" w:eastAsia="仿宋_GB2312" w:cs="仿宋_GB2312"/>
              </w:rPr>
              <w:t>4</w:t>
            </w:r>
          </w:p>
        </w:tc>
        <w:tc>
          <w:tcPr>
            <w:tcW w:w="1294" w:type="dxa"/>
          </w:tcPr>
          <w:p w14:paraId="67F0ADD0">
            <w:pPr>
              <w:pStyle w:val="11"/>
            </w:pPr>
            <w:r>
              <w:rPr>
                <w:rFonts w:ascii="仿宋_GB2312" w:hAnsi="仿宋_GB2312" w:eastAsia="仿宋_GB2312" w:cs="仿宋_GB2312"/>
              </w:rPr>
              <w:t>★</w:t>
            </w:r>
          </w:p>
        </w:tc>
        <w:tc>
          <w:tcPr>
            <w:tcW w:w="6380" w:type="dxa"/>
          </w:tcPr>
          <w:p w14:paraId="32FFCD78">
            <w:pPr>
              <w:pStyle w:val="11"/>
            </w:pPr>
            <w:r>
              <w:rPr>
                <w:rFonts w:ascii="仿宋_GB2312" w:hAnsi="仿宋_GB2312" w:eastAsia="仿宋_GB2312" w:cs="仿宋_GB2312"/>
                <w:sz w:val="20"/>
              </w:rPr>
              <w:t>四、商务要求</w:t>
            </w:r>
          </w:p>
          <w:p w14:paraId="58D51CC6">
            <w:pPr>
              <w:pStyle w:val="11"/>
            </w:pPr>
            <w:r>
              <w:rPr>
                <w:rFonts w:ascii="仿宋_GB2312" w:hAnsi="仿宋_GB2312" w:eastAsia="仿宋_GB2312" w:cs="仿宋_GB2312"/>
                <w:sz w:val="20"/>
              </w:rPr>
              <w:t>1、工期：合同签订之日起45日历天内完成。</w:t>
            </w:r>
          </w:p>
          <w:p w14:paraId="066733EF">
            <w:pPr>
              <w:pStyle w:val="11"/>
            </w:pPr>
            <w:r>
              <w:rPr>
                <w:rFonts w:ascii="仿宋_GB2312" w:hAnsi="仿宋_GB2312" w:eastAsia="仿宋_GB2312" w:cs="仿宋_GB2312"/>
                <w:sz w:val="20"/>
              </w:rPr>
              <w:t>2、质保期：自项目竣工验收合格之日起2年。</w:t>
            </w:r>
          </w:p>
          <w:p w14:paraId="0F1C88B7">
            <w:pPr>
              <w:pStyle w:val="11"/>
            </w:pPr>
            <w:r>
              <w:rPr>
                <w:rFonts w:ascii="仿宋_GB2312" w:hAnsi="仿宋_GB2312" w:eastAsia="仿宋_GB2312" w:cs="仿宋_GB2312"/>
                <w:sz w:val="20"/>
              </w:rPr>
              <w:t>3、施工地点：西安邮电大学指定地点。</w:t>
            </w:r>
          </w:p>
        </w:tc>
      </w:tr>
      <w:tr w14:paraId="02134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5245739E">
            <w:pPr>
              <w:pStyle w:val="11"/>
            </w:pPr>
            <w:r>
              <w:rPr>
                <w:rFonts w:ascii="仿宋_GB2312" w:hAnsi="仿宋_GB2312" w:eastAsia="仿宋_GB2312" w:cs="仿宋_GB2312"/>
              </w:rPr>
              <w:t>5</w:t>
            </w:r>
          </w:p>
        </w:tc>
        <w:tc>
          <w:tcPr>
            <w:tcW w:w="1294" w:type="dxa"/>
          </w:tcPr>
          <w:p w14:paraId="554913B2"/>
        </w:tc>
        <w:tc>
          <w:tcPr>
            <w:tcW w:w="6380" w:type="dxa"/>
          </w:tcPr>
          <w:p w14:paraId="0CF78FCA">
            <w:pPr>
              <w:pStyle w:val="11"/>
            </w:pPr>
            <w:r>
              <w:rPr>
                <w:rFonts w:ascii="仿宋_GB2312" w:hAnsi="仿宋_GB2312" w:eastAsia="仿宋_GB2312" w:cs="仿宋_GB2312"/>
                <w:sz w:val="20"/>
              </w:rPr>
              <w:t>五、清单编制依据</w:t>
            </w:r>
          </w:p>
          <w:p w14:paraId="2473E153">
            <w:pPr>
              <w:pStyle w:val="11"/>
              <w:ind w:firstLine="400"/>
            </w:pPr>
            <w:r>
              <w:rPr>
                <w:rFonts w:ascii="仿宋_GB2312" w:hAnsi="仿宋_GB2312" w:eastAsia="仿宋_GB2312" w:cs="仿宋_GB2312"/>
                <w:sz w:val="20"/>
              </w:rPr>
              <w:t>1、《陕西省建设工程工程量清单计价计算标准》(2025)；</w:t>
            </w:r>
          </w:p>
          <w:p w14:paraId="25A68AE1">
            <w:pPr>
              <w:pStyle w:val="11"/>
              <w:ind w:firstLine="400"/>
            </w:pPr>
            <w:r>
              <w:rPr>
                <w:rFonts w:ascii="仿宋_GB2312" w:hAnsi="仿宋_GB2312" w:eastAsia="仿宋_GB2312" w:cs="仿宋_GB2312"/>
                <w:sz w:val="20"/>
              </w:rPr>
              <w:t>2、《陕西省房屋建筑与装饰工程、通用安装工程、市政工程、园林绿化工程、城市地下综合管廊工程、绿色建筑工程消耗量定额》（2025）、《陕西省建设工程施工机械台班费用定额》(2025)、《陕西省建设工程施工仪器仪表台班费用定额》(2025)、《陕西省房屋建筑与装饰工程基价表、通用安装工程基价表、市政工程基价表、园林绿化工程基价表、城市地下综合管廊工程基价表、绿色建筑工程基价表》（2025）、陕西省建设工程费用规则(2025)及其配套计价文件；</w:t>
            </w:r>
          </w:p>
          <w:p w14:paraId="52DCD0E1">
            <w:pPr>
              <w:pStyle w:val="11"/>
              <w:ind w:firstLine="400"/>
            </w:pPr>
            <w:r>
              <w:rPr>
                <w:rFonts w:ascii="仿宋_GB2312" w:hAnsi="仿宋_GB2312" w:eastAsia="仿宋_GB2312" w:cs="仿宋_GB2312"/>
                <w:sz w:val="20"/>
              </w:rPr>
              <w:t>3、施工设计图；</w:t>
            </w:r>
          </w:p>
          <w:p w14:paraId="00024A67">
            <w:pPr>
              <w:pStyle w:val="11"/>
              <w:ind w:firstLine="400"/>
            </w:pPr>
            <w:r>
              <w:rPr>
                <w:rFonts w:ascii="仿宋_GB2312" w:hAnsi="仿宋_GB2312" w:eastAsia="仿宋_GB2312" w:cs="仿宋_GB2312"/>
                <w:sz w:val="20"/>
              </w:rPr>
              <w:t>4、与建设工程项目有关的标准、规范、技术资料；</w:t>
            </w:r>
          </w:p>
          <w:p w14:paraId="5420078D">
            <w:pPr>
              <w:pStyle w:val="11"/>
              <w:ind w:firstLine="400"/>
            </w:pPr>
            <w:r>
              <w:rPr>
                <w:rFonts w:ascii="仿宋_GB2312" w:hAnsi="仿宋_GB2312" w:eastAsia="仿宋_GB2312" w:cs="仿宋_GB2312"/>
                <w:sz w:val="20"/>
              </w:rPr>
              <w:t>5、现场情况及常规的施工组织及方案；</w:t>
            </w:r>
          </w:p>
          <w:p w14:paraId="33F65D11">
            <w:pPr>
              <w:pStyle w:val="11"/>
            </w:pPr>
            <w:r>
              <w:rPr>
                <w:rFonts w:ascii="仿宋_GB2312" w:hAnsi="仿宋_GB2312" w:eastAsia="仿宋_GB2312" w:cs="仿宋_GB2312"/>
                <w:sz w:val="20"/>
              </w:rPr>
              <w:t xml:space="preserve">    6、工程量清单计价软件使用“广联达云计价平台GCCP7.5000.23.2”。</w:t>
            </w:r>
          </w:p>
        </w:tc>
      </w:tr>
      <w:tr w14:paraId="6862A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126B0EB5">
            <w:pPr>
              <w:pStyle w:val="11"/>
            </w:pPr>
            <w:r>
              <w:rPr>
                <w:rFonts w:ascii="仿宋_GB2312" w:hAnsi="仿宋_GB2312" w:eastAsia="仿宋_GB2312" w:cs="仿宋_GB2312"/>
              </w:rPr>
              <w:t>6</w:t>
            </w:r>
          </w:p>
        </w:tc>
        <w:tc>
          <w:tcPr>
            <w:tcW w:w="1294" w:type="dxa"/>
          </w:tcPr>
          <w:p w14:paraId="0C7D4D43"/>
        </w:tc>
        <w:tc>
          <w:tcPr>
            <w:tcW w:w="6380" w:type="dxa"/>
          </w:tcPr>
          <w:p w14:paraId="53CE063E">
            <w:pPr>
              <w:pStyle w:val="11"/>
            </w:pPr>
            <w:r>
              <w:rPr>
                <w:rFonts w:ascii="仿宋_GB2312" w:hAnsi="仿宋_GB2312" w:eastAsia="仿宋_GB2312" w:cs="仿宋_GB2312"/>
                <w:sz w:val="20"/>
              </w:rPr>
              <w:t>六、其他说明</w:t>
            </w:r>
          </w:p>
          <w:p w14:paraId="3958F947">
            <w:pPr>
              <w:pStyle w:val="11"/>
            </w:pPr>
            <w:r>
              <w:rPr>
                <w:rFonts w:ascii="仿宋_GB2312" w:hAnsi="仿宋_GB2312" w:eastAsia="仿宋_GB2312" w:cs="仿宋_GB2312"/>
                <w:sz w:val="20"/>
              </w:rPr>
              <w:t>本项目暂列金额合计为：叁万陆仟元整（36000.00元）；</w:t>
            </w:r>
          </w:p>
        </w:tc>
      </w:tr>
      <w:tr w14:paraId="6B2E45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3" w:type="dxa"/>
          </w:tcPr>
          <w:p w14:paraId="21D2093A">
            <w:pPr>
              <w:pStyle w:val="11"/>
            </w:pPr>
            <w:r>
              <w:rPr>
                <w:rFonts w:ascii="仿宋_GB2312" w:hAnsi="仿宋_GB2312" w:eastAsia="仿宋_GB2312" w:cs="仿宋_GB2312"/>
              </w:rPr>
              <w:t>7</w:t>
            </w:r>
          </w:p>
        </w:tc>
        <w:tc>
          <w:tcPr>
            <w:tcW w:w="1294" w:type="dxa"/>
          </w:tcPr>
          <w:p w14:paraId="1FC12416"/>
        </w:tc>
        <w:tc>
          <w:tcPr>
            <w:tcW w:w="6380" w:type="dxa"/>
          </w:tcPr>
          <w:p w14:paraId="42CAB698">
            <w:pPr>
              <w:pStyle w:val="11"/>
            </w:pPr>
            <w:r>
              <w:rPr>
                <w:rFonts w:ascii="仿宋_GB2312" w:hAnsi="仿宋_GB2312" w:eastAsia="仿宋_GB2312" w:cs="仿宋_GB2312"/>
                <w:sz w:val="20"/>
              </w:rPr>
              <w:t>七、工程量清单：详见工程量清单附件</w:t>
            </w:r>
          </w:p>
        </w:tc>
      </w:tr>
    </w:tbl>
    <w:p w14:paraId="76CED50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7107D5"/>
    <w:rsid w:val="0CC513F5"/>
    <w:rsid w:val="193E7AC0"/>
    <w:rsid w:val="2D7107D5"/>
    <w:rsid w:val="32684154"/>
    <w:rsid w:val="3C266791"/>
    <w:rsid w:val="4A215225"/>
    <w:rsid w:val="677C5037"/>
    <w:rsid w:val="71F32E24"/>
    <w:rsid w:val="733C0C54"/>
    <w:rsid w:val="75C45F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napToGrid w:val="0"/>
      <w:spacing w:before="100" w:beforeLines="0" w:beforeAutospacing="0" w:after="100" w:afterLines="0" w:afterAutospacing="0" w:line="360" w:lineRule="auto"/>
      <w:outlineLvl w:val="0"/>
    </w:pPr>
    <w:rPr>
      <w:rFonts w:ascii="宋体" w:hAnsi="宋体" w:eastAsia="宋体" w:cs="宋体"/>
      <w:b/>
      <w:kern w:val="44"/>
      <w:sz w:val="32"/>
      <w:szCs w:val="28"/>
    </w:rPr>
  </w:style>
  <w:style w:type="paragraph" w:styleId="3">
    <w:name w:val="heading 2"/>
    <w:basedOn w:val="1"/>
    <w:next w:val="1"/>
    <w:semiHidden/>
    <w:unhideWhenUsed/>
    <w:qFormat/>
    <w:uiPriority w:val="0"/>
    <w:pPr>
      <w:keepNext/>
      <w:keepLines/>
      <w:spacing w:beforeLines="0" w:beforeAutospacing="0" w:afterLines="0" w:afterAutospacing="0" w:line="360" w:lineRule="auto"/>
      <w:outlineLvl w:val="1"/>
    </w:pPr>
    <w:rPr>
      <w:rFonts w:ascii="Arial" w:hAnsi="Arial" w:eastAsia="宋体" w:cs="宋体"/>
      <w:b/>
      <w:sz w:val="28"/>
      <w:szCs w:val="28"/>
    </w:rPr>
  </w:style>
  <w:style w:type="paragraph" w:styleId="4">
    <w:name w:val="heading 3"/>
    <w:basedOn w:val="1"/>
    <w:next w:val="1"/>
    <w:semiHidden/>
    <w:unhideWhenUsed/>
    <w:qFormat/>
    <w:uiPriority w:val="0"/>
    <w:pPr>
      <w:keepNext/>
      <w:keepLines/>
      <w:spacing w:beforeLines="0" w:afterLines="0" w:line="360" w:lineRule="auto"/>
      <w:outlineLvl w:val="2"/>
    </w:pPr>
    <w:rPr>
      <w:rFonts w:ascii="仿宋" w:hAnsi="仿宋"/>
      <w:b/>
      <w:sz w:val="28"/>
      <w:szCs w:val="28"/>
    </w:rPr>
  </w:style>
  <w:style w:type="paragraph" w:styleId="5">
    <w:name w:val="heading 4"/>
    <w:basedOn w:val="6"/>
    <w:next w:val="1"/>
    <w:link w:val="10"/>
    <w:semiHidden/>
    <w:unhideWhenUsed/>
    <w:qFormat/>
    <w:uiPriority w:val="0"/>
    <w:pPr>
      <w:keepNext/>
      <w:keepLines/>
      <w:spacing w:beforeLines="0" w:afterLines="0" w:line="360" w:lineRule="auto"/>
      <w:outlineLvl w:val="3"/>
    </w:pPr>
    <w:rPr>
      <w:rFonts w:ascii="仿宋" w:hAnsi="仿宋" w:eastAsia="仿宋" w:cs="仿宋"/>
      <w:sz w:val="28"/>
      <w:szCs w:val="28"/>
      <w:lang w:eastAsia="zh-TW"/>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index heading"/>
    <w:basedOn w:val="1"/>
    <w:next w:val="7"/>
    <w:uiPriority w:val="0"/>
    <w:rPr>
      <w:rFonts w:ascii="Arial" w:hAnsi="Arial"/>
      <w:b/>
    </w:rPr>
  </w:style>
  <w:style w:type="paragraph" w:styleId="7">
    <w:name w:val="index 1"/>
    <w:basedOn w:val="1"/>
    <w:next w:val="1"/>
    <w:qFormat/>
    <w:uiPriority w:val="0"/>
  </w:style>
  <w:style w:type="character" w:customStyle="1" w:styleId="10">
    <w:name w:val="标题 4 Char"/>
    <w:link w:val="5"/>
    <w:qFormat/>
    <w:uiPriority w:val="0"/>
    <w:rPr>
      <w:rFonts w:ascii="仿宋" w:hAnsi="仿宋" w:eastAsia="仿宋" w:cs="仿宋"/>
      <w:b/>
      <w:sz w:val="28"/>
      <w:szCs w:val="28"/>
      <w:lang w:eastAsia="zh-TW"/>
    </w:rPr>
  </w:style>
  <w:style w:type="paragraph" w:customStyle="1" w:styleId="11">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2026-08-10T11:50:00Z</dcterms:created>
  <dc:creator>小马驾驾</dc:creator>
  <cp:lastModifiedBy>小马驾驾</cp:lastModifiedBy>
  <dcterms:modified xsi:type="dcterms:W3CDTF">2026-08-10T11:51:53Z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09F08133FAA946608C7867BB131AE92C_11</vt:lpwstr>
  </property>
  <property fmtid="{D5CDD505-2E9C-101B-9397-08002B2CF9AE}" pid="4" name="KSOTemplateDocerSaveRecord">
    <vt:lpwstr>eyJoZGlkIjoiNGIyZmI3M2JmNTQyMjU5ZGJkYWQ4YTFkMTA0MjM4M2EiLCJ1c2VySWQiOiI2NjY2Njg4MzQifQ==</vt:lpwstr>
  </property>
</Properties>
</file>