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版本号：DS2026-CS-02520260520001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潼关县城市口袋公园建设工程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DS2026-CS-025</w:t>
      </w:r>
      <w:r>
        <w:br/>
      </w:r>
      <w:r>
        <w:br/>
      </w:r>
      <w:r>
        <w:br/>
      </w:r>
    </w:p>
    <w:p>
      <w:pPr>
        <w:pStyle w:val="null3"/>
        <w:jc w:val="center"/>
        <w:outlineLvl w:val="2"/>
      </w:pPr>
      <w:r>
        <w:rPr>
          <w:rFonts w:ascii="仿宋_GB2312" w:hAnsi="仿宋_GB2312" w:cs="仿宋_GB2312" w:eastAsia="仿宋_GB2312"/>
          <w:sz w:val="28"/>
          <w:b/>
        </w:rPr>
        <w:t>潼关县住建局</w:t>
      </w:r>
    </w:p>
    <w:p>
      <w:pPr>
        <w:pStyle w:val="null3"/>
        <w:jc w:val="center"/>
        <w:outlineLvl w:val="2"/>
      </w:pPr>
      <w:r>
        <w:rPr>
          <w:rFonts w:ascii="仿宋_GB2312" w:hAnsi="仿宋_GB2312" w:cs="仿宋_GB2312" w:eastAsia="仿宋_GB2312"/>
          <w:sz w:val="28"/>
          <w:b/>
        </w:rPr>
        <w:t>陕西顶晟招标代理服务有限公司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2026年05月20日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陕西顶晟招标代理服务有限公司</w:t>
      </w:r>
      <w:r>
        <w:rPr>
          <w:rFonts w:ascii="仿宋_GB2312" w:hAnsi="仿宋_GB2312" w:cs="仿宋_GB2312" w:eastAsia="仿宋_GB2312"/>
        </w:rPr>
        <w:t>（以下简称“代理机构”）受</w:t>
      </w:r>
      <w:r>
        <w:rPr>
          <w:rFonts w:ascii="仿宋_GB2312" w:hAnsi="仿宋_GB2312" w:cs="仿宋_GB2312" w:eastAsia="仿宋_GB2312"/>
        </w:rPr>
        <w:t>潼关县住建局</w:t>
      </w:r>
      <w:r>
        <w:rPr>
          <w:rFonts w:ascii="仿宋_GB2312" w:hAnsi="仿宋_GB2312" w:cs="仿宋_GB2312" w:eastAsia="仿宋_GB2312"/>
        </w:rPr>
        <w:t>委托，拟对</w:t>
      </w:r>
      <w:r>
        <w:rPr>
          <w:rFonts w:ascii="仿宋_GB2312" w:hAnsi="仿宋_GB2312" w:cs="仿宋_GB2312" w:eastAsia="仿宋_GB2312"/>
        </w:rPr>
        <w:t>潼关县城市口袋公园建设工程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DS2026-CS-025</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潼关县城市口袋公园建设工程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本项目包含和平路北段口袋公园、规划一路口袋公园、樱花主题口袋公园三个独立区块，主要建设内容为土建结构、场地铺装、绿化栽植、景观照明、围墙彩绘、健身游乐设施等。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采购包1（潼关县城市口袋公园建设工程）：属于专门面向中小企业采购。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1、法定代表人证明及法定代表人授权书：法定代表人直接参加磋商的提供法定代表人证明及其身份证；授权代表参与磋商的提供法定代表人授权书（附法定代表人及授权代表身份证）；非法人单位参照执行；</w:t>
      </w:r>
    </w:p>
    <w:p>
      <w:pPr>
        <w:pStyle w:val="null3"/>
      </w:pPr>
      <w:r>
        <w:rPr>
          <w:rFonts w:ascii="仿宋_GB2312" w:hAnsi="仿宋_GB2312" w:cs="仿宋_GB2312" w:eastAsia="仿宋_GB2312"/>
        </w:rPr>
        <w:t>2、企业资质：供应商须具有市政公用工程施工总承包三级(含三级)以上资质，并具有有效的安全生产许可证；</w:t>
      </w:r>
    </w:p>
    <w:p>
      <w:pPr>
        <w:pStyle w:val="null3"/>
      </w:pPr>
      <w:r>
        <w:rPr>
          <w:rFonts w:ascii="仿宋_GB2312" w:hAnsi="仿宋_GB2312" w:cs="仿宋_GB2312" w:eastAsia="仿宋_GB2312"/>
        </w:rPr>
        <w:t>3、项目经理：拟派项目经理须具有市政公用工程二级(含二级)以上注册建造师资格并具有有效的安全生产考核合格B证，且无在建工程（提供无在建项目承诺书）；</w:t>
      </w:r>
    </w:p>
    <w:p>
      <w:pPr>
        <w:pStyle w:val="null3"/>
      </w:pPr>
      <w:r>
        <w:rPr>
          <w:rFonts w:ascii="仿宋_GB2312" w:hAnsi="仿宋_GB2312" w:cs="仿宋_GB2312" w:eastAsia="仿宋_GB2312"/>
        </w:rPr>
        <w:t>4、信用要求：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5、供应商基本信息：供应商基本信息及项目经理的基本信息应在“ 陕西省住房和城乡建设厅网 （http://js.shaanxi.gov.cn/）”可查询。</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潼关县住建局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潼关县和平路南段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714300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毕懿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17719775029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陕西顶晟招标代理服务有限公司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陕西省西安市雁塔区科技西路2825号绿地鸿海大厦7幢20704室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刘姣姣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17309277028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潼关县政府采购管理股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刘涛</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18609239199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采购包1：3,728,555.29元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招标代理服务收费管理暂行办法》的通知（计价格〔2002〕1980号）、《国家发展和改革委员会办公厅关于招标代理服务收费有关问题的通知》（发改办价格〔2003〕857号）及（发改办价格〔2011〕534号）规定工程类计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潼关县住建局</w:t>
      </w:r>
      <w:r>
        <w:rPr>
          <w:rFonts w:ascii="仿宋_GB2312" w:hAnsi="仿宋_GB2312" w:cs="仿宋_GB2312" w:eastAsia="仿宋_GB2312"/>
        </w:rPr>
        <w:t>和</w:t>
      </w:r>
      <w:r>
        <w:rPr>
          <w:rFonts w:ascii="仿宋_GB2312" w:hAnsi="仿宋_GB2312" w:cs="仿宋_GB2312" w:eastAsia="仿宋_GB2312"/>
        </w:rPr>
        <w:t>陕西顶晟招标代理服务有限公司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潼关县住建局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陕西顶晟招标代理服务有限公司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潼关县住建局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陕西顶晟招标代理服务有限公司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项目竣工后，供应商向采购人提交验收申请。2）采购人收到验收申请后组织验收，验收时供应商应无条件予以配合并提供及移交项目所需的全部资料；若供应商不配合或者未在规定工期内完工的，采购人将拒绝验收。3）验收依据：磋商文件、响应文件、合同文本、国内相应的标准、规范。</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陕西顶晟招标代理服务有限公司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陕西顶晟招标代理服务有限公司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陕西顶晟招标代理服务有限公司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联系人：刘姣姣</w:t>
      </w:r>
    </w:p>
    <w:p>
      <w:pPr>
        <w:pStyle w:val="null3"/>
      </w:pPr>
      <w:r>
        <w:rPr>
          <w:rFonts w:ascii="仿宋_GB2312" w:hAnsi="仿宋_GB2312" w:cs="仿宋_GB2312" w:eastAsia="仿宋_GB2312"/>
        </w:rPr>
        <w:t>联系电话：17309277028</w:t>
      </w:r>
    </w:p>
    <w:p>
      <w:pPr>
        <w:pStyle w:val="null3"/>
      </w:pPr>
      <w:r>
        <w:rPr>
          <w:rFonts w:ascii="仿宋_GB2312" w:hAnsi="仿宋_GB2312" w:cs="仿宋_GB2312" w:eastAsia="仿宋_GB2312"/>
        </w:rPr>
        <w:t>地址： 陕西省西安市雁塔区科技西路2825号绿地鸿海大厦7幢20704室</w:t>
      </w:r>
    </w:p>
    <w:p>
      <w:pPr>
        <w:pStyle w:val="null3"/>
      </w:pPr>
      <w:r>
        <w:rPr>
          <w:rFonts w:ascii="仿宋_GB2312" w:hAnsi="仿宋_GB2312" w:cs="仿宋_GB2312" w:eastAsia="仿宋_GB2312"/>
        </w:rPr>
        <w:t>邮编：710061</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3,728,555.29</w:t>
      </w:r>
    </w:p>
    <w:p>
      <w:pPr>
        <w:pStyle w:val="null3"/>
      </w:pPr>
      <w:r>
        <w:rPr>
          <w:rFonts w:ascii="仿宋_GB2312" w:hAnsi="仿宋_GB2312" w:cs="仿宋_GB2312" w:eastAsia="仿宋_GB2312"/>
        </w:rPr>
        <w:t>采购包最高限价（元）: 3,728,555.29</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潼关县城市口袋公园建设工程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3,728,555.29</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标的名称：潼关县城市口袋公园建设工程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sz w:val="18"/>
              </w:rPr>
              <w:t>一、项目基本情况</w:t>
            </w:r>
          </w:p>
          <w:p>
            <w:pPr>
              <w:pStyle w:val="null3"/>
            </w:pPr>
            <w:r>
              <w:rPr>
                <w:rFonts w:ascii="仿宋_GB2312" w:hAnsi="仿宋_GB2312" w:cs="仿宋_GB2312" w:eastAsia="仿宋_GB2312"/>
                <w:sz w:val="18"/>
              </w:rPr>
              <w:t>1.项目概况：本项目包含和平路北段口袋公园、规划一路口袋公园、樱花主题口袋公园三个独立区块，主要建设内容为土建结构、场地铺装、绿化栽植、景观照明、围墙彩绘、健身游乐设施等；</w:t>
            </w:r>
          </w:p>
          <w:p>
            <w:pPr>
              <w:pStyle w:val="null3"/>
            </w:pPr>
            <w:r>
              <w:rPr>
                <w:rFonts w:ascii="仿宋_GB2312" w:hAnsi="仿宋_GB2312" w:cs="仿宋_GB2312" w:eastAsia="仿宋_GB2312"/>
                <w:sz w:val="18"/>
              </w:rPr>
              <w:t>2.施工地点：采购人指定地点（和平路与民生街交汇处、规划一路东段北侧、和平路与双桥大街东段交汇处、共计三处）；</w:t>
            </w:r>
          </w:p>
          <w:p>
            <w:pPr>
              <w:pStyle w:val="null3"/>
            </w:pPr>
            <w:r>
              <w:rPr>
                <w:rFonts w:ascii="仿宋_GB2312" w:hAnsi="仿宋_GB2312" w:cs="仿宋_GB2312" w:eastAsia="仿宋_GB2312"/>
                <w:sz w:val="18"/>
              </w:rPr>
              <w:t>3.计划工期：自合同签订之日起 15日历天内；</w:t>
            </w:r>
          </w:p>
          <w:p>
            <w:pPr>
              <w:pStyle w:val="null3"/>
            </w:pPr>
            <w:r>
              <w:rPr>
                <w:rFonts w:ascii="仿宋_GB2312" w:hAnsi="仿宋_GB2312" w:cs="仿宋_GB2312" w:eastAsia="仿宋_GB2312"/>
                <w:sz w:val="18"/>
              </w:rPr>
              <w:t>4.缺陷责任期：自竣工验收之日起1年；</w:t>
            </w:r>
          </w:p>
          <w:p>
            <w:pPr>
              <w:pStyle w:val="null3"/>
            </w:pPr>
            <w:r>
              <w:rPr>
                <w:rFonts w:ascii="仿宋_GB2312" w:hAnsi="仿宋_GB2312" w:cs="仿宋_GB2312" w:eastAsia="仿宋_GB2312"/>
                <w:sz w:val="18"/>
              </w:rPr>
              <w:t>二、编制依据</w:t>
            </w:r>
          </w:p>
          <w:p>
            <w:pPr>
              <w:pStyle w:val="null3"/>
              <w:jc w:val="both"/>
            </w:pPr>
            <w:r>
              <w:rPr>
                <w:rFonts w:ascii="仿宋_GB2312" w:hAnsi="仿宋_GB2312" w:cs="仿宋_GB2312" w:eastAsia="仿宋_GB2312"/>
                <w:sz w:val="18"/>
              </w:rPr>
              <w:t>1.陕西省住房和城乡建设厅关于印发2025陕西省建设工程费用规则等计价依据的通知；</w:t>
            </w:r>
          </w:p>
          <w:p>
            <w:pPr>
              <w:pStyle w:val="null3"/>
              <w:jc w:val="both"/>
            </w:pPr>
            <w:r>
              <w:rPr>
                <w:rFonts w:ascii="仿宋_GB2312" w:hAnsi="仿宋_GB2312" w:cs="仿宋_GB2312" w:eastAsia="仿宋_GB2312"/>
                <w:sz w:val="18"/>
              </w:rPr>
              <w:t>2.《建设工程工程量清单计价标准》（DB61/T5126-2025);</w:t>
            </w:r>
          </w:p>
          <w:p>
            <w:pPr>
              <w:pStyle w:val="null3"/>
              <w:jc w:val="both"/>
            </w:pPr>
            <w:r>
              <w:rPr>
                <w:rFonts w:ascii="仿宋_GB2312" w:hAnsi="仿宋_GB2312" w:cs="仿宋_GB2312" w:eastAsia="仿宋_GB2312"/>
                <w:sz w:val="18"/>
              </w:rPr>
              <w:t>3.《市政工程工程量计算标准》（DB61/T5128-2025）</w:t>
            </w:r>
          </w:p>
          <w:p>
            <w:pPr>
              <w:pStyle w:val="null3"/>
              <w:jc w:val="both"/>
            </w:pPr>
            <w:r>
              <w:rPr>
                <w:rFonts w:ascii="仿宋_GB2312" w:hAnsi="仿宋_GB2312" w:cs="仿宋_GB2312" w:eastAsia="仿宋_GB2312"/>
                <w:sz w:val="18"/>
              </w:rPr>
              <w:t>4.项目施工图；</w:t>
            </w:r>
          </w:p>
          <w:p>
            <w:pPr>
              <w:pStyle w:val="null3"/>
              <w:jc w:val="both"/>
            </w:pPr>
            <w:r>
              <w:rPr>
                <w:rFonts w:ascii="仿宋_GB2312" w:hAnsi="仿宋_GB2312" w:cs="仿宋_GB2312" w:eastAsia="仿宋_GB2312"/>
                <w:sz w:val="18"/>
              </w:rPr>
              <w:t>5.设计说明、设计答疑、相关的标准图集、技术标准、施工及验收规范等；</w:t>
            </w:r>
          </w:p>
          <w:p>
            <w:pPr>
              <w:pStyle w:val="null3"/>
              <w:jc w:val="both"/>
            </w:pPr>
            <w:r>
              <w:rPr>
                <w:rFonts w:ascii="仿宋_GB2312" w:hAnsi="仿宋_GB2312" w:cs="仿宋_GB2312" w:eastAsia="仿宋_GB2312"/>
                <w:sz w:val="18"/>
              </w:rPr>
              <w:t>三、编制范围</w:t>
            </w:r>
          </w:p>
          <w:p>
            <w:pPr>
              <w:pStyle w:val="null3"/>
              <w:jc w:val="both"/>
            </w:pPr>
            <w:r>
              <w:rPr>
                <w:rFonts w:ascii="仿宋_GB2312" w:hAnsi="仿宋_GB2312" w:cs="仿宋_GB2312" w:eastAsia="仿宋_GB2312"/>
                <w:sz w:val="18"/>
              </w:rPr>
              <w:t>本次编制范围施工图纸所包含的全部工程内容。</w:t>
            </w:r>
          </w:p>
          <w:p>
            <w:pPr>
              <w:pStyle w:val="null3"/>
              <w:jc w:val="both"/>
            </w:pPr>
            <w:r>
              <w:rPr>
                <w:rFonts w:ascii="仿宋_GB2312" w:hAnsi="仿宋_GB2312" w:cs="仿宋_GB2312" w:eastAsia="仿宋_GB2312"/>
                <w:sz w:val="18"/>
              </w:rPr>
              <w:t>四、其他说明</w:t>
            </w:r>
          </w:p>
          <w:p>
            <w:pPr>
              <w:pStyle w:val="null3"/>
              <w:jc w:val="both"/>
            </w:pPr>
            <w:r>
              <w:rPr>
                <w:rFonts w:ascii="仿宋_GB2312" w:hAnsi="仿宋_GB2312" w:cs="仿宋_GB2312" w:eastAsia="仿宋_GB2312"/>
                <w:sz w:val="18"/>
              </w:rPr>
              <w:t>1.本工程造价为含增值税造价。</w:t>
            </w:r>
          </w:p>
          <w:p>
            <w:pPr>
              <w:pStyle w:val="null3"/>
              <w:jc w:val="both"/>
            </w:pPr>
            <w:r>
              <w:rPr>
                <w:rFonts w:ascii="仿宋_GB2312" w:hAnsi="仿宋_GB2312" w:cs="仿宋_GB2312" w:eastAsia="仿宋_GB2312"/>
                <w:sz w:val="18"/>
              </w:rPr>
              <w:t>2.编制软件采用广联达云计价平台GCCP7.0，版本：7.5000.23.2。</w:t>
            </w:r>
          </w:p>
          <w:p>
            <w:pPr>
              <w:pStyle w:val="null3"/>
              <w:jc w:val="both"/>
            </w:pPr>
            <w:r>
              <w:rPr>
                <w:rFonts w:ascii="仿宋_GB2312" w:hAnsi="仿宋_GB2312" w:cs="仿宋_GB2312" w:eastAsia="仿宋_GB2312"/>
                <w:sz w:val="18"/>
              </w:rPr>
              <w:t>3.拆除工程、废料弃置、土方外运及外购土运距按10km考虑。</w:t>
            </w:r>
          </w:p>
          <w:p>
            <w:pPr>
              <w:pStyle w:val="null3"/>
              <w:jc w:val="both"/>
            </w:pPr>
            <w:r>
              <w:rPr>
                <w:rFonts w:ascii="仿宋_GB2312" w:hAnsi="仿宋_GB2312" w:cs="仿宋_GB2312" w:eastAsia="仿宋_GB2312"/>
                <w:sz w:val="18"/>
              </w:rPr>
              <w:t>4.绿化工程按施工期养护考虑。</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符合国家及行业验收合格标准。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在本项目实施过程中涉及的商品包装和快递包装，均应符合《商品包装政府采购需求标准（试行）》《快递包装政府采购需求标准（试行）》的要求，确保货物安全运抵服务地点。</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1.施工范围：工程量清单及施工图纸内容。 2.质量标准：合格。 3.付款方式：1）预付款，合同签订后，所有人员、机械到达采购人指定地点，达到付款条件起10个工作日内，支付合同总金额的40%；2）进度款，工程施工完成后，达到付款条件起10个工作日内，支付合同总金额的40%；3）进度款，竣工验收合格并经审计后，达到付款条件起10个工作日内，支付合同总金额的17%；4）其他，验收合格之日起一年后，如无质量等问题，，达到付款条件起10个工作日内，支付合同总金额的3% 4.供应商负责完成本项目相关工作，凡涉及与本项目相关的材料、设备、人员保险、税金、验收等，所有费用一次性计入投标总价。 5.验收：1）项目竣工后，供应商向采购人提交验收申请。2）采购人收到验收申请后组织验收，验收时供应商应无条件予以配合并提供及移交项目所需的全部资料；若供应商不配合或者未在规定工期内完工的，采购人将拒绝验收。3）验收依据：磋商文件、响应文件、合同文本、国内相应的标准、规范。 6.供应商接到采购人售后要求后，6小时内远程响应，24小时内给出解决方案，若远程无法解决问题72小时内安排专人到达现场。 7.在本项目实施过程中涉及的商品包装和快递包装，均应符合《商品包装政府采购需求标准（试行）》《快递包装政府采购需求标准（试行）》的要求，确保货物安全运抵服务地点。 8.知识产权归属和处理方式：供应商应保证在项目实施过程中不会出现因第三方提出侵犯其专利权、商标权或其它知识产权而引发法律或经济纠纷，否则由供应商承担全部责任。 9.违约责任与解决争议的方法：1）按照《中华人民共和国民法典》中的相关条款执行。2）供应商未在合同约定的工期内完工或者工程质量不符合合同要求的，采购人有权终止合同，对采购人造成经济损失的，采购人有权追责。</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具有独立承担民事责任的能力（法人单位提供有效的营业执照等证明文件，非法人单位参照执行，自然人提供身份证明）；2）具有履行合同所必需的设备和专业技术能力；3）有依法缴纳税收和社会保障资金的良好记录税收缴纳证明；4）参加政府采购活动前三年内，在经营活动中没有重大违法记录；5）法律、行政法规规定的其他条件。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响应文件（格式）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提供《基本资格条件承诺函》；供应商需在项目电子化交易系统中按要求上传相应证明文件并进行电子签章。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响应文件（格式）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本采购包是专门面向中小企业预留，参与供应商由符合政策要求的中小企业承接；监狱企业及残疾人福利性单位，视同小、微型企业。</w:t>
            </w:r>
          </w:p>
        </w:tc>
        <w:tc>
          <w:tcPr>
            <w:tcW w:type="dxa" w:w="1661"/>
          </w:tcPr>
          <w:p>
            <w:pPr>
              <w:pStyle w:val="null3"/>
            </w:pPr>
            <w:r>
              <w:rPr>
                <w:rFonts w:ascii="仿宋_GB2312" w:hAnsi="仿宋_GB2312" w:cs="仿宋_GB2312" w:eastAsia="仿宋_GB2312"/>
              </w:rPr>
              <w:t>响应文件（格式） 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法定代表人证明及法定代表人授权书</w:t>
            </w:r>
          </w:p>
        </w:tc>
        <w:tc>
          <w:tcPr>
            <w:tcW w:type="dxa" w:w="3322"/>
          </w:tcPr>
          <w:p>
            <w:pPr>
              <w:pStyle w:val="null3"/>
            </w:pPr>
            <w:r>
              <w:rPr>
                <w:rFonts w:ascii="仿宋_GB2312" w:hAnsi="仿宋_GB2312" w:cs="仿宋_GB2312" w:eastAsia="仿宋_GB2312"/>
              </w:rPr>
              <w:t>法定代表人直接参加磋商的提供法定代表人证明及其身份证；授权代表参与磋商的提供法定代表人授权书（附法定代表人及授权代表身份证）；非法人单位参照执行；</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供应商须具有市政公用工程施工总承包三级(含三级)以上资质，并具有有效的安全生产许可证；</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拟派项目经理须具有市政公用工程二级(含二级)以上注册建造师资格并具有有效的安全生产考核合格B证，且无在建工程（提供无在建项目承诺书）；</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供应商基本信息</w:t>
            </w:r>
          </w:p>
        </w:tc>
        <w:tc>
          <w:tcPr>
            <w:tcW w:type="dxa" w:w="3322"/>
          </w:tcPr>
          <w:p>
            <w:pPr>
              <w:pStyle w:val="null3"/>
            </w:pPr>
            <w:r>
              <w:rPr>
                <w:rFonts w:ascii="仿宋_GB2312" w:hAnsi="仿宋_GB2312" w:cs="仿宋_GB2312" w:eastAsia="仿宋_GB2312"/>
              </w:rPr>
              <w:t>供应商基本信息及项目经理的基本信息应在“ 陕西省住房和城乡建设厅网 （http://js.shaanxi.gov.cn/）”可查询。</w:t>
            </w:r>
          </w:p>
        </w:tc>
        <w:tc>
          <w:tcPr>
            <w:tcW w:type="dxa" w:w="1661"/>
          </w:tcPr>
          <w:p>
            <w:pPr>
              <w:pStyle w:val="null3"/>
            </w:pPr>
            <w:r>
              <w:rPr>
                <w:rFonts w:ascii="仿宋_GB2312" w:hAnsi="仿宋_GB2312" w:cs="仿宋_GB2312" w:eastAsia="仿宋_GB2312"/>
              </w:rPr>
              <w:t>响应文件（格式）</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实质性要求</w:t>
            </w:r>
          </w:p>
        </w:tc>
        <w:tc>
          <w:tcPr>
            <w:tcW w:type="dxa" w:w="3322"/>
          </w:tcPr>
          <w:p>
            <w:pPr>
              <w:pStyle w:val="null3"/>
            </w:pPr>
            <w:r>
              <w:rPr>
                <w:rFonts w:ascii="仿宋_GB2312" w:hAnsi="仿宋_GB2312" w:cs="仿宋_GB2312" w:eastAsia="仿宋_GB2312"/>
              </w:rPr>
              <w:t>按磋商文件要求编制响应文件，满足磋商文件第二章实质性要求条款。</w:t>
            </w:r>
          </w:p>
        </w:tc>
        <w:tc>
          <w:tcPr>
            <w:tcW w:type="dxa" w:w="1661"/>
          </w:tcPr>
          <w:p>
            <w:pPr>
              <w:pStyle w:val="null3"/>
            </w:pPr>
            <w:r>
              <w:rPr>
                <w:rFonts w:ascii="仿宋_GB2312" w:hAnsi="仿宋_GB2312" w:cs="仿宋_GB2312" w:eastAsia="仿宋_GB2312"/>
              </w:rPr>
              <w:t>响应文件封面 响应文件（格式）</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响应报价</w:t>
            </w:r>
          </w:p>
        </w:tc>
        <w:tc>
          <w:tcPr>
            <w:tcW w:type="dxa" w:w="3322"/>
          </w:tcPr>
          <w:p>
            <w:pPr>
              <w:pStyle w:val="null3"/>
            </w:pPr>
            <w:r>
              <w:rPr>
                <w:rFonts w:ascii="仿宋_GB2312" w:hAnsi="仿宋_GB2312" w:cs="仿宋_GB2312" w:eastAsia="仿宋_GB2312"/>
              </w:rPr>
              <w:t>响应报价唯一，且不高于最高限价。</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响应文件（格式） 报价函 标的清单</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施工方案、方法与技术措施</w:t>
            </w:r>
          </w:p>
        </w:tc>
        <w:tc>
          <w:tcPr>
            <w:tcW w:type="dxa" w:w="2492"/>
          </w:tcPr>
          <w:p>
            <w:pPr>
              <w:pStyle w:val="null3"/>
            </w:pPr>
            <w:r>
              <w:rPr>
                <w:rFonts w:ascii="仿宋_GB2312" w:hAnsi="仿宋_GB2312" w:cs="仿宋_GB2312" w:eastAsia="仿宋_GB2312"/>
              </w:rPr>
              <w:t>施工方案、方法与技术措施： 1.对本项目了解透彻，制定针对本项目的施工方案、方法与技术措施、施工工艺内容全面，对施工具有高度指导性，完全满足项目实施计8分； 2.对本项目了解，制定本项目的施工方案、方法与技术措施内容、施工工艺基本全面，对施工具有指导性，基本满足项目实施计5分； 3.施工方案、方法与技术措施内容不详尽计3分；未提供不计分。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施工进度计划及保证措施</w:t>
            </w:r>
          </w:p>
        </w:tc>
        <w:tc>
          <w:tcPr>
            <w:tcW w:type="dxa" w:w="2492"/>
          </w:tcPr>
          <w:p>
            <w:pPr>
              <w:pStyle w:val="null3"/>
            </w:pPr>
            <w:r>
              <w:rPr>
                <w:rFonts w:ascii="仿宋_GB2312" w:hAnsi="仿宋_GB2312" w:cs="仿宋_GB2312" w:eastAsia="仿宋_GB2312"/>
              </w:rPr>
              <w:t>施工进度计划及保证措施： 1.工期满足招标文件要求，施工进度、节点安排合理，完全满足项目实施计8分； 2.工期满足招标文件要求，施工进度、节点安排基本合理计5分； 3.工期满足招标文件要求，施工进度、节点安排不明确的计3分；未提供不计分。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工程质量管理体系及保证措施</w:t>
            </w:r>
          </w:p>
        </w:tc>
        <w:tc>
          <w:tcPr>
            <w:tcW w:type="dxa" w:w="2492"/>
          </w:tcPr>
          <w:p>
            <w:pPr>
              <w:pStyle w:val="null3"/>
            </w:pPr>
            <w:r>
              <w:rPr>
                <w:rFonts w:ascii="仿宋_GB2312" w:hAnsi="仿宋_GB2312" w:cs="仿宋_GB2312" w:eastAsia="仿宋_GB2312"/>
              </w:rPr>
              <w:t>工程质量管理体系及保证措施： 1.质量目标明确，管理体系健全，保证措施完整,完全满足项目实施计8分； 2.质量目标基本明确，管理体系基本健全，保证措施基本完整，基本满足项目实施计5分； 3.工程质量管理体系及保证措施内容不详尽计3分；未提供不计分。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安全生产、文明施工管理体系及保证措施</w:t>
            </w:r>
          </w:p>
        </w:tc>
        <w:tc>
          <w:tcPr>
            <w:tcW w:type="dxa" w:w="2492"/>
          </w:tcPr>
          <w:p>
            <w:pPr>
              <w:pStyle w:val="null3"/>
            </w:pPr>
            <w:r>
              <w:rPr>
                <w:rFonts w:ascii="仿宋_GB2312" w:hAnsi="仿宋_GB2312" w:cs="仿宋_GB2312" w:eastAsia="仿宋_GB2312"/>
              </w:rPr>
              <w:t>安全生产、文明施工管理体系及保证措施： 1.安全生产目标明确，预防和动态控制措施及制度完整、到位，管理体系和组织措施功能完善，安全经费投入明确,完全满足项目实施计8分； 2.安全生产目标基本明确，预防和动态控制措施及制度基本完整，管理体系和组织措施功能基本完善，基本满足项目实施计5分； 3.安全生产、文明施工管理体系及保证措施内容不详尽计3分；未提供不计分。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环境文明施工保证体系及保证措施</w:t>
            </w:r>
          </w:p>
        </w:tc>
        <w:tc>
          <w:tcPr>
            <w:tcW w:type="dxa" w:w="2492"/>
          </w:tcPr>
          <w:p>
            <w:pPr>
              <w:pStyle w:val="null3"/>
            </w:pPr>
            <w:r>
              <w:rPr>
                <w:rFonts w:ascii="仿宋_GB2312" w:hAnsi="仿宋_GB2312" w:cs="仿宋_GB2312" w:eastAsia="仿宋_GB2312"/>
              </w:rPr>
              <w:t>环境文明施工保证体系及保证措施： 1.环境文明施工保证体系健全、完整，保证措施完善,完全满足项目实施计8分； 2.环境文明施工保证体系基本健全，保证措施基本完善，基本满足项目实施计5分； 3.环境文明施工保证体系及保证措施内容不详尽计3分；未提供不计分。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主要劳动力及机具配备</w:t>
            </w:r>
          </w:p>
        </w:tc>
        <w:tc>
          <w:tcPr>
            <w:tcW w:type="dxa" w:w="2492"/>
          </w:tcPr>
          <w:p>
            <w:pPr>
              <w:pStyle w:val="null3"/>
            </w:pPr>
            <w:r>
              <w:rPr>
                <w:rFonts w:ascii="仿宋_GB2312" w:hAnsi="仿宋_GB2312" w:cs="仿宋_GB2312" w:eastAsia="仿宋_GB2312"/>
              </w:rPr>
              <w:t>主要劳动力及机具配备： 1.劳动力及机具投入计划根据施工进度需求、工作量进行合理分配安排，并具有实施性，完全满足施工要求计8分； 2.有基本的劳动力及机具投入计5分； 3.劳动力及机具投入不完善的计3分；未提供不计分。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项目风险预测与防范、事故应急预案</w:t>
            </w:r>
          </w:p>
        </w:tc>
        <w:tc>
          <w:tcPr>
            <w:tcW w:type="dxa" w:w="2492"/>
          </w:tcPr>
          <w:p>
            <w:pPr>
              <w:pStyle w:val="null3"/>
            </w:pPr>
            <w:r>
              <w:rPr>
                <w:rFonts w:ascii="仿宋_GB2312" w:hAnsi="仿宋_GB2312" w:cs="仿宋_GB2312" w:eastAsia="仿宋_GB2312"/>
              </w:rPr>
              <w:t>项目风险预测与防范、事故应急预案： 1.项目风险预测与防范、事故应急预案考虑全面，切实可行，经济合理计8分； 2.项目风险预测与防范、事故应急预案考虑操作性不全面计5分； 3.缺少风险预测与防范或缺少事故应急预案计3分；未提供不计分。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项目团队</w:t>
            </w:r>
          </w:p>
        </w:tc>
        <w:tc>
          <w:tcPr>
            <w:tcW w:type="dxa" w:w="2492"/>
          </w:tcPr>
          <w:p>
            <w:pPr>
              <w:pStyle w:val="null3"/>
            </w:pPr>
            <w:r>
              <w:rPr>
                <w:rFonts w:ascii="仿宋_GB2312" w:hAnsi="仿宋_GB2312" w:cs="仿宋_GB2312" w:eastAsia="仿宋_GB2312"/>
              </w:rPr>
              <w:t>1.拟投入本项目人员数量充足，专业人员配置齐全、针对性强、分工明确，能够满足采购人项目需求的得8分；2.人员配备数量一般，专业人员配备能够基本满足项目实施需要，分工有一定的合理性，基本能满足项目需求的得5分；3.人员配备数量较少,专业人员配备不齐全的得3分；4.不满足项目要求或未提供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实质性承诺或合理化建议</w:t>
            </w:r>
          </w:p>
        </w:tc>
        <w:tc>
          <w:tcPr>
            <w:tcW w:type="dxa" w:w="2492"/>
          </w:tcPr>
          <w:p>
            <w:pPr>
              <w:pStyle w:val="null3"/>
            </w:pPr>
            <w:r>
              <w:rPr>
                <w:rFonts w:ascii="仿宋_GB2312" w:hAnsi="仿宋_GB2312" w:cs="仿宋_GB2312" w:eastAsia="仿宋_GB2312"/>
              </w:rPr>
              <w:t>1.针对本项目实际需求提供实质性承诺或合理化建议计2分； 2.提供有承诺或建议但与本项目需求无直接关联关系计1分；未提供不计分。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响应文件（格式）</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供应商提供2023年1月1日至响应文件提交截止前类似项目的合同复印件，以合同签订日期为准，每提供一份合同得2分，满分4分，未提供不得分。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响应文件（格式）</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计算，即满足磋商文件要求且最后报价最低的供应商的价格为磋商基准价，其价格分为满分。其他供应商的价格分统一按照下列公式计算：磋商报价得分=30×（磋商基准价/最后磋商报价）价格分计算：四舍五入，保留两位小数。</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响应文件（格式）</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详见附件：响应文件（格式）</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详见附件：建设工程施工合同.docx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