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版本号：SXDY-2026-14420260811001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2025年高陵区病死动物无害化处理体系建设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SXDY-2026-144</w:t>
      </w:r>
      <w:r>
        <w:br/>
      </w:r>
      <w:r>
        <w:br/>
      </w:r>
      <w:r>
        <w:br/>
      </w:r>
    </w:p>
    <w:p>
      <w:pPr>
        <w:pStyle w:val="null3"/>
        <w:jc w:val="center"/>
        <w:outlineLvl w:val="2"/>
      </w:pPr>
      <w:r>
        <w:rPr>
          <w:rFonts w:ascii="仿宋_GB2312" w:hAnsi="仿宋_GB2312" w:cs="仿宋_GB2312" w:eastAsia="仿宋_GB2312"/>
          <w:sz w:val="28"/>
          <w:b/>
        </w:rPr>
        <w:t>西安市高陵区动物卫生和屠宰工作站</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西安市高陵区动物卫生和屠宰工作站</w:t>
      </w:r>
      <w:r>
        <w:rPr>
          <w:rFonts w:ascii="仿宋_GB2312" w:hAnsi="仿宋_GB2312" w:cs="仿宋_GB2312" w:eastAsia="仿宋_GB2312"/>
        </w:rPr>
        <w:t>委托，拟对</w:t>
      </w:r>
      <w:r>
        <w:rPr>
          <w:rFonts w:ascii="仿宋_GB2312" w:hAnsi="仿宋_GB2312" w:cs="仿宋_GB2312" w:eastAsia="仿宋_GB2312"/>
        </w:rPr>
        <w:t>2025年高陵区病死动物无害化处理体系建设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SXDY-2026-144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2025年高陵区病死动物无害化处理体系建设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结合前期建设的病死畜禽处理收集点分布情况，计划建设一座大型病死畜禽处理集中收集点，进一步健全病死动物无害化收集体系，切断动物疫病传播途径，杜绝病死动物乱抛弃现象的发生。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采购包1（移动冷库及装尸袋）：属于专门面向中小企业采购。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1、营业执照：具有合法有效的营业执照、组织机构代码证、税务登记证（或统一社会信用代码的营业执照）；供应商需在项目电子化交易系统中按要求上传相应证明文件并进行电子签章；</w:t>
      </w:r>
    </w:p>
    <w:p>
      <w:pPr>
        <w:pStyle w:val="null3"/>
      </w:pPr>
      <w:r>
        <w:rPr>
          <w:rFonts w:ascii="仿宋_GB2312" w:hAnsi="仿宋_GB2312" w:cs="仿宋_GB2312" w:eastAsia="仿宋_GB2312"/>
        </w:rPr>
        <w:t>2、财务状况报告：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2026年1月至今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税收缴纳证明：提供2026年1月至今至少一个月已缴纳的增值税或营业税或企业所得税或印花税的凭据或完税证明；依法免税的投标人应提供相关证明文件；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声明）：参加政府采购活动前3年内在经营活动中没有重大违法记录；供应商需在项目电子化交易系统中按要求填写《投标函》完成承诺并进行电子签章；供应商需在项目电子化交易系统中按要求上传相应证明文件并进行电子签章；</w:t>
      </w:r>
    </w:p>
    <w:p>
      <w:pPr>
        <w:pStyle w:val="null3"/>
      </w:pPr>
      <w:r>
        <w:rPr>
          <w:rFonts w:ascii="仿宋_GB2312" w:hAnsi="仿宋_GB2312" w:cs="仿宋_GB2312" w:eastAsia="仿宋_GB2312"/>
        </w:rPr>
        <w:t>6、提供具有履行合同所必须的设备和专业技术能力的书面承诺：供应商需在项目电子化交易系统中提供具有履行合同所必须的设备和专业技术能力的书面承诺并进行电子签章；供应商需在项目电子化交易系统中按要求上传相应证明文件并进行电子签章；</w:t>
      </w:r>
    </w:p>
    <w:p>
      <w:pPr>
        <w:pStyle w:val="null3"/>
      </w:pPr>
      <w:r>
        <w:rPr>
          <w:rFonts w:ascii="仿宋_GB2312" w:hAnsi="仿宋_GB2312" w:cs="仿宋_GB2312" w:eastAsia="仿宋_GB2312"/>
        </w:rPr>
        <w:t>7、信用主体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8、本项目不接受联合体：供应商需在项目电子化交易系统中提供非联合体投标承诺书并进行电子签章；供应商需在项目电子化交易系统中按要求上传相应证明文件并进行电子签章；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西安市高陵区动物卫生和屠宰工作站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高陵区西环城路863号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许国智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029-86918252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西安市雁塔区朱雀大街南段汇成天玺C座11层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029-85450865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代理服务费收费标准：参照国家发改委文件计价格〔2002〕1980号及发改价格〔2011〕534号文件规定标准计取。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西安市高陵区动物卫生和屠宰工作站</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西安市高陵区动物卫生和屠宰工作站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西安市高陵区动物卫生和屠宰工作站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按国家相关标准、行业标准、地方标准及规范执行。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联系人：雷虹</w:t>
      </w:r>
    </w:p>
    <w:p>
      <w:pPr>
        <w:pStyle w:val="null3"/>
      </w:pPr>
      <w:r>
        <w:rPr>
          <w:rFonts w:ascii="仿宋_GB2312" w:hAnsi="仿宋_GB2312" w:cs="仿宋_GB2312" w:eastAsia="仿宋_GB2312"/>
        </w:rPr>
        <w:t>联系电话：029-85450865</w:t>
      </w:r>
    </w:p>
    <w:p>
      <w:pPr>
        <w:pStyle w:val="null3"/>
      </w:pPr>
      <w:r>
        <w:rPr>
          <w:rFonts w:ascii="仿宋_GB2312" w:hAnsi="仿宋_GB2312" w:cs="仿宋_GB2312" w:eastAsia="仿宋_GB2312"/>
        </w:rPr>
        <w:t>地址：西安市雁塔区朱雀大街南段汇成天玺C座11层（注：未按要求及渠道递交质疑，本单位不予受理，供应商自行承担后果）</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结合前期建设的病死畜禽处理收集点分布情况，计划建设一座大型病死畜禽处理集中收集点，进一步健全病死动物无害化收集体系，切断动物疫病传播途径，杜绝病死动物乱抛弃现象的发生。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移动冷库及装尸袋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座</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标的名称：移动冷库及装尸袋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93"/>
              <w:gridCol w:w="141"/>
              <w:gridCol w:w="1984"/>
              <w:gridCol w:w="96"/>
              <w:gridCol w:w="122"/>
              <w:gridCol w:w="114"/>
            </w:tblGrid>
            <w:tr>
              <w:tc>
                <w:tcPr>
                  <w:tcW w:type="dxa" w:w="255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2025年高陵区病死动物无害化处理体系建设项目采购清单</w:t>
                  </w:r>
                </w:p>
              </w:tc>
            </w:tr>
            <w:tr>
              <w:tc>
                <w:tcPr>
                  <w:tcW w:type="dxa" w:w="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采购项目内容</w:t>
                  </w:r>
                </w:p>
              </w:tc>
              <w:tc>
                <w:tcPr>
                  <w:tcW w:type="dxa" w:w="19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功能及相关参数说明</w:t>
                  </w:r>
                </w:p>
              </w:tc>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备注</w:t>
                  </w:r>
                </w:p>
              </w:tc>
            </w:tr>
            <w:tr>
              <w:tc>
                <w:tcPr>
                  <w:tcW w:type="dxa" w:w="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移动冷库</w:t>
                  </w:r>
                </w:p>
              </w:tc>
              <w:tc>
                <w:tcPr>
                  <w:tcW w:type="dxa" w:w="19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br/>
                  </w:r>
                  <w:r>
                    <w:rPr>
                      <w:rFonts w:ascii="仿宋_GB2312" w:hAnsi="仿宋_GB2312" w:cs="仿宋_GB2312" w:eastAsia="仿宋_GB2312"/>
                      <w:sz w:val="19"/>
                      <w:color w:val="000000"/>
                    </w:rPr>
                    <w:t xml:space="preserve"> 一：功能及标准说明</w:t>
                  </w:r>
                  <w:r>
                    <w:br/>
                  </w:r>
                  <w:r>
                    <w:rPr>
                      <w:rFonts w:ascii="仿宋_GB2312" w:hAnsi="仿宋_GB2312" w:cs="仿宋_GB2312" w:eastAsia="仿宋_GB2312"/>
                      <w:sz w:val="19"/>
                      <w:color w:val="000000"/>
                    </w:rPr>
                    <w:t xml:space="preserve"> 1.1 冷库外尺寸12.7*9.7*3米，净容积须大于300m³。设计额定库温恒定-18℃低温冷冻标准。本冷库要求全年24小时不间断连续运行、无停机维护窗口期，系统配置主用制冷机组+备用制冷机组双机冗余配置，主机组故障、检修、保养时备用机组自动投入，保障库温恒定、不停机、不升温。要求整体设计合理、保温性能优异、双机运行稳定、安全防火、智能可控，满足常年不间断冷链存储要求。</w:t>
                  </w:r>
                  <w:r>
                    <w:br/>
                  </w:r>
                  <w:r>
                    <w:rPr>
                      <w:rFonts w:ascii="仿宋_GB2312" w:hAnsi="仿宋_GB2312" w:cs="仿宋_GB2312" w:eastAsia="仿宋_GB2312"/>
                      <w:sz w:val="19"/>
                      <w:color w:val="000000"/>
                    </w:rPr>
                    <w:t xml:space="preserve"> 1.2 冷库防火不锈钢库体（墙板、顶板、库门、地面保温、）全套制作安装、保温密封系统、低温制冷机组+备用低温制冷机组全套系统、双机切换控制系统、蒸发器、管路系统、实时智能温控系统、停电声光报警系统、线路布设、调试、试运行、验收、质保及售后培训，不含地面土建施工内容。</w:t>
                  </w:r>
                  <w:r>
                    <w:br/>
                  </w:r>
                  <w:r>
                    <w:rPr>
                      <w:rFonts w:ascii="仿宋_GB2312" w:hAnsi="仿宋_GB2312" w:cs="仿宋_GB2312" w:eastAsia="仿宋_GB2312"/>
                      <w:sz w:val="19"/>
                      <w:color w:val="000000"/>
                    </w:rPr>
                    <w:t xml:space="preserve"> 1.3 执行标准</w:t>
                  </w:r>
                  <w:r>
                    <w:br/>
                  </w:r>
                  <w:r>
                    <w:rPr>
                      <w:rFonts w:ascii="仿宋_GB2312" w:hAnsi="仿宋_GB2312" w:cs="仿宋_GB2312" w:eastAsia="仿宋_GB2312"/>
                      <w:sz w:val="19"/>
                      <w:color w:val="000000"/>
                    </w:rPr>
                    <w:t xml:space="preserve"> 本项目所有设计、材料、施工、验收严格遵循国家现行规范：</w:t>
                  </w:r>
                  <w:r>
                    <w:br/>
                  </w:r>
                  <w:r>
                    <w:rPr>
                      <w:rFonts w:ascii="仿宋_GB2312" w:hAnsi="仿宋_GB2312" w:cs="仿宋_GB2312" w:eastAsia="仿宋_GB2312"/>
                      <w:sz w:val="19"/>
                      <w:color w:val="000000"/>
                    </w:rPr>
                    <w:t xml:space="preserve"> 《冷库设计标准》GB50072-2021</w:t>
                  </w:r>
                  <w:r>
                    <w:br/>
                  </w:r>
                  <w:r>
                    <w:rPr>
                      <w:rFonts w:ascii="仿宋_GB2312" w:hAnsi="仿宋_GB2312" w:cs="仿宋_GB2312" w:eastAsia="仿宋_GB2312"/>
                      <w:sz w:val="19"/>
                      <w:color w:val="000000"/>
                    </w:rPr>
                    <w:t xml:space="preserve"> 《制冷设备、空气分离设备安装工程施工及验收规范》GB50274</w:t>
                  </w:r>
                  <w:r>
                    <w:br/>
                  </w:r>
                  <w:r>
                    <w:rPr>
                      <w:rFonts w:ascii="仿宋_GB2312" w:hAnsi="仿宋_GB2312" w:cs="仿宋_GB2312" w:eastAsia="仿宋_GB2312"/>
                      <w:sz w:val="19"/>
                      <w:color w:val="000000"/>
                    </w:rPr>
                    <w:t xml:space="preserve"> 《建筑设计防火规范》GB50016</w:t>
                  </w:r>
                  <w:r>
                    <w:br/>
                  </w:r>
                  <w:r>
                    <w:rPr>
                      <w:rFonts w:ascii="仿宋_GB2312" w:hAnsi="仿宋_GB2312" w:cs="仿宋_GB2312" w:eastAsia="仿宋_GB2312"/>
                      <w:sz w:val="19"/>
                      <w:color w:val="000000"/>
                    </w:rPr>
                    <w:t xml:space="preserve">  《冷库制冷系统安装规范》SB/T10795</w:t>
                  </w:r>
                  <w:r>
                    <w:br/>
                  </w:r>
                  <w:r>
                    <w:rPr>
                      <w:rFonts w:ascii="仿宋_GB2312" w:hAnsi="仿宋_GB2312" w:cs="仿宋_GB2312" w:eastAsia="仿宋_GB2312"/>
                      <w:sz w:val="19"/>
                      <w:color w:val="000000"/>
                    </w:rPr>
                    <w:t xml:space="preserve">  国家消防产品强制认证标准、冷库保温板材行业验收标准</w:t>
                  </w:r>
                  <w:r>
                    <w:br/>
                  </w:r>
                  <w:r>
                    <w:rPr>
                      <w:rFonts w:ascii="仿宋_GB2312" w:hAnsi="仿宋_GB2312" w:cs="仿宋_GB2312" w:eastAsia="仿宋_GB2312"/>
                      <w:sz w:val="19"/>
                      <w:color w:val="000000"/>
                    </w:rPr>
                    <w:t xml:space="preserve"> 所有设备、板材、配件均为全新原厂正品，无翻新、无二手、无瑕疵，符合环保、节能、安全施工要求。</w:t>
                  </w:r>
                  <w:r>
                    <w:br/>
                  </w:r>
                  <w:r>
                    <w:rPr>
                      <w:rFonts w:ascii="仿宋_GB2312" w:hAnsi="仿宋_GB2312" w:cs="仿宋_GB2312" w:eastAsia="仿宋_GB2312"/>
                      <w:sz w:val="19"/>
                      <w:color w:val="000000"/>
                    </w:rPr>
                    <w:t xml:space="preserve"> 1.4 总体功能要求</w:t>
                  </w:r>
                  <w:r>
                    <w:br/>
                  </w:r>
                  <w:r>
                    <w:rPr>
                      <w:rFonts w:ascii="仿宋_GB2312" w:hAnsi="仿宋_GB2312" w:cs="仿宋_GB2312" w:eastAsia="仿宋_GB2312"/>
                      <w:sz w:val="19"/>
                      <w:color w:val="000000"/>
                    </w:rPr>
                    <w:t xml:space="preserve"> 库温稳定控制在-18℃±1℃，可自定义温度区间调节，降温速度快、恒温性能好。</w:t>
                  </w:r>
                  <w:r>
                    <w:br/>
                  </w:r>
                  <w:r>
                    <w:rPr>
                      <w:rFonts w:ascii="仿宋_GB2312" w:hAnsi="仿宋_GB2312" w:cs="仿宋_GB2312" w:eastAsia="仿宋_GB2312"/>
                      <w:sz w:val="19"/>
                      <w:color w:val="000000"/>
                    </w:rPr>
                    <w:t xml:space="preserve"> 配备实时智能温控系统，全天候监测、记录、调控库内温度，数据可查询、可留存。</w:t>
                  </w:r>
                  <w:r>
                    <w:br/>
                  </w:r>
                  <w:r>
                    <w:rPr>
                      <w:rFonts w:ascii="仿宋_GB2312" w:hAnsi="仿宋_GB2312" w:cs="仿宋_GB2312" w:eastAsia="仿宋_GB2312"/>
                      <w:sz w:val="19"/>
                      <w:color w:val="000000"/>
                    </w:rPr>
                    <w:t xml:space="preserve"> 配备独立停电报警功能，断电后自动触发声光报警，提醒运维人员处置。</w:t>
                  </w:r>
                  <w:r>
                    <w:br/>
                  </w:r>
                  <w:r>
                    <w:rPr>
                      <w:rFonts w:ascii="仿宋_GB2312" w:hAnsi="仿宋_GB2312" w:cs="仿宋_GB2312" w:eastAsia="仿宋_GB2312"/>
                      <w:sz w:val="19"/>
                      <w:color w:val="000000"/>
                    </w:rPr>
                    <w:t xml:space="preserve"> 库体板材具备B1级防火性能，内壁全不锈钢材质，耐腐蚀、易清洁、防结露、不生锈。</w:t>
                  </w:r>
                  <w:r>
                    <w:br/>
                  </w:r>
                  <w:r>
                    <w:rPr>
                      <w:rFonts w:ascii="仿宋_GB2312" w:hAnsi="仿宋_GB2312" w:cs="仿宋_GB2312" w:eastAsia="仿宋_GB2312"/>
                      <w:sz w:val="19"/>
                      <w:color w:val="000000"/>
                    </w:rPr>
                    <w:t xml:space="preserve"> 制冷系统采用一用一备冗余模式，支持自动/手动切换，实现冷库24小时全年无间断运行。冷库整体密闭性强，无漏冷、无结霜、无漏气，适配长期连续运行。</w:t>
                  </w:r>
                  <w:r>
                    <w:br/>
                  </w:r>
                  <w:r>
                    <w:rPr>
                      <w:rFonts w:ascii="仿宋_GB2312" w:hAnsi="仿宋_GB2312" w:cs="仿宋_GB2312" w:eastAsia="仿宋_GB2312"/>
                      <w:sz w:val="19"/>
                      <w:color w:val="000000"/>
                    </w:rPr>
                    <w:t xml:space="preserve"> 二：参数说明</w:t>
                  </w:r>
                  <w:r>
                    <w:br/>
                  </w:r>
                  <w:r>
                    <w:rPr>
                      <w:rFonts w:ascii="仿宋_GB2312" w:hAnsi="仿宋_GB2312" w:cs="仿宋_GB2312" w:eastAsia="仿宋_GB2312"/>
                      <w:sz w:val="19"/>
                      <w:color w:val="000000"/>
                    </w:rPr>
                    <w:t xml:space="preserve">  板材核心参数</w:t>
                  </w:r>
                  <w:r>
                    <w:br/>
                  </w:r>
                  <w:r>
                    <w:rPr>
                      <w:rFonts w:ascii="仿宋_GB2312" w:hAnsi="仿宋_GB2312" w:cs="仿宋_GB2312" w:eastAsia="仿宋_GB2312"/>
                      <w:sz w:val="19"/>
                      <w:color w:val="000000"/>
                    </w:rPr>
                    <w:t xml:space="preserve"> 2.1 防火等级：库体墙板、顶板保温芯材必须达到B1级阻燃防火标准，须提供第三方权威防火检测报告、产品合格证，杜绝可燃、易燃板材。</w:t>
                  </w:r>
                  <w:r>
                    <w:br/>
                  </w:r>
                  <w:r>
                    <w:rPr>
                      <w:rFonts w:ascii="仿宋_GB2312" w:hAnsi="仿宋_GB2312" w:cs="仿宋_GB2312" w:eastAsia="仿宋_GB2312"/>
                      <w:sz w:val="19"/>
                      <w:color w:val="000000"/>
                    </w:rPr>
                    <w:t xml:space="preserve"> 2.2 内壁材质：库体全部内侧墙面、顶面采用201不锈钢材质，厚度为3mm及以上，板面平整光滑、无划痕、无变形，具备防水、防腐蚀、耐低温、易清洗的特性，适配冷冻库潮湿低温环境。</w:t>
                  </w:r>
                  <w:r>
                    <w:br/>
                  </w:r>
                  <w:r>
                    <w:rPr>
                      <w:rFonts w:ascii="仿宋_GB2312" w:hAnsi="仿宋_GB2312" w:cs="仿宋_GB2312" w:eastAsia="仿宋_GB2312"/>
                      <w:sz w:val="19"/>
                      <w:color w:val="000000"/>
                    </w:rPr>
                    <w:t xml:space="preserve"> 2.3 外侧板材：库体外墙、顶板外侧采用阻燃彩钢板，强度高、抗老化、防潮防晒，适配室内外常规安装环境。</w:t>
                  </w:r>
                  <w:r>
                    <w:br/>
                  </w:r>
                  <w:r>
                    <w:rPr>
                      <w:rFonts w:ascii="仿宋_GB2312" w:hAnsi="仿宋_GB2312" w:cs="仿宋_GB2312" w:eastAsia="仿宋_GB2312"/>
                      <w:sz w:val="19"/>
                      <w:color w:val="000000"/>
                    </w:rPr>
                    <w:t xml:space="preserve"> 2.4 板材厚度：低温冷库专用保温板，墙板、顶板标准厚度≥100mm，高密度聚氨酯整体发泡，闭孔率≥95%，保温隔热性能优异，有效杜绝冷量流失。</w:t>
                  </w:r>
                  <w:r>
                    <w:br/>
                  </w:r>
                  <w:r>
                    <w:rPr>
                      <w:rFonts w:ascii="仿宋_GB2312" w:hAnsi="仿宋_GB2312" w:cs="仿宋_GB2312" w:eastAsia="仿宋_GB2312"/>
                      <w:sz w:val="19"/>
                      <w:color w:val="000000"/>
                    </w:rPr>
                    <w:t xml:space="preserve"> 2.5 结构强度：拼接严密、密封性强；顶板具备足够承重强度，可满足设备检修、日常运维上人作业荷载，不变形、不塌陷。</w:t>
                  </w:r>
                  <w:r>
                    <w:br/>
                  </w:r>
                  <w:r>
                    <w:rPr>
                      <w:rFonts w:ascii="仿宋_GB2312" w:hAnsi="仿宋_GB2312" w:cs="仿宋_GB2312" w:eastAsia="仿宋_GB2312"/>
                      <w:sz w:val="19"/>
                      <w:color w:val="000000"/>
                    </w:rPr>
                    <w:t xml:space="preserve"> 2.6 库体施工要求： 板材安装垂直、平整，拼接缝隙均匀，全程采用专用密封胶密封，杜绝冷桥、漏冷、结露现象。库体整体方正，无凹凸变形，边角处理规整，所有穿板管线做好密封防水、防冷桥处理。 仅施工墙体、顶板库体，原有水泥地面保留原状，不做任何切割、铺装、保温、防水施工。 库体完工后整体密闭性测试合格，空载状态下无明显冷量损耗。</w:t>
                  </w:r>
                  <w:r>
                    <w:br/>
                  </w:r>
                  <w:r>
                    <w:rPr>
                      <w:rFonts w:ascii="仿宋_GB2312" w:hAnsi="仿宋_GB2312" w:cs="仿宋_GB2312" w:eastAsia="仿宋_GB2312"/>
                      <w:sz w:val="19"/>
                      <w:color w:val="000000"/>
                    </w:rPr>
                    <w:t xml:space="preserve"> 2.7 冷库门要求：匹配低温冷库专用平移门/手动保温库门，内门尺寸：1.5*2米、外门尺寸：2.5*3米，门板同样采用B1级防火保温芯材+不锈钢内侧。</w:t>
                  </w:r>
                </w:p>
              </w:tc>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座</w:t>
                  </w:r>
                </w:p>
              </w:tc>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9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装尸袋</w:t>
                  </w:r>
                </w:p>
              </w:tc>
              <w:tc>
                <w:tcPr>
                  <w:tcW w:type="dxa" w:w="19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180×100厘米，CPE材质、高阻隔、高强度拉伸、防渗透、可抽拉式封口绳</w:t>
                  </w:r>
                </w:p>
              </w:tc>
              <w:tc>
                <w:tcPr>
                  <w:tcW w:type="dxa" w:w="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2500</w:t>
                  </w:r>
                </w:p>
              </w:tc>
              <w:tc>
                <w:tcPr>
                  <w:tcW w:type="dxa" w:w="12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114"/>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自合同签订之日起一个月内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进度款，按活动进度付款，具体付款比例及时间在签订合同时商定，达到付款条件起30个工作日内，支付合同总金额的100.0%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1.本项目设单价最高限价，供应商报价过程中，各采购清单单价不得超过单价最高限价。 移动冷库单价最高限价：280000.00元/座；装尸袋单价最高限价：16.00元/个。 2.合同履约过程中，根据项目实际情况需对合同内容、数量或相关技术和服务要求进行调整或变更的，由采购人和中标供应商进行协商，具体内容进行约定。 3.本项目实施全过程和实施后，非采购人原因，出现任何生物安全事件及其它一切意外事故，由此所产生的全部后果与费用由中标供应商自行承担，采购人对此不承担任何责任。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法定代表人身份证明及法定代表人授权委托书.pdf 基本资格条件承诺函.docx 中小企业声明函 关于符合本国产品标准的声明函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具有合法有效的营业执照、组织机构代码证、税务登记证（或统一社会信用代码的营业执照）；供应商需在项目电子化交易系统中按要求上传相应证明文件并进行电子签章；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月至今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至少一个月已缴纳的增值税或营业税或企业所得税或印花税的凭据或完税证明；依法免税的投标人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投标函》完成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提供具有履行合同所必须的设备和专业技术能力的书面承诺</w:t>
            </w:r>
          </w:p>
        </w:tc>
        <w:tc>
          <w:tcPr>
            <w:tcW w:type="dxa" w:w="3322"/>
          </w:tcPr>
          <w:p>
            <w:pPr>
              <w:pStyle w:val="null3"/>
            </w:pPr>
            <w:r>
              <w:rPr>
                <w:rFonts w:ascii="仿宋_GB2312" w:hAnsi="仿宋_GB2312" w:cs="仿宋_GB2312" w:eastAsia="仿宋_GB2312"/>
              </w:rPr>
              <w:t>供应商需在项目电子化交易系统中提供具有履行合同所必须的设备和专业技术能力的书面承诺并进行电子签章；供应商需在项目电子化交易系统中按要求上传相应证明文件并进行电子签章；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供应商需在项目电子化交易系统中提供非联合体投标承诺书并进行电子签章；供应商需在项目电子化交易系统中按要求上传相应证明文件并进行电子签章；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响应文件封面 法定代表人身份证明及法定代表人授权委托书.pdf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具有2023年1月1日（以合同签订落款时间为准）至响应文件递交截止时间前类似项目业绩的，业绩证明资料需提供合同协议书，有一个类似业绩得5分，本项最高得20分。响应文件中需附业绩证明关键页资料复印件或扫描件加盖公章。业绩证明资料弄虚作假者，取消其投标或者中标资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供应商需逐条响应招标文件中的技术参数要求，完全响应得9分，如存在负偏离项，每有一项负偏离扣1.0分，扣完为止。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供应商针对所响应的技术参数均提供证明资料的（不限于检测报告、产品彩页、技术说明等），每提供一项得1分，最高可得11分，不提供不得分。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特点及采购人实际需求，供应商投标文件中有专门针对本项目的实施方案，包括货品的①包装；②运输；③安装；④交付；⑤验收内容。方案各项内容全面详细、阐述条例清晰详尽，得8分；评审内容每缺一项扣2分；各项中如有缺陷，每有1处扣0.5分，各项扣完为止。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根据本项目特点及采购人实际需求，投标文件中有明确的①进度计划；②进度保证措施；确保在采购人要求供货时，能及时完成货物的供应和安装。以上2项内容均内容完整、合理、不存在缺陷，得4分；评审内容每缺一项扣2分；各项中如有缺陷，每有1处扣0.5分，各项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拟投入本项目的人员配备情况：投入人员数量在6人及以上的，得10分，投入人员数量在4～5人的，得6分，投入人员数量在3人及以下的，得2分；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供应商提供的货物质量能达到招标文件中的技术要求，提供①质量管理制度；②产品质量承诺；③产品质量证明资料（不限于厂家授权、销售协议、代理协议、产品合格证等）。以上3项内容均内容完整、合理、不存在缺陷，得3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具有科学完善的售后服务，服务内容包含：①售后服务范围；②售后处理响应时间及方式；③售后服务人员配备。以上3项内容均内容完整、合理、不存在缺陷，得3分；评审内容每缺一项扣1分；各项中如有缺陷，每有1处扣0.5分，各项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供应商针对本项目提供完整的项目应急预案。内容包含：①设备故障及维修服务到场响应时限；②其他应急突发状况处置措施（包括但不限于安装、实施、培训、维护维修等环节的紧急处理方案）。 以上每一项内容要求完整、可实施、有针对性，得2分；评审内容每缺一项扣0.5分；各项中如有缺陷，每有1处扣0.25分，各项扣完为止。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价格分统一采用低价优先法计算，即满足招标文件要求且投标报价最低的投标报价为评标基准价，其价格分为满分。其他供应商的价格分统一按照下列公式计算：投标报价得分=(评标基准价／投标报价)×30 注： 1.计算分数时四舍五入取小数点后两位； 2.落实政府采购政策参见政府采购政策评分标准。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详见附件：法定代表人身份证明及法定代表人授权委托书.pdf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