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版本号：SXZCZB2026-ZCCS-042820260515002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2026年干部网络学院课程建设项目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SXZCZB2026-ZCCS-0428</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2026年干部网络学院课程建设项目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2026年干部网络学院课程建设项目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干部网络学院和西安干部网络学院为进一步加强干部教育网络培训工作，不断提升干部网络培训质量，确保培训的时效性和针对性，拓宽课程建设渠道，本次采购从中央党校、国家行政学院、杭州精英、中经网、中青致学等课程公司购置高端课程用于干部在线学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改革委关于进一步放开建设项目专业服务价格的通知》（发改价格〔2015〕299号）文件的要求，结合市场行情执行。由成交供应商在领取成交通知书前，向采购代理机构一次性支付招标代理服务费，招标代理费不足4000元按4000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干部网络学院和西安干部网络学院为进一步加强干部教育网络培训工作，不断提升干部网络培训质量，确保培训的时效性和针对性，拓宽课程建设渠道，本次采购从中央党校、国家行政学院、杭州精英、中经网、中青致学等课程公司购置高端课程用于干部在线学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226"/>
              <w:gridCol w:w="2146"/>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陕西干部网络学院和西安干部网络学院为进一步加强干部教育网络培训工作，不断提升干部网络培训质量，确保培训的时效性和针对性，拓宽课程建设渠道，本次采购从中央党校、杭州精英、中经网等课程公司购置高端课程用于干部在线学习。</w:t>
                  </w:r>
                </w:p>
                <w:p>
                  <w:pPr>
                    <w:pStyle w:val="null3"/>
                    <w:ind w:firstLine="402"/>
                    <w:jc w:val="both"/>
                  </w:pPr>
                  <w:r>
                    <w:rPr>
                      <w:rFonts w:ascii="仿宋_GB2312" w:hAnsi="仿宋_GB2312" w:cs="仿宋_GB2312" w:eastAsia="仿宋_GB2312"/>
                      <w:sz w:val="20"/>
                      <w:b/>
                    </w:rPr>
                    <w:t>二、采购内容</w:t>
                  </w:r>
                </w:p>
                <w:p>
                  <w:pPr>
                    <w:pStyle w:val="null3"/>
                    <w:ind w:firstLine="400"/>
                    <w:jc w:val="both"/>
                  </w:pPr>
                  <w:r>
                    <w:rPr>
                      <w:rFonts w:ascii="仿宋_GB2312" w:hAnsi="仿宋_GB2312" w:cs="仿宋_GB2312" w:eastAsia="仿宋_GB2312"/>
                      <w:sz w:val="20"/>
                    </w:rPr>
                    <w:t>按照《陕西省干部教育培训规划（</w:t>
                  </w:r>
                  <w:r>
                    <w:rPr>
                      <w:rFonts w:ascii="仿宋_GB2312" w:hAnsi="仿宋_GB2312" w:cs="仿宋_GB2312" w:eastAsia="仿宋_GB2312"/>
                      <w:sz w:val="20"/>
                    </w:rPr>
                    <w:t>2023—2027年）》文件要求，陕西干部网络学院每年课程更新不少于150学时。西安干部网络学院为保证春秋季干部网络专题培训及相关培训的时效性和针对性，干部网络专题培训和相关专题培训最新资源配置不低于80%。采购内容如下：</w:t>
                  </w:r>
                </w:p>
                <w:p>
                  <w:pPr>
                    <w:pStyle w:val="null3"/>
                    <w:ind w:firstLine="402"/>
                    <w:jc w:val="both"/>
                  </w:pPr>
                  <w:r>
                    <w:rPr>
                      <w:rFonts w:ascii="仿宋_GB2312" w:hAnsi="仿宋_GB2312" w:cs="仿宋_GB2312" w:eastAsia="仿宋_GB2312"/>
                      <w:sz w:val="20"/>
                      <w:b/>
                    </w:rPr>
                    <w:t>1.课程采购目录</w:t>
                  </w:r>
                </w:p>
                <w:tbl>
                  <w:tblPr>
                    <w:tblBorders>
                      <w:top w:val="none" w:color="000000" w:sz="4"/>
                      <w:left w:val="none" w:color="000000" w:sz="4"/>
                      <w:bottom w:val="none" w:color="000000" w:sz="4"/>
                      <w:right w:val="none" w:color="000000" w:sz="4"/>
                      <w:insideH w:val="none"/>
                      <w:insideV w:val="none"/>
                    </w:tblBorders>
                  </w:tblPr>
                  <w:tblGrid>
                    <w:gridCol w:w="230"/>
                    <w:gridCol w:w="1244"/>
                    <w:gridCol w:w="450"/>
                  </w:tblGrid>
                  <w:tr>
                    <w:tc>
                      <w:tcPr>
                        <w:tcW w:type="dxa" w:w="230"/>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244"/>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课程名称</w:t>
                        </w:r>
                      </w:p>
                    </w:tc>
                    <w:tc>
                      <w:tcPr>
                        <w:tcW w:type="dxa" w:w="45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学时</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以中国式现代化全面推进中华民族伟大复兴</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进一步全面深化改革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扩大高水平对外开放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因地制宜发展新质生产力，实现高质量发展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加快建设农业强国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加快构建新发展格局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扎实推动民营经济高质量发展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走好中国特色金融发展之路</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加强基础研究，实现高水平科技自立自强</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一体推进教育科技人才事业发展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大力发展全过程人民民主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推进中华民族共同体建设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建设更高水平的法治中国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发展新时代中国特色社会主义文化</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推动旅游业高质量发展行稳致远</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深化党的创新理论体系化学理化研究阐释</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让每一个中国人都过上美好生活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促进高质量充分就业</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全面推进美丽中国建设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保障粮食和重要农产品稳定安全供给</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完善基层治理体系，筑牢社会和谐稳定基础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以新安全格局保障新发展格局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全面提高国防和军队现代化水平</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扎实推进</w:t>
                        </w:r>
                        <w:r>
                          <w:rPr>
                            <w:rFonts w:ascii="仿宋_GB2312" w:hAnsi="仿宋_GB2312" w:cs="仿宋_GB2312" w:eastAsia="仿宋_GB2312"/>
                            <w:sz w:val="20"/>
                          </w:rPr>
                          <w:t>“一国两制”实践和祖国统一大业</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开创中国特色大国外交新局面</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构建人类命运共同体</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构建公正合理的全球治理体系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全面推动共建</w:t>
                        </w:r>
                        <w:r>
                          <w:rPr>
                            <w:rFonts w:ascii="仿宋_GB2312" w:hAnsi="仿宋_GB2312" w:cs="仿宋_GB2312" w:eastAsia="仿宋_GB2312"/>
                            <w:sz w:val="20"/>
                          </w:rPr>
                          <w:t>“一带一路”高质量发展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坚持和加强党中央集中统一领导</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把党的自我革命进行到底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延安精神系列之一：什么是延安精神</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延安精神系列之二：越抗越大的</w:t>
                        </w:r>
                        <w:r>
                          <w:rPr>
                            <w:rFonts w:ascii="仿宋_GB2312" w:hAnsi="仿宋_GB2312" w:cs="仿宋_GB2312" w:eastAsia="仿宋_GB2312"/>
                            <w:sz w:val="20"/>
                          </w:rPr>
                          <w:t>“抗大”</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延安精神系列之三：民主廉洁的陕甘宁边区政府</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延安精神系列之四：处决黄克功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延安精神系列之五：洋大夫白求恩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延安精神系列之六：轰轰烈烈的大生产运动</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延安精神系列之七：精兵简政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延安精神系列之八：延安整风运动</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延安精神系列之九：人民战士张思德</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延安精神系列之十：窑洞对</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延安精神系列之十一：毛泽东破例为徐特立祝寿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延安精神系列之十二：以一个延安换取全中国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延安精神系列之十三：他们是人民公仆</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延安精神系列之十四：他们的延安生活震惊蒋介石</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领航新征程，从两会精神看</w:t>
                        </w:r>
                        <w:r>
                          <w:rPr>
                            <w:rFonts w:ascii="仿宋_GB2312" w:hAnsi="仿宋_GB2312" w:cs="仿宋_GB2312" w:eastAsia="仿宋_GB2312"/>
                            <w:sz w:val="20"/>
                          </w:rPr>
                          <w:t>“十五五”高质量发展的核心要义与实践路径</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经济周期深处的</w:t>
                        </w:r>
                        <w:r>
                          <w:rPr>
                            <w:rFonts w:ascii="仿宋_GB2312" w:hAnsi="仿宋_GB2312" w:cs="仿宋_GB2312" w:eastAsia="仿宋_GB2312"/>
                            <w:sz w:val="20"/>
                          </w:rPr>
                          <w:t>“底牌”与“空间”——两会视角下的形势研判</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从两会看</w:t>
                        </w:r>
                        <w:r>
                          <w:rPr>
                            <w:rFonts w:ascii="仿宋_GB2312" w:hAnsi="仿宋_GB2312" w:cs="仿宋_GB2312" w:eastAsia="仿宋_GB2312"/>
                            <w:sz w:val="20"/>
                          </w:rPr>
                          <w:t>“十五五规划”的战略新动能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中国与世界</w:t>
                        </w:r>
                        <w:r>
                          <w:rPr>
                            <w:rFonts w:ascii="仿宋_GB2312" w:hAnsi="仿宋_GB2312" w:cs="仿宋_GB2312" w:eastAsia="仿宋_GB2312"/>
                            <w:sz w:val="20"/>
                          </w:rPr>
                          <w:t>——“十五五”规划的世界意义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人民至上与</w:t>
                        </w:r>
                        <w:r>
                          <w:rPr>
                            <w:rFonts w:ascii="仿宋_GB2312" w:hAnsi="仿宋_GB2312" w:cs="仿宋_GB2312" w:eastAsia="仿宋_GB2312"/>
                            <w:sz w:val="20"/>
                          </w:rPr>
                          <w:t>“十五五”规划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党的全会精神与</w:t>
                        </w:r>
                        <w:r>
                          <w:rPr>
                            <w:rFonts w:ascii="仿宋_GB2312" w:hAnsi="仿宋_GB2312" w:cs="仿宋_GB2312" w:eastAsia="仿宋_GB2312"/>
                            <w:sz w:val="20"/>
                          </w:rPr>
                          <w:t>“十五五”规划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百年未有之大变局和</w:t>
                        </w:r>
                        <w:r>
                          <w:rPr>
                            <w:rFonts w:ascii="仿宋_GB2312" w:hAnsi="仿宋_GB2312" w:cs="仿宋_GB2312" w:eastAsia="仿宋_GB2312"/>
                            <w:sz w:val="20"/>
                          </w:rPr>
                          <w:t>21世纪的国际格局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科技创新角度解读党的全会精神</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《关于加力支持大规模设备更新和消费品以旧换新的若干措施》解读</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我国科技成果转化的实践逻辑与制度改革框架</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人工智能全球治理实践：中国方案与国际经典案例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w:t>
                        </w:r>
                        <w:r>
                          <w:rPr>
                            <w:rFonts w:ascii="仿宋_GB2312" w:hAnsi="仿宋_GB2312" w:cs="仿宋_GB2312" w:eastAsia="仿宋_GB2312"/>
                            <w:sz w:val="20"/>
                          </w:rPr>
                          <w:t xml:space="preserve">“党建链”赋能“产业链”“创新链”，加快推动国企新质生产力发展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《加快构建科技金融体制</w:t>
                        </w:r>
                        <w:r>
                          <w:rPr>
                            <w:rFonts w:ascii="仿宋_GB2312" w:hAnsi="仿宋_GB2312" w:cs="仿宋_GB2312" w:eastAsia="仿宋_GB2312"/>
                            <w:sz w:val="20"/>
                          </w:rPr>
                          <w:t>有力支撑高水平科技自立自强的若干政策举措》解读</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扩大高水平对外开放，开创合作共赢新局面</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《全国统一大市场建设指引（试行）》解读</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AI国际合作实践：全球包容发展的机遇、挑战与案例解析</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推进新型城镇化和区域协调发展，进一步优化发展空间格局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《关于加强金融服务农村改革</w:t>
                        </w:r>
                        <w:r>
                          <w:rPr>
                            <w:rFonts w:ascii="仿宋_GB2312" w:hAnsi="仿宋_GB2312" w:cs="仿宋_GB2312" w:eastAsia="仿宋_GB2312"/>
                            <w:sz w:val="20"/>
                          </w:rPr>
                          <w:t>推进乡村全面振兴的意见》解读</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AI赋能农业数智化转型：国内外应用实践与典型案例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协同推进降碳减污扩绿增长，加快经济社会发展全面绿色转型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加强生态环境领域科技创新</w:t>
                        </w:r>
                        <w:r>
                          <w:rPr>
                            <w:rFonts w:ascii="仿宋_GB2312" w:hAnsi="仿宋_GB2312" w:cs="仿宋_GB2312" w:eastAsia="仿宋_GB2312"/>
                            <w:sz w:val="20"/>
                          </w:rPr>
                          <w:t>推动美丽中国建设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健全横向生态保护补偿机制</w:t>
                        </w:r>
                        <w:r>
                          <w:rPr>
                            <w:rFonts w:ascii="仿宋_GB2312" w:hAnsi="仿宋_GB2312" w:cs="仿宋_GB2312" w:eastAsia="仿宋_GB2312"/>
                            <w:sz w:val="20"/>
                          </w:rPr>
                          <w:t>筑牢国家生态安全屏障</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未来能源发展与新型能源体系建设</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零碳园区建设与实践</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空间信息技术赋能生物多样性可持续发展</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开创民政事业高质量发展新局面</w:t>
                        </w:r>
                        <w:r>
                          <w:rPr>
                            <w:rFonts w:ascii="仿宋_GB2312" w:hAnsi="仿宋_GB2312" w:cs="仿宋_GB2312" w:eastAsia="仿宋_GB2312"/>
                            <w:sz w:val="20"/>
                          </w:rPr>
                          <w:t xml:space="preserve">——《深入学习关于民政工作的重要论述》学习辅导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加大保障和改善民生力度，提升社会治理效能</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《关于进一步加大稳就业政策支持力度的通知》解读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未来健康的技术升级与产业发展</w:t>
                        </w:r>
                        <w:r>
                          <w:rPr>
                            <w:rFonts w:ascii="仿宋_GB2312" w:hAnsi="仿宋_GB2312" w:cs="仿宋_GB2312" w:eastAsia="仿宋_GB2312"/>
                            <w:sz w:val="20"/>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实施自由贸易试验区提升战略的着力点</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《关于进一步保障和改善民生</w:t>
                        </w:r>
                        <w:r>
                          <w:rPr>
                            <w:rFonts w:ascii="仿宋_GB2312" w:hAnsi="仿宋_GB2312" w:cs="仿宋_GB2312" w:eastAsia="仿宋_GB2312"/>
                            <w:sz w:val="20"/>
                          </w:rPr>
                          <w:t>着力解决群众急难愁盼的意见》解读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《关于加强和改进人民信访工作的重要思想学习读本》学习辅导</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地方政府债务审计与法务风险防范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常态化推进</w:t>
                        </w:r>
                        <w:r>
                          <w:rPr>
                            <w:rFonts w:ascii="仿宋_GB2312" w:hAnsi="仿宋_GB2312" w:cs="仿宋_GB2312" w:eastAsia="仿宋_GB2312"/>
                            <w:sz w:val="20"/>
                          </w:rPr>
                          <w:t>“高效办成一件事”机制建设，释放政务服务新效能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典型事故案例分析</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深化</w:t>
                        </w:r>
                        <w:r>
                          <w:rPr>
                            <w:rFonts w:ascii="仿宋_GB2312" w:hAnsi="仿宋_GB2312" w:cs="仿宋_GB2312" w:eastAsia="仿宋_GB2312"/>
                            <w:sz w:val="20"/>
                          </w:rPr>
                          <w:t>“接诉即办”改革：12345驱动的基层治理机制重构与地方实践探索</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AI赋能基层治理 提高基层干部“数智治理”能力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“人工智能+”时代的数据安全风险应对</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有效防范化解重点领域风险，牢牢守住不发生系统性风险底线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rPr>
                          <w:t>锚定农业农村现代化</w:t>
                        </w:r>
                        <w:r>
                          <w:rPr>
                            <w:rFonts w:ascii="仿宋_GB2312" w:hAnsi="仿宋_GB2312" w:cs="仿宋_GB2312" w:eastAsia="仿宋_GB2312"/>
                            <w:sz w:val="20"/>
                          </w:rPr>
                          <w:t>扎实推进乡村全面振兴</w:t>
                        </w:r>
                        <w:r>
                          <w:rPr>
                            <w:rFonts w:ascii="仿宋_GB2312" w:hAnsi="仿宋_GB2312" w:cs="仿宋_GB2312" w:eastAsia="仿宋_GB2312"/>
                            <w:sz w:val="20"/>
                          </w:rPr>
                          <w:t>——2026年中央一号文件解读</w:t>
                        </w:r>
                        <w:r>
                          <w:rPr>
                            <w:rFonts w:ascii="仿宋_GB2312" w:hAnsi="仿宋_GB2312" w:cs="仿宋_GB2312" w:eastAsia="仿宋_GB2312"/>
                            <w:sz w:val="21"/>
                          </w:rPr>
                          <w:t xml:space="preserve"> </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乡村振兴视域下民宿产品的打造与经营策略</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2026年两会精神与《政府工作报告》解读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着力建设强大国内市场，更好发挥我国超大规模市场优势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加紧培育壮大新动能，建设现代化产业体系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加快高水平科技自立自强，为高质量发展提供科技支撑</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加强重点领域风险防范化解和安全能力建设，坚决守牢安全底线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持续深化重点领域改革，增强高质量发展动力活力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进一步扩大高水平对外开放，以开放促改革促发展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扎实推进乡村全面振兴</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精准施策推动新型城镇化和区域协调发展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加快推动全面绿色转型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更大力度保障和改善民生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《关于扩大服务消费的若干政策措施》解读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12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《关于进一步健全就业公共服务体系的意见》解读</w:t>
                        </w:r>
                      </w:p>
                    </w:tc>
                    <w:tc>
                      <w:tcPr>
                        <w:tcW w:type="dxa" w:w="4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主动对接国际高标准经贸规则</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学习理解《谈治国理政》第五卷的重要思想观点</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推进国家安全体系和能力现代化</w:t>
                        </w:r>
                        <w:r>
                          <w:rPr>
                            <w:rFonts w:ascii="仿宋_GB2312" w:hAnsi="仿宋_GB2312" w:cs="仿宋_GB2312" w:eastAsia="仿宋_GB2312"/>
                            <w:sz w:val="20"/>
                          </w:rPr>
                          <w:t>建设更高水平平安中国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学习贯彻党的全会精神</w:t>
                        </w:r>
                        <w:r>
                          <w:rPr>
                            <w:rFonts w:ascii="仿宋_GB2312" w:hAnsi="仿宋_GB2312" w:cs="仿宋_GB2312" w:eastAsia="仿宋_GB2312"/>
                            <w:sz w:val="20"/>
                          </w:rPr>
                          <w:t>——“十五五”时期的历史方位、战略目标、思想灵魂和战略路径</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党的历史上又一个重要纲领性文献</w:t>
                        </w:r>
                        <w:r>
                          <w:rPr>
                            <w:rFonts w:ascii="仿宋_GB2312" w:hAnsi="仿宋_GB2312" w:cs="仿宋_GB2312" w:eastAsia="仿宋_GB2312"/>
                            <w:sz w:val="20"/>
                          </w:rPr>
                          <w:t>——党的全会精神解读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“十五五”时期经济发展部署解读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建设强大国内市场</w:t>
                        </w:r>
                        <w:r>
                          <w:rPr>
                            <w:rFonts w:ascii="仿宋_GB2312" w:hAnsi="仿宋_GB2312" w:cs="仿宋_GB2312" w:eastAsia="仿宋_GB2312"/>
                            <w:sz w:val="20"/>
                          </w:rPr>
                          <w:t>加快构建新发展格局</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《党政机关厉行节约反对浪费条例》学习解读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加快经济社会发展全面绿色转型</w:t>
                        </w:r>
                        <w:r>
                          <w:rPr>
                            <w:rFonts w:ascii="仿宋_GB2312" w:hAnsi="仿宋_GB2312" w:cs="仿宋_GB2312" w:eastAsia="仿宋_GB2312"/>
                            <w:sz w:val="20"/>
                          </w:rPr>
                          <w:t>建设美丽中国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加快构建高水平社会主义市场经济体制</w:t>
                        </w:r>
                        <w:r>
                          <w:rPr>
                            <w:rFonts w:ascii="仿宋_GB2312" w:hAnsi="仿宋_GB2312" w:cs="仿宋_GB2312" w:eastAsia="仿宋_GB2312"/>
                            <w:sz w:val="20"/>
                          </w:rPr>
                          <w:t>增强高质量发展动力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建设现代化产业体系</w:t>
                        </w:r>
                        <w:r>
                          <w:rPr>
                            <w:rFonts w:ascii="仿宋_GB2312" w:hAnsi="仿宋_GB2312" w:cs="仿宋_GB2312" w:eastAsia="仿宋_GB2312"/>
                            <w:sz w:val="20"/>
                          </w:rPr>
                          <w:t>巩固壮大实体经济根基</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优化区域经济布局</w:t>
                        </w:r>
                        <w:r>
                          <w:rPr>
                            <w:rFonts w:ascii="仿宋_GB2312" w:hAnsi="仿宋_GB2312" w:cs="仿宋_GB2312" w:eastAsia="仿宋_GB2312"/>
                            <w:sz w:val="20"/>
                          </w:rPr>
                          <w:t>促进区域协调发展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如期实现建军一百年奋斗目标</w:t>
                        </w:r>
                        <w:r>
                          <w:rPr>
                            <w:rFonts w:ascii="仿宋_GB2312" w:hAnsi="仿宋_GB2312" w:cs="仿宋_GB2312" w:eastAsia="仿宋_GB2312"/>
                            <w:sz w:val="20"/>
                          </w:rPr>
                          <w:t>高质量推进国防和军队现代化</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加大保障和改善民生力度</w:t>
                        </w:r>
                        <w:r>
                          <w:rPr>
                            <w:rFonts w:ascii="仿宋_GB2312" w:hAnsi="仿宋_GB2312" w:cs="仿宋_GB2312" w:eastAsia="仿宋_GB2312"/>
                            <w:sz w:val="20"/>
                          </w:rPr>
                          <w:t>扎实推进全体人民共同富裕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扩大高水平对外开放</w:t>
                        </w:r>
                        <w:r>
                          <w:rPr>
                            <w:rFonts w:ascii="仿宋_GB2312" w:hAnsi="仿宋_GB2312" w:cs="仿宋_GB2312" w:eastAsia="仿宋_GB2312"/>
                            <w:sz w:val="20"/>
                          </w:rPr>
                          <w:t>开创合作共赢新局面</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扎实推进乡村全面振兴</w:t>
                        </w:r>
                        <w:r>
                          <w:rPr>
                            <w:rFonts w:ascii="仿宋_GB2312" w:hAnsi="仿宋_GB2312" w:cs="仿宋_GB2312" w:eastAsia="仿宋_GB2312"/>
                            <w:sz w:val="20"/>
                          </w:rPr>
                          <w:t>加快建设农业强国</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学习贯彻党的全会精神</w:t>
                        </w:r>
                        <w:r>
                          <w:rPr>
                            <w:rFonts w:ascii="仿宋_GB2312" w:hAnsi="仿宋_GB2312" w:cs="仿宋_GB2312" w:eastAsia="仿宋_GB2312"/>
                            <w:sz w:val="20"/>
                          </w:rPr>
                          <w:t>扎实推进文化强国建设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深刻学习领悟</w:t>
                        </w:r>
                        <w:r>
                          <w:rPr>
                            <w:rFonts w:ascii="仿宋_GB2312" w:hAnsi="仿宋_GB2312" w:cs="仿宋_GB2312" w:eastAsia="仿宋_GB2312"/>
                            <w:sz w:val="20"/>
                          </w:rPr>
                          <w:t>“五个必须” 做好新形势下经济工作</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全面贯彻</w:t>
                        </w:r>
                        <w:r>
                          <w:rPr>
                            <w:rFonts w:ascii="仿宋_GB2312" w:hAnsi="仿宋_GB2312" w:cs="仿宋_GB2312" w:eastAsia="仿宋_GB2312"/>
                            <w:sz w:val="20"/>
                          </w:rPr>
                          <w:t>2026年经济工作的总体要求和政策取向</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2025年中央经济工作会议精神解读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构建长效化规范化的制度保障机制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把为民办事、为民造福作为最重要的政绩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不断增强人民群众的获得感、幸福感、安全感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建立科学精准的政绩考核评价机制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形成重实干重实绩的选人用人机制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健全全方位立体式的监督问责机制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正确把握好潜绩和显绩的关系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靠党建引领的政治定力树政绩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靠为民造福的初心使命树政绩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靠真抓实干的担当作为树政绩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靠经得起检验的实绩标准树政绩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坚持以人民为中心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以高质量党建引领保障高质量发展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确保党中央各项决策部署落到实处</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树什么样的政绩（上）</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树什么样的政绩（下）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什么是政绩观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什么是正确政绩观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正确政绩观和正确权力观、正确事业观之间的关系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政绩为谁而树（上）</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政绩为谁而树（下）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自觉用最广大人民的根本利益来检验自己的工作和政绩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有了真本领才能做出政绩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真干才能真出业绩、出真业绩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不搞劳民伤财的</w:t>
                        </w:r>
                        <w:r>
                          <w:rPr>
                            <w:rFonts w:ascii="仿宋_GB2312" w:hAnsi="仿宋_GB2312" w:cs="仿宋_GB2312" w:eastAsia="仿宋_GB2312"/>
                            <w:sz w:val="20"/>
                          </w:rPr>
                          <w:t>“</w:t>
                        </w:r>
                        <w:r>
                          <w:rPr>
                            <w:rFonts w:ascii="仿宋_GB2312" w:hAnsi="仿宋_GB2312" w:cs="仿宋_GB2312" w:eastAsia="仿宋_GB2312"/>
                            <w:sz w:val="20"/>
                          </w:rPr>
                          <w:t>形象工程</w:t>
                        </w:r>
                        <w:r>
                          <w:rPr>
                            <w:rFonts w:ascii="仿宋_GB2312" w:hAnsi="仿宋_GB2312" w:cs="仿宋_GB2312" w:eastAsia="仿宋_GB2312"/>
                            <w:sz w:val="20"/>
                          </w:rPr>
                          <w:t>”“</w:t>
                        </w:r>
                        <w:r>
                          <w:rPr>
                            <w:rFonts w:ascii="仿宋_GB2312" w:hAnsi="仿宋_GB2312" w:cs="仿宋_GB2312" w:eastAsia="仿宋_GB2312"/>
                            <w:sz w:val="20"/>
                          </w:rPr>
                          <w:t>政绩工程</w:t>
                        </w:r>
                        <w:r>
                          <w:rPr>
                            <w:rFonts w:ascii="仿宋_GB2312" w:hAnsi="仿宋_GB2312" w:cs="仿宋_GB2312" w:eastAsia="仿宋_GB2312"/>
                            <w:sz w:val="20"/>
                          </w:rPr>
                          <w:t>”</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树立和践行正确政绩观</w:t>
                        </w:r>
                        <w:r>
                          <w:rPr>
                            <w:rFonts w:ascii="仿宋_GB2312" w:hAnsi="仿宋_GB2312" w:cs="仿宋_GB2312" w:eastAsia="仿宋_GB2312"/>
                            <w:sz w:val="21"/>
                          </w:rPr>
                          <w:t xml:space="preserve"> </w:t>
                        </w:r>
                        <w:r>
                          <w:rPr>
                            <w:rFonts w:ascii="仿宋_GB2312" w:hAnsi="仿宋_GB2312" w:cs="仿宋_GB2312" w:eastAsia="仿宋_GB2312"/>
                            <w:sz w:val="20"/>
                          </w:rPr>
                          <w:t>起决定性作用的是党性</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纵深推进正风肃纪反腐</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绘就新时代乡村振兴美丽画卷</w:t>
                        </w:r>
                        <w:r>
                          <w:rPr>
                            <w:rFonts w:ascii="仿宋_GB2312" w:hAnsi="仿宋_GB2312" w:cs="仿宋_GB2312" w:eastAsia="仿宋_GB2312"/>
                            <w:sz w:val="20"/>
                          </w:rPr>
                          <w:t>——学习浙江“千万工程”经验</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中国县域经济发展实践</w:t>
                        </w:r>
                        <w:r>
                          <w:rPr>
                            <w:rFonts w:ascii="仿宋_GB2312" w:hAnsi="仿宋_GB2312" w:cs="仿宋_GB2312" w:eastAsia="仿宋_GB2312"/>
                            <w:sz w:val="20"/>
                          </w:rPr>
                          <w:t>——学习“晋江经验”</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坚持不懈用新时代中国特色社会主义思想固本培元、凝心铸魂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学习贯彻关于加强党的作风建设的重要论述和中央八项规定精神</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深入学习领会在中央城市工作会议上的重要讲话精神</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榜样力量引领：悟初心</w:t>
                        </w:r>
                        <w:r>
                          <w:rPr>
                            <w:rFonts w:ascii="仿宋_GB2312" w:hAnsi="仿宋_GB2312" w:cs="仿宋_GB2312" w:eastAsia="仿宋_GB2312"/>
                            <w:sz w:val="20"/>
                          </w:rPr>
                          <w:t>践使命</w:t>
                        </w:r>
                        <w:r>
                          <w:rPr>
                            <w:rFonts w:ascii="仿宋_GB2312" w:hAnsi="仿宋_GB2312" w:cs="仿宋_GB2312" w:eastAsia="仿宋_GB2312"/>
                            <w:sz w:val="20"/>
                          </w:rPr>
                          <w:t>敢担当</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深刻理解和把握正确政绩观的内涵与实践要求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坚持高质量发展是领导干部政绩观的重要内容</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以钉钉子精神抓工作落实</w:t>
                        </w:r>
                        <w:r>
                          <w:rPr>
                            <w:rFonts w:ascii="仿宋_GB2312" w:hAnsi="仿宋_GB2312" w:cs="仿宋_GB2312" w:eastAsia="仿宋_GB2312"/>
                            <w:sz w:val="20"/>
                          </w:rPr>
                          <w:t>一张蓝图绘到底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以担当实干创造实绩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把抓好党建作为最大的政绩</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坚持正确用人导向</w:t>
                        </w:r>
                        <w:r>
                          <w:rPr>
                            <w:rFonts w:ascii="仿宋_GB2312" w:hAnsi="仿宋_GB2312" w:cs="仿宋_GB2312" w:eastAsia="仿宋_GB2312"/>
                            <w:sz w:val="20"/>
                          </w:rPr>
                          <w:t>完善干部考核评价机制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树立和践行造福人民的政绩观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抓纪律促担当</w:t>
                        </w:r>
                        <w:r>
                          <w:rPr>
                            <w:rFonts w:ascii="仿宋_GB2312" w:hAnsi="仿宋_GB2312" w:cs="仿宋_GB2312" w:eastAsia="仿宋_GB2312"/>
                            <w:sz w:val="20"/>
                          </w:rPr>
                          <w:t>树牢正确政绩观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健全有效防范和纠治政绩观偏差工作机制</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树立和践行正确政绩观</w:t>
                        </w:r>
                        <w:r>
                          <w:rPr>
                            <w:rFonts w:ascii="仿宋_GB2312" w:hAnsi="仿宋_GB2312" w:cs="仿宋_GB2312" w:eastAsia="仿宋_GB2312"/>
                            <w:sz w:val="20"/>
                          </w:rPr>
                          <w:t>起决定性作用的是党性</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认真学习关于树立和践行正确政绩观的重要论述</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关于防范风险挑战、应对突发事件的重要论述</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增强忧患意识</w:t>
                        </w:r>
                        <w:r>
                          <w:rPr>
                            <w:rFonts w:ascii="仿宋_GB2312" w:hAnsi="仿宋_GB2312" w:cs="仿宋_GB2312" w:eastAsia="仿宋_GB2312"/>
                            <w:sz w:val="20"/>
                          </w:rPr>
                          <w:t>坚持底线思维</w:t>
                        </w:r>
                        <w:r>
                          <w:rPr>
                            <w:rFonts w:ascii="仿宋_GB2312" w:hAnsi="仿宋_GB2312" w:cs="仿宋_GB2312" w:eastAsia="仿宋_GB2312"/>
                            <w:sz w:val="20"/>
                          </w:rPr>
                          <w:t>全面提升锻造领导干部应急处突能力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城乡社会风险监测、预警与治理</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走好新时代党的群众路线</w:t>
                        </w:r>
                        <w:r>
                          <w:rPr>
                            <w:rFonts w:ascii="仿宋_GB2312" w:hAnsi="仿宋_GB2312" w:cs="仿宋_GB2312" w:eastAsia="仿宋_GB2312"/>
                            <w:sz w:val="20"/>
                          </w:rPr>
                          <w:t>——传承弘扬“四下基层”优良作风</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关于社会工作的重要论述</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经济工作必须统筹好几对重要关系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以改革创新提振消费</w:t>
                        </w:r>
                        <w:r>
                          <w:rPr>
                            <w:rFonts w:ascii="仿宋_GB2312" w:hAnsi="仿宋_GB2312" w:cs="仿宋_GB2312" w:eastAsia="仿宋_GB2312"/>
                            <w:sz w:val="20"/>
                          </w:rPr>
                          <w:t>为高质量发展注入强大内生动力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科技创新推动产业创新</w:t>
                        </w:r>
                        <w:r>
                          <w:rPr>
                            <w:rFonts w:ascii="仿宋_GB2312" w:hAnsi="仿宋_GB2312" w:cs="仿宋_GB2312" w:eastAsia="仿宋_GB2312"/>
                            <w:sz w:val="20"/>
                          </w:rPr>
                          <w:t>加快发展新质生产力</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多措并举</w:t>
                        </w:r>
                        <w:r>
                          <w:rPr>
                            <w:rFonts w:ascii="仿宋_GB2312" w:hAnsi="仿宋_GB2312" w:cs="仿宋_GB2312" w:eastAsia="仿宋_GB2312"/>
                            <w:sz w:val="20"/>
                          </w:rPr>
                          <w:t>打造自主可控、安全可靠、竞争力强的现代化产业体系</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加快新兴产业发展和未来产业培育</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稳步推进制度型开放</w:t>
                        </w:r>
                        <w:r>
                          <w:rPr>
                            <w:rFonts w:ascii="仿宋_GB2312" w:hAnsi="仿宋_GB2312" w:cs="仿宋_GB2312" w:eastAsia="仿宋_GB2312"/>
                            <w:sz w:val="20"/>
                          </w:rPr>
                          <w:t>打造开放包容的国际化营商环境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建设一流营商环境</w:t>
                        </w:r>
                        <w:r>
                          <w:rPr>
                            <w:rFonts w:ascii="仿宋_GB2312" w:hAnsi="仿宋_GB2312" w:cs="仿宋_GB2312" w:eastAsia="仿宋_GB2312"/>
                            <w:sz w:val="20"/>
                          </w:rPr>
                          <w:t>吸引高质量外资</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完善强农惠农富农支持制度的理论逻辑与实践路径</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区域协同发展</w:t>
                        </w:r>
                        <w:r>
                          <w:rPr>
                            <w:rFonts w:ascii="仿宋_GB2312" w:hAnsi="仿宋_GB2312" w:cs="仿宋_GB2312" w:eastAsia="仿宋_GB2312"/>
                            <w:sz w:val="20"/>
                          </w:rPr>
                          <w:t>迈向共同富裕</w:t>
                        </w:r>
                        <w:r>
                          <w:rPr>
                            <w:rFonts w:ascii="仿宋_GB2312" w:hAnsi="仿宋_GB2312" w:cs="仿宋_GB2312" w:eastAsia="仿宋_GB2312"/>
                            <w:sz w:val="20"/>
                          </w:rPr>
                          <w:t>——闽宁对口扶贫协作的经验与启示</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绿水青山就是金山银山</w:t>
                        </w:r>
                        <w:r>
                          <w:rPr>
                            <w:rFonts w:ascii="仿宋_GB2312" w:hAnsi="仿宋_GB2312" w:cs="仿宋_GB2312" w:eastAsia="仿宋_GB2312"/>
                            <w:sz w:val="20"/>
                          </w:rPr>
                          <w:t>——浙江安吉余村实践</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把最好的精神食粮奉献给人民</w:t>
                        </w:r>
                        <w:r>
                          <w:rPr>
                            <w:rFonts w:ascii="仿宋_GB2312" w:hAnsi="仿宋_GB2312" w:cs="仿宋_GB2312" w:eastAsia="仿宋_GB2312"/>
                            <w:sz w:val="20"/>
                          </w:rPr>
                          <w:t>——关于坚持以人民为中心的工作导向</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聚焦提高人民生活品质</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构建高水平社会主义市场经济体制面临的新形势、新要求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坚定不移实施扩大内需战略</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深化农村土地制度改革</w:t>
                        </w:r>
                        <w:r>
                          <w:rPr>
                            <w:rFonts w:ascii="仿宋_GB2312" w:hAnsi="仿宋_GB2312" w:cs="仿宋_GB2312" w:eastAsia="仿宋_GB2312"/>
                            <w:sz w:val="20"/>
                          </w:rPr>
                          <w:t>切实保障农民土地权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第六代移动通信系列微课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生物制造系列微课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量子科技系列微课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脑机接口系列微课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氢能与核聚变能系列微课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具身智能系列微课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新时代突发事件应急管理理论与实践</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三秦大讲堂</w:t>
                        </w:r>
                        <w:r>
                          <w:rPr>
                            <w:rFonts w:ascii="仿宋_GB2312" w:hAnsi="仿宋_GB2312" w:cs="仿宋_GB2312" w:eastAsia="仿宋_GB2312"/>
                            <w:sz w:val="20"/>
                          </w:rPr>
                          <w:t>(3门）</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生态文明建设与中国能源转型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中国新能源汽车革命</w:t>
                        </w:r>
                        <w:r>
                          <w:rPr>
                            <w:rFonts w:ascii="仿宋_GB2312" w:hAnsi="仿宋_GB2312" w:cs="仿宋_GB2312" w:eastAsia="仿宋_GB2312"/>
                            <w:sz w:val="20"/>
                          </w:rPr>
                          <w:t>——动力电动化、整车智能化、能源低碳化</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助力微纳米技术发展</w:t>
                        </w:r>
                        <w:r>
                          <w:rPr>
                            <w:rFonts w:ascii="仿宋_GB2312" w:hAnsi="仿宋_GB2312" w:cs="仿宋_GB2312" w:eastAsia="仿宋_GB2312"/>
                            <w:sz w:val="20"/>
                          </w:rPr>
                          <w:t>服务创新型国家建设</w:t>
                        </w:r>
                        <w:r>
                          <w:rPr>
                            <w:rFonts w:ascii="仿宋_GB2312" w:hAnsi="仿宋_GB2312" w:cs="仿宋_GB2312" w:eastAsia="仿宋_GB2312"/>
                            <w:sz w:val="20"/>
                          </w:rPr>
                          <w:t>——芯片与微纳米技术</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中国煤矿开采地质保障系统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低空经济助力地方经济智能化转型与高质量发展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先进纳米材料与技术赋能现代化产业体系建设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新型显示产业的科技创新</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飞机结构寿命可靠性与保障飞行安全及对策</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基于纳米发电机的智慧能源与传感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面向生命健康的智能生物分析化学</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中国实现碳中和的路径与优化</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AI时代的数字化转型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数字中国背景下的智慧消防建设</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数据安全发展现状与建议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标准助推创新发展</w:t>
                        </w:r>
                        <w:r>
                          <w:rPr>
                            <w:rFonts w:ascii="仿宋_GB2312" w:hAnsi="仿宋_GB2312" w:cs="仿宋_GB2312" w:eastAsia="仿宋_GB2312"/>
                            <w:sz w:val="20"/>
                          </w:rPr>
                          <w:t>标准引领时代进步</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地球史话</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太阳：前沿科学的实验室</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现代分子生物学与生物技术进展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有机光伏：从跟随到引领</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标准助推创新发展</w:t>
                        </w:r>
                        <w:r>
                          <w:rPr>
                            <w:rFonts w:ascii="仿宋_GB2312" w:hAnsi="仿宋_GB2312" w:cs="仿宋_GB2312" w:eastAsia="仿宋_GB2312"/>
                            <w:sz w:val="20"/>
                          </w:rPr>
                          <w:t>标准引领时代进步</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科技创新支撑煤炭行业高质量发展</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1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备注：所提供的课程资源播放流畅，画质清晰，满足课程名称、学时的要求，提供课程的主讲人姓名、职务或职称、学时等信息。</w:t>
                        </w:r>
                      </w:p>
                      <w:p>
                        <w:pPr>
                          <w:pStyle w:val="null3"/>
                          <w:jc w:val="left"/>
                        </w:pPr>
                        <w:r>
                          <w:rPr>
                            <w:rFonts w:ascii="仿宋_GB2312" w:hAnsi="仿宋_GB2312" w:cs="仿宋_GB2312" w:eastAsia="仿宋_GB2312"/>
                            <w:sz w:val="20"/>
                          </w:rPr>
                          <w:t>以上要求为实质性要求，必须满足，未按要求提供的，按无效文件处理。</w:t>
                        </w:r>
                      </w:p>
                    </w:tc>
                  </w:tr>
                </w:tbl>
                <w:p>
                  <w:pPr>
                    <w:pStyle w:val="null3"/>
                    <w:ind w:firstLine="402"/>
                    <w:jc w:val="both"/>
                  </w:pPr>
                  <w:r>
                    <w:rPr>
                      <w:rFonts w:ascii="仿宋_GB2312" w:hAnsi="仿宋_GB2312" w:cs="仿宋_GB2312" w:eastAsia="仿宋_GB2312"/>
                      <w:sz w:val="20"/>
                      <w:b/>
                    </w:rPr>
                    <w:t>2.党建</w:t>
                  </w:r>
                  <w:r>
                    <w:rPr>
                      <w:rFonts w:ascii="仿宋_GB2312" w:hAnsi="仿宋_GB2312" w:cs="仿宋_GB2312" w:eastAsia="仿宋_GB2312"/>
                      <w:sz w:val="20"/>
                      <w:b/>
                    </w:rPr>
                    <w:t>数据仓</w:t>
                  </w:r>
                  <w:r>
                    <w:rPr>
                      <w:rFonts w:ascii="仿宋_GB2312" w:hAnsi="仿宋_GB2312" w:cs="仿宋_GB2312" w:eastAsia="仿宋_GB2312"/>
                      <w:sz w:val="20"/>
                      <w:b/>
                    </w:rPr>
                    <w:t>库</w:t>
                  </w:r>
                </w:p>
                <w:p>
                  <w:pPr>
                    <w:pStyle w:val="null3"/>
                    <w:ind w:firstLine="400"/>
                    <w:jc w:val="both"/>
                  </w:pPr>
                  <w:r>
                    <w:rPr>
                      <w:rFonts w:ascii="仿宋_GB2312" w:hAnsi="仿宋_GB2312" w:cs="仿宋_GB2312" w:eastAsia="仿宋_GB2312"/>
                      <w:sz w:val="20"/>
                    </w:rPr>
                    <w:t>党建数据仓库需融合各类党建资源，建立立体化党建数据仓库，汇聚权威党建课程、红色资源与理论素材，提供体系化、沉浸式学习服务。可依托大数据技术构建党建知识图谱，搭载完善的智能检索体系，支持多模式、多维度精准检索及语义扩展、智能文献关联功能，配套</w:t>
                  </w:r>
                  <w:r>
                    <w:rPr>
                      <w:rFonts w:ascii="仿宋_GB2312" w:hAnsi="仿宋_GB2312" w:cs="仿宋_GB2312" w:eastAsia="仿宋_GB2312"/>
                      <w:sz w:val="20"/>
                    </w:rPr>
                    <w:t>AI党建助手，提供智能问答、原著研读、期刊查阅等便捷服务。</w:t>
                  </w:r>
                </w:p>
                <w:p>
                  <w:pPr>
                    <w:pStyle w:val="null3"/>
                    <w:ind w:firstLine="400"/>
                    <w:jc w:val="both"/>
                  </w:pPr>
                  <w:r>
                    <w:rPr>
                      <w:rFonts w:ascii="仿宋_GB2312" w:hAnsi="仿宋_GB2312" w:cs="仿宋_GB2312" w:eastAsia="仿宋_GB2312"/>
                      <w:sz w:val="20"/>
                    </w:rPr>
                    <w:t>党建数据仓库整合党建相关党政类期刊达到</w:t>
                  </w:r>
                  <w:r>
                    <w:rPr>
                      <w:rFonts w:ascii="仿宋_GB2312" w:hAnsi="仿宋_GB2312" w:cs="仿宋_GB2312" w:eastAsia="仿宋_GB2312"/>
                      <w:sz w:val="20"/>
                    </w:rPr>
                    <w:t>200余种左右、综合性期刊5000余门左右、国内党报200余种左右、200余个学会/协会的重要会议论文等。各类期刊、学位论文、会议文献及党报资源等文献达到千万级，引入中央党校权威视频，精选党建研究文献并实现音文关联；支持 CAJ/PDF 下载及在线阅读，资源每日更新。版权要求所有收录内容100% 保障合法版权。</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服务</w:t>
                  </w:r>
                  <w:r>
                    <w:rPr>
                      <w:rFonts w:ascii="仿宋_GB2312" w:hAnsi="仿宋_GB2312" w:cs="仿宋_GB2312" w:eastAsia="仿宋_GB2312"/>
                      <w:sz w:val="20"/>
                      <w:b/>
                    </w:rPr>
                    <w:t>要求：</w:t>
                  </w:r>
                </w:p>
                <w:p>
                  <w:pPr>
                    <w:pStyle w:val="null3"/>
                    <w:ind w:firstLine="420"/>
                  </w:pPr>
                  <w:r>
                    <w:rPr>
                      <w:rFonts w:ascii="仿宋_GB2312" w:hAnsi="仿宋_GB2312" w:cs="仿宋_GB2312" w:eastAsia="仿宋_GB2312"/>
                      <w:sz w:val="19"/>
                    </w:rPr>
                    <w:t>1.服务商出版更新的课程需超过600课时，课程规划合理，符合《全国干部教育培训规划(2023-2027年)》等相关政策要求，内容包含理论教育、党性教育、专业化能力、综合知识、企业管理且体系内容符合干部学习培训的需要。(需提供202</w:t>
                  </w:r>
                  <w:r>
                    <w:rPr>
                      <w:rFonts w:ascii="仿宋_GB2312" w:hAnsi="仿宋_GB2312" w:cs="仿宋_GB2312" w:eastAsia="仿宋_GB2312"/>
                      <w:sz w:val="19"/>
                    </w:rPr>
                    <w:t>6</w:t>
                  </w:r>
                  <w:r>
                    <w:rPr>
                      <w:rFonts w:ascii="仿宋_GB2312" w:hAnsi="仿宋_GB2312" w:cs="仿宋_GB2312" w:eastAsia="仿宋_GB2312"/>
                      <w:sz w:val="19"/>
                    </w:rPr>
                    <w:t>年度干部教育课程详细开发规划表</w:t>
                  </w:r>
                  <w:r>
                    <w:rPr>
                      <w:rFonts w:ascii="仿宋_GB2312" w:hAnsi="仿宋_GB2312" w:cs="仿宋_GB2312" w:eastAsia="仿宋_GB2312"/>
                      <w:sz w:val="19"/>
                    </w:rPr>
                    <w:t>)</w:t>
                  </w:r>
                  <w:r>
                    <w:rPr>
                      <w:rFonts w:ascii="仿宋_GB2312" w:hAnsi="仿宋_GB2312" w:cs="仿宋_GB2312" w:eastAsia="仿宋_GB2312"/>
                      <w:sz w:val="19"/>
                    </w:rPr>
                    <w:t>;</w:t>
                  </w:r>
                </w:p>
                <w:p>
                  <w:pPr>
                    <w:pStyle w:val="null3"/>
                    <w:ind w:firstLine="420"/>
                  </w:pPr>
                  <w:r>
                    <w:rPr>
                      <w:rFonts w:ascii="仿宋_GB2312" w:hAnsi="仿宋_GB2312" w:cs="仿宋_GB2312" w:eastAsia="仿宋_GB2312"/>
                      <w:sz w:val="19"/>
                    </w:rPr>
                    <w:t>2.服务商所投课程的师资来源需为国家党政机关、中央党校、知名高校、研究机构等党建领域的知名专家、教授、学者。服务商所提供的课件须为自主版权，或课程厂商为此项目的单独授权文件。服务商提供授课教师签订的所投课程书面授权书达到30人及以上</w:t>
                  </w:r>
                  <w:r>
                    <w:rPr>
                      <w:rFonts w:ascii="仿宋_GB2312" w:hAnsi="仿宋_GB2312" w:cs="仿宋_GB2312" w:eastAsia="仿宋_GB2312"/>
                      <w:sz w:val="19"/>
                    </w:rPr>
                    <w:t>;</w:t>
                  </w:r>
                </w:p>
                <w:p>
                  <w:pPr>
                    <w:pStyle w:val="null3"/>
                    <w:spacing w:before="60" w:after="60"/>
                    <w:ind w:firstLine="400"/>
                    <w:jc w:val="both"/>
                  </w:pPr>
                  <w:r>
                    <w:rPr>
                      <w:rFonts w:ascii="仿宋_GB2312" w:hAnsi="仿宋_GB2312" w:cs="仿宋_GB2312" w:eastAsia="仿宋_GB2312"/>
                      <w:sz w:val="19"/>
                    </w:rPr>
                    <w:t>3.服务商具有专业课程开发团队，有丰富的课程开发案例。人员配备充分齐全，结构合理，专业性强，职责分工明确，为权威机构、政府部门、大型企业定制化开发过课程。</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一年内课程出现任何问题，乙方应及时维护。乙方未按甲方要求维护的，甲方有权聘请第三方进行维护，由此产生的费用由乙方承担。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完成采购需求要求的各项内容，达到验收标准。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验收通过且收到乙方开具的发票之日起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1.乙方对其所售产品提供验收合格后1年内维护等服务。 2.服务响应时限:7*24小时服务。 3.派专人提供售后服务。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课程建设方案</w:t>
            </w:r>
          </w:p>
        </w:tc>
        <w:tc>
          <w:tcPr>
            <w:tcW w:type="dxa" w:w="2492"/>
          </w:tcPr>
          <w:p>
            <w:pPr>
              <w:pStyle w:val="null3"/>
            </w:pPr>
            <w:r>
              <w:rPr>
                <w:rFonts w:ascii="仿宋_GB2312" w:hAnsi="仿宋_GB2312" w:cs="仿宋_GB2312" w:eastAsia="仿宋_GB2312"/>
              </w:rPr>
              <w:t>一、评审内容：根据供应商的提供的课程建设方案，包括： ①服务总体方案 ②课程拍摄方案（拍摄场地、搭建场景、拍摄的方式、拍摄过程安排） ③慕课、优质课程及高端自建课程认定标准 二、评审标准： 1、完整性：方案必须全面，对评审内容中的各项要求有详细描述； 2、可实施性：切合本项目实际情况，提出步骤清晰、合理的方案； 3、针对性：方案能够紧扣项目实际情况，内容科学合理。 三、赋分标准（满分9分） ①服务总体方案：每完全满足一个评审标准得1分，满分3分； ②课程拍摄方案:每完全满足一个评审标准得1分，满分3分； ③慕课、优质课程及高端自建课程认定标准：服务总体方案：每完全满足一个评审标准得1分，满分3分；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课程设计方案</w:t>
            </w:r>
          </w:p>
        </w:tc>
        <w:tc>
          <w:tcPr>
            <w:tcW w:type="dxa" w:w="2492"/>
          </w:tcPr>
          <w:p>
            <w:pPr>
              <w:pStyle w:val="null3"/>
            </w:pPr>
            <w:r>
              <w:rPr>
                <w:rFonts w:ascii="仿宋_GB2312" w:hAnsi="仿宋_GB2312" w:cs="仿宋_GB2312" w:eastAsia="仿宋_GB2312"/>
              </w:rPr>
              <w:t>一、评审内容：根据供应商的提供的课程设计方案，包括： ①课程背景及目标 ②课程规划方案（根据供应商年出版更新的网络课程需超过600课时，提供详尽的课程开发规划体系，包含理论教育、党性教育、专业化能力、综合知识、企业管理且体系内容符合干部学习培训的需要。（注：提供2026年度的课程详细开发规划表））③内容框架及考核方式 二、评审标准： 1、完整性：方案必须全面，对评审内容中的各项要求有详细描述； 2、可实施性：切合本项目实际情况，提出步骤清晰、合理的方案； 3、针对性：方案能够紧扣项目实际情况，内容科学合理。 三、赋分标准（满分9分） ①课程背景及目标：每完全满足一个评审标准得1分，满分3分； ②学时分配计划：每完全满足一个评审标准得1分，满分3分； ③内容框架及考核方式：每完全满足一个评审标准得1分，满分3分；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版权承诺</w:t>
            </w:r>
          </w:p>
        </w:tc>
        <w:tc>
          <w:tcPr>
            <w:tcW w:type="dxa" w:w="2492"/>
          </w:tcPr>
          <w:p>
            <w:pPr>
              <w:pStyle w:val="null3"/>
            </w:pPr>
            <w:r>
              <w:rPr>
                <w:rFonts w:ascii="仿宋_GB2312" w:hAnsi="仿宋_GB2312" w:cs="仿宋_GB2312" w:eastAsia="仿宋_GB2312"/>
              </w:rPr>
              <w:t>提供所投的课程资源保证书承诺（承诺内容包括但不限于所投课程的版权没有瑕疵、能够按期交付采购方验收使用），满足上述要求的得5分；未提供不得分；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创作团队人员</w:t>
            </w:r>
          </w:p>
        </w:tc>
        <w:tc>
          <w:tcPr>
            <w:tcW w:type="dxa" w:w="2492"/>
          </w:tcPr>
          <w:p>
            <w:pPr>
              <w:pStyle w:val="null3"/>
            </w:pPr>
            <w:r>
              <w:rPr>
                <w:rFonts w:ascii="仿宋_GB2312" w:hAnsi="仿宋_GB2312" w:cs="仿宋_GB2312" w:eastAsia="仿宋_GB2312"/>
              </w:rPr>
              <w:t>拟投入的课程制作项目团队人员具备副高及以上职称证书或国家广播电视总局颁发的网络信息审核员岗位证书的，每提供一个证书得 1分，最多得5分，不提供不得分。 备注：以上人员需提供身份证、毕业证、职称证及拟派人员在本单位缴纳的社保证明，提供不全或未提供不得分。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服务商所投课程的师资来源需为国家党政机关、中央党校、知名高校、研究机构等党建领域的知名专家、教授、学者。服务商所提供的课件须为自主版权，或课程厂商为此项目的单独授权文件。服务商提供授课教师签订的所投课程书面授权书，达到25人（含）及以上得15分；24-20人（含）的得10分；19-15人（含）得5分；15人以下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项目质量控制方案</w:t>
            </w:r>
          </w:p>
        </w:tc>
        <w:tc>
          <w:tcPr>
            <w:tcW w:type="dxa" w:w="2492"/>
          </w:tcPr>
          <w:p>
            <w:pPr>
              <w:pStyle w:val="null3"/>
            </w:pPr>
            <w:r>
              <w:rPr>
                <w:rFonts w:ascii="仿宋_GB2312" w:hAnsi="仿宋_GB2312" w:cs="仿宋_GB2312" w:eastAsia="仿宋_GB2312"/>
              </w:rPr>
              <w:t>一、评审内容：根据供应商的提供的项目质量控制方案，包括： ①在线课程制作过程质量控制的方法措施 ②交付和售后服务质量控制 ③课程开发、制作及上线周期安排 二、评审标准： 1、完整性：方案必须全面，对评审内容中的各项要求有详细描述； 2、可实施性：切合本项目实际情况，提出步骤清晰、合理的方案； 3、针对性：方案能够紧扣项目实际情况，内容科学合理。 三、赋分标准（满分9分） ①在线课程制作过程质量控制的方法措施：每完全满足一个评审标准得1分，满分3分； ②交付和售后服务质量控制：每完全满足一个评审标准得1分，满分3分； ③课程开发、制作及上线周期安排：每完全满足一个评审标准得1分，满分3分；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根据供应商提供的售后服务方案，包括： ①后期维护管理方案 ②运行推广及后期课程修改完善等 二、评审标准： 1、完整性：方案必须全面，对评审内容中的各项要求有详细描述； 2、可实施性：切合本项目实际情况，提出步骤清晰、合理的方案； 3、针对性：方案能够紧扣项目实际情况，内容科学合理。 三、赋分标准（满分6分） ①后期维护管理：每完全满足一个评审标准得1分，满分3分； ②运行推广及后期课程修改完善等：每完全满足一个评审标准得1分，满分3分；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供应商针对本项目提出的合理化建议，包括： ①针对本项目服务方案提出的合理化建议 ②对可能存在的问题的预判及解决方案 二、评审标准： 1、完整性：方案必须全面，对评审内容中的各项要求有详细描述； 2、可实施性：切合本项目实际情况，提出步骤清晰、合理的方案； 3、针对性：方案能够紧扣项目实际情况，内容科学合理。 三、赋分标准（满分6分） ①合理化建议：每完全满足一个评审标准得1分，满分3分； ②对可能存在的问题的预判及解决方案：每完全满足一个评审标准得1分，满分3分；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一、评审内容：针对采购需求提出适用于本项目的管理措施方案，方案包括： ①上线运行指导 ②拟制教员培训实施方案 二、评审标准： 1、完整性：方案必须全面，对评审内容中的各项要求有详细描述； 2、可实施性：切合本项目实际情况，提出步骤清晰、合理的方案； 3、针对性：方案能够紧扣项目实际情况，内容科学合理。 三、赋分标准（满分6分） ①上线运行指导：每完全满足一个评审标准得1分，满分3分； ②拟制教员培训实施方案：每完全满足一个评审标准得1分，满分3分；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供应商提供近三年具有类似采购业绩(2023年1月至今)，每提供一份得2分，最多得10分。 注，提供合同复印件。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满足磋商文件要求且最后报价最低的供应商的价格为磋商基准价得20分，其他各供应商的最后磋商报价得分按下列公式计算：（磋商基准价/最后磋商报价）×20%×100。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