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D2023">
      <w:pPr>
        <w:tabs>
          <w:tab w:val="left" w:pos="840"/>
        </w:tabs>
        <w:kinsoku w:val="0"/>
        <w:jc w:val="center"/>
        <w:rPr>
          <w:rFonts w:hint="default" w:ascii="宋体" w:hAnsi="宋体"/>
          <w:b/>
          <w:color w:val="000000"/>
          <w:sz w:val="44"/>
          <w:szCs w:val="44"/>
          <w:highlight w:val="none"/>
          <w:u w:val="none"/>
          <w:lang w:val="en-US" w:eastAsia="zh-CN"/>
        </w:rPr>
      </w:pPr>
      <w:r>
        <w:rPr>
          <w:rFonts w:hint="default" w:ascii="宋体" w:hAnsi="宋体"/>
          <w:b/>
          <w:color w:val="000000"/>
          <w:sz w:val="44"/>
          <w:szCs w:val="44"/>
          <w:highlight w:val="none"/>
          <w:u w:val="none"/>
          <w:lang w:val="en-US" w:eastAsia="zh-CN"/>
        </w:rPr>
        <w:t xml:space="preserve">2026-2027学年名校+合作办学服务项目 </w:t>
      </w:r>
    </w:p>
    <w:p w14:paraId="7B2F365A">
      <w:pPr>
        <w:tabs>
          <w:tab w:val="left" w:pos="840"/>
        </w:tabs>
        <w:kinsoku w:val="0"/>
        <w:jc w:val="center"/>
        <w:rPr>
          <w:rFonts w:ascii="宋体" w:hAnsi="宋体"/>
          <w:color w:val="000000"/>
          <w:sz w:val="44"/>
          <w:szCs w:val="44"/>
          <w:highlight w:val="none"/>
          <w:u w:val="none"/>
        </w:rPr>
      </w:pPr>
      <w:r>
        <w:rPr>
          <w:rFonts w:ascii="宋体" w:hAnsi="宋体"/>
          <w:b/>
          <w:color w:val="000000"/>
          <w:sz w:val="44"/>
          <w:szCs w:val="44"/>
          <w:highlight w:val="none"/>
          <w:u w:val="none"/>
        </w:rPr>
        <w:t>合同</w:t>
      </w:r>
    </w:p>
    <w:p w14:paraId="247C66A8">
      <w:pPr>
        <w:tabs>
          <w:tab w:val="left" w:pos="840"/>
        </w:tabs>
        <w:kinsoku w:val="0"/>
        <w:jc w:val="center"/>
        <w:rPr>
          <w:rFonts w:hint="eastAsia" w:ascii="宋体" w:hAnsi="宋体" w:eastAsia="宋体"/>
          <w:color w:val="000000"/>
          <w:sz w:val="24"/>
          <w:szCs w:val="32"/>
          <w:highlight w:val="none"/>
          <w:lang w:eastAsia="zh-CN"/>
        </w:rPr>
      </w:pPr>
      <w:r>
        <w:rPr>
          <w:rFonts w:hint="eastAsia" w:ascii="宋体" w:hAnsi="宋体"/>
          <w:color w:val="000000"/>
          <w:sz w:val="24"/>
          <w:szCs w:val="32"/>
          <w:highlight w:val="none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32"/>
          <w:highlight w:val="none"/>
          <w:lang w:val="en-US" w:eastAsia="zh-CN"/>
        </w:rPr>
        <w:t>仅供参考具体内容以双方最终签订的合同为准</w:t>
      </w:r>
      <w:r>
        <w:rPr>
          <w:rFonts w:hint="eastAsia" w:ascii="宋体" w:hAnsi="宋体"/>
          <w:color w:val="000000"/>
          <w:sz w:val="24"/>
          <w:szCs w:val="32"/>
          <w:highlight w:val="none"/>
          <w:lang w:eastAsia="zh-CN"/>
        </w:rPr>
        <w:t>）</w:t>
      </w:r>
    </w:p>
    <w:p w14:paraId="05EA7847">
      <w:pPr>
        <w:tabs>
          <w:tab w:val="left" w:pos="840"/>
        </w:tabs>
        <w:kinsoku w:val="0"/>
        <w:rPr>
          <w:rFonts w:ascii="宋体" w:hAnsi="宋体"/>
          <w:color w:val="000000"/>
          <w:highlight w:val="none"/>
        </w:rPr>
      </w:pPr>
      <w:r>
        <w:rPr>
          <w:rFonts w:ascii="宋体" w:hAnsi="宋体"/>
          <w:color w:val="000000"/>
          <w:highlight w:val="none"/>
        </w:rPr>
        <w:t xml:space="preserve"> </w:t>
      </w:r>
    </w:p>
    <w:p w14:paraId="184FF531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596CDD08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  <w:bookmarkStart w:id="0" w:name="_GoBack"/>
      <w:bookmarkEnd w:id="0"/>
    </w:p>
    <w:p w14:paraId="1B7F8460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4FC68F33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3AA009CA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2E94A3CB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57626714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748B5C5F">
      <w:pPr>
        <w:tabs>
          <w:tab w:val="left" w:pos="840"/>
        </w:tabs>
        <w:kinsoku w:val="0"/>
        <w:rPr>
          <w:rFonts w:hint="eastAsia" w:ascii="宋体" w:hAnsi="宋体"/>
          <w:color w:val="000000"/>
          <w:highlight w:val="none"/>
        </w:rPr>
      </w:pPr>
    </w:p>
    <w:p w14:paraId="4364EE2B">
      <w:pPr>
        <w:tabs>
          <w:tab w:val="left" w:pos="840"/>
        </w:tabs>
        <w:kinsoku w:val="0"/>
        <w:rPr>
          <w:rFonts w:ascii="宋体" w:hAnsi="宋体"/>
          <w:color w:val="000000"/>
          <w:highlight w:val="none"/>
        </w:rPr>
      </w:pPr>
      <w:r>
        <w:rPr>
          <w:rFonts w:ascii="宋体" w:hAnsi="宋体"/>
          <w:color w:val="000000"/>
          <w:highlight w:val="none"/>
        </w:rPr>
        <w:t xml:space="preserve"> </w:t>
      </w:r>
    </w:p>
    <w:p w14:paraId="7597FB93">
      <w:pPr>
        <w:tabs>
          <w:tab w:val="left" w:pos="840"/>
        </w:tabs>
        <w:kinsoku w:val="0"/>
        <w:ind w:left="0" w:leftChars="0" w:firstLine="1890" w:firstLineChars="900"/>
        <w:jc w:val="both"/>
        <w:rPr>
          <w:rFonts w:ascii="宋体" w:hAnsi="宋体"/>
          <w:color w:val="000000"/>
          <w:sz w:val="32"/>
          <w:szCs w:val="32"/>
          <w:highlight w:val="none"/>
        </w:rPr>
      </w:pPr>
      <w:r>
        <w:rPr>
          <w:rFonts w:ascii="宋体" w:hAnsi="宋体"/>
          <w:color w:val="000000"/>
          <w:highlight w:val="none"/>
        </w:rPr>
        <w:t xml:space="preserve"> </w:t>
      </w:r>
    </w:p>
    <w:p w14:paraId="42EC22CE">
      <w:pPr>
        <w:tabs>
          <w:tab w:val="left" w:pos="840"/>
        </w:tabs>
        <w:kinsoku w:val="0"/>
        <w:ind w:left="0" w:leftChars="0" w:firstLine="2880" w:firstLineChars="900"/>
        <w:jc w:val="both"/>
        <w:rPr>
          <w:rFonts w:ascii="宋体" w:hAnsi="宋体"/>
          <w:color w:val="000000"/>
          <w:sz w:val="32"/>
          <w:szCs w:val="32"/>
          <w:highlight w:val="none"/>
        </w:rPr>
      </w:pPr>
    </w:p>
    <w:p w14:paraId="65388493">
      <w:pPr>
        <w:pStyle w:val="2"/>
        <w:rPr>
          <w:color w:val="000000"/>
          <w:highlight w:val="none"/>
        </w:rPr>
      </w:pPr>
    </w:p>
    <w:p w14:paraId="00235532">
      <w:pPr>
        <w:tabs>
          <w:tab w:val="left" w:pos="840"/>
        </w:tabs>
        <w:kinsoku w:val="0"/>
        <w:ind w:left="0" w:leftChars="0" w:firstLine="2880" w:firstLineChars="900"/>
        <w:jc w:val="both"/>
        <w:rPr>
          <w:rFonts w:hint="default" w:ascii="宋体" w:hAnsi="宋体" w:eastAsia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ascii="宋体" w:hAnsi="宋体"/>
          <w:color w:val="000000"/>
          <w:sz w:val="32"/>
          <w:szCs w:val="32"/>
          <w:highlight w:val="none"/>
        </w:rPr>
        <w:t>甲 方：</w:t>
      </w:r>
      <w:r>
        <w:rPr>
          <w:rFonts w:hint="eastAsia" w:ascii="宋体" w:hAnsi="宋体"/>
          <w:color w:val="000000"/>
          <w:sz w:val="32"/>
          <w:szCs w:val="32"/>
          <w:highlight w:val="none"/>
          <w:lang w:val="en-US" w:eastAsia="zh-CN"/>
        </w:rPr>
        <w:t>铜川市第五中学</w:t>
      </w:r>
    </w:p>
    <w:p w14:paraId="57A7D76B">
      <w:pPr>
        <w:tabs>
          <w:tab w:val="left" w:pos="840"/>
        </w:tabs>
        <w:kinsoku w:val="0"/>
        <w:ind w:left="0" w:leftChars="0" w:firstLine="2880" w:firstLineChars="900"/>
        <w:rPr>
          <w:rFonts w:hint="eastAsia" w:ascii="宋体" w:hAnsi="宋体"/>
          <w:color w:val="000000"/>
          <w:sz w:val="32"/>
          <w:szCs w:val="32"/>
          <w:highlight w:val="none"/>
        </w:rPr>
      </w:pPr>
      <w:r>
        <w:rPr>
          <w:rFonts w:ascii="宋体" w:hAnsi="宋体"/>
          <w:color w:val="000000"/>
          <w:sz w:val="32"/>
          <w:szCs w:val="32"/>
          <w:highlight w:val="none"/>
        </w:rPr>
        <w:t>乙 方：</w:t>
      </w:r>
      <w:r>
        <w:rPr>
          <w:rFonts w:hint="eastAsia" w:ascii="宋体" w:hAnsi="宋体"/>
          <w:color w:val="000000"/>
          <w:sz w:val="32"/>
          <w:szCs w:val="32"/>
          <w:highlight w:val="none"/>
        </w:rPr>
        <w:t xml:space="preserve"> </w:t>
      </w:r>
    </w:p>
    <w:p w14:paraId="4D9B8385">
      <w:pPr>
        <w:tabs>
          <w:tab w:val="left" w:pos="840"/>
        </w:tabs>
        <w:kinsoku w:val="0"/>
        <w:rPr>
          <w:rFonts w:hint="eastAsia" w:ascii="宋体" w:hAnsi="宋体"/>
          <w:color w:val="000000"/>
          <w:sz w:val="32"/>
          <w:szCs w:val="32"/>
          <w:highlight w:val="none"/>
        </w:rPr>
      </w:pPr>
      <w:r>
        <w:rPr>
          <w:rFonts w:ascii="宋体" w:hAnsi="宋体"/>
          <w:color w:val="000000"/>
          <w:sz w:val="32"/>
          <w:szCs w:val="32"/>
          <w:highlight w:val="none"/>
        </w:rPr>
        <w:t xml:space="preserve"> </w:t>
      </w:r>
    </w:p>
    <w:p w14:paraId="550E9256">
      <w:pPr>
        <w:tabs>
          <w:tab w:val="left" w:pos="840"/>
        </w:tabs>
        <w:kinsoku w:val="0"/>
        <w:ind w:left="0" w:leftChars="0" w:firstLine="3920" w:firstLineChars="1225"/>
        <w:rPr>
          <w:rFonts w:hint="eastAsia" w:ascii="宋体" w:hAnsi="宋体"/>
          <w:color w:val="000000"/>
          <w:sz w:val="32"/>
          <w:szCs w:val="32"/>
          <w:highlight w:val="none"/>
        </w:rPr>
      </w:pPr>
      <w:r>
        <w:rPr>
          <w:rFonts w:ascii="宋体" w:hAnsi="宋体"/>
          <w:color w:val="000000"/>
          <w:sz w:val="32"/>
          <w:szCs w:val="32"/>
          <w:highlight w:val="none"/>
        </w:rPr>
        <w:t>年</w:t>
      </w:r>
      <w:r>
        <w:rPr>
          <w:rFonts w:hint="eastAsia" w:ascii="宋体" w:hAnsi="宋体"/>
          <w:color w:val="000000"/>
          <w:sz w:val="32"/>
          <w:szCs w:val="32"/>
          <w:highlight w:val="none"/>
        </w:rPr>
        <w:t xml:space="preserve"> </w:t>
      </w:r>
      <w:r>
        <w:rPr>
          <w:rFonts w:ascii="宋体" w:hAnsi="宋体"/>
          <w:color w:val="000000"/>
          <w:sz w:val="32"/>
          <w:szCs w:val="32"/>
          <w:highlight w:val="none"/>
        </w:rPr>
        <w:t xml:space="preserve"> 月</w:t>
      </w:r>
    </w:p>
    <w:p w14:paraId="5B343DEB">
      <w:pPr>
        <w:pStyle w:val="2"/>
        <w:rPr>
          <w:rFonts w:hint="eastAsia"/>
          <w:color w:val="000000"/>
          <w:highlight w:val="none"/>
        </w:rPr>
      </w:pPr>
    </w:p>
    <w:p w14:paraId="6C3BF020">
      <w:pPr>
        <w:tabs>
          <w:tab w:val="left" w:pos="840"/>
        </w:tabs>
        <w:kinsoku w:val="0"/>
        <w:jc w:val="center"/>
        <w:rPr>
          <w:rFonts w:ascii="宋体" w:hAnsi="宋体"/>
          <w:b/>
          <w:color w:val="000000"/>
          <w:sz w:val="32"/>
          <w:szCs w:val="32"/>
          <w:highlight w:val="none"/>
        </w:rPr>
        <w:sectPr>
          <w:footerReference r:id="rId5" w:type="default"/>
          <w:pgSz w:w="11906" w:h="16839"/>
          <w:pgMar w:top="1429" w:right="1701" w:bottom="1134" w:left="1785" w:header="0" w:footer="0" w:gutter="0"/>
          <w:cols w:space="0" w:num="1"/>
          <w:rtlGutter w:val="0"/>
          <w:docGrid w:linePitch="312" w:charSpace="0"/>
        </w:sectPr>
      </w:pPr>
    </w:p>
    <w:p w14:paraId="6A44AA54">
      <w:pPr>
        <w:tabs>
          <w:tab w:val="left" w:pos="840"/>
        </w:tabs>
        <w:kinsoku w:val="0"/>
        <w:jc w:val="center"/>
        <w:rPr>
          <w:rFonts w:ascii="宋体" w:hAnsi="宋体"/>
          <w:color w:val="000000"/>
          <w:sz w:val="32"/>
          <w:szCs w:val="32"/>
          <w:highlight w:val="none"/>
        </w:rPr>
      </w:pPr>
      <w:r>
        <w:rPr>
          <w:rFonts w:ascii="宋体" w:hAnsi="宋体"/>
          <w:b/>
          <w:color w:val="000000"/>
          <w:sz w:val="32"/>
          <w:szCs w:val="32"/>
          <w:highlight w:val="none"/>
        </w:rPr>
        <w:t>合 同</w:t>
      </w:r>
    </w:p>
    <w:p w14:paraId="71B3A5CE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244" w:line="360" w:lineRule="auto"/>
        <w:ind w:left="91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一、合同内容及金额：即中标人的投标内容及其中标总金额。</w:t>
      </w:r>
    </w:p>
    <w:p w14:paraId="36338124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1" w:line="360" w:lineRule="auto"/>
        <w:ind w:left="438" w:right="264" w:firstLine="48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二、</w:t>
      </w:r>
      <w:r>
        <w:rPr>
          <w:rFonts w:hint="eastAsia"/>
          <w:color w:val="000000"/>
          <w:highlight w:val="none"/>
          <w:lang w:eastAsia="zh-CN"/>
        </w:rPr>
        <w:t>服务内容</w:t>
      </w:r>
      <w:r>
        <w:rPr>
          <w:color w:val="000000"/>
          <w:highlight w:val="none"/>
        </w:rPr>
        <w:t>：即交付的</w:t>
      </w:r>
      <w:r>
        <w:rPr>
          <w:rFonts w:hint="eastAsia"/>
          <w:color w:val="000000"/>
          <w:highlight w:val="none"/>
          <w:lang w:eastAsia="zh-CN"/>
        </w:rPr>
        <w:t>服务内容</w:t>
      </w:r>
      <w:r>
        <w:rPr>
          <w:color w:val="000000"/>
          <w:highlight w:val="none"/>
        </w:rPr>
        <w:t>与投标文件所指明的，或者与本合同所指明</w:t>
      </w:r>
      <w:r>
        <w:rPr>
          <w:rFonts w:hint="eastAsia"/>
          <w:color w:val="000000"/>
          <w:highlight w:val="none"/>
          <w:lang w:eastAsia="zh-CN"/>
        </w:rPr>
        <w:t>服务</w:t>
      </w:r>
      <w:r>
        <w:rPr>
          <w:color w:val="000000"/>
          <w:highlight w:val="none"/>
        </w:rPr>
        <w:t>相一致。</w:t>
      </w:r>
    </w:p>
    <w:p w14:paraId="5DD4D399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438" w:right="264" w:firstLine="48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三、知识产权：即中标人应保证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在使用中标服务时，不承担任何涉及知识产权法律诉讼的责任。</w:t>
      </w:r>
    </w:p>
    <w:p w14:paraId="6A798224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918"/>
        <w:outlineLvl w:val="9"/>
        <w:rPr>
          <w:rFonts w:hint="eastAsia" w:eastAsia="宋体"/>
          <w:color w:val="000000"/>
          <w:highlight w:val="none"/>
          <w:lang w:eastAsia="zh-CN"/>
        </w:rPr>
      </w:pPr>
      <w:r>
        <w:rPr>
          <w:color w:val="000000"/>
          <w:highlight w:val="none"/>
        </w:rPr>
        <w:t>四、</w:t>
      </w:r>
      <w:r>
        <w:rPr>
          <w:rFonts w:hint="eastAsia"/>
          <w:color w:val="000000"/>
          <w:highlight w:val="none"/>
          <w:lang w:eastAsia="zh-CN"/>
        </w:rPr>
        <w:t>服务</w:t>
      </w:r>
      <w:r>
        <w:rPr>
          <w:color w:val="000000"/>
          <w:highlight w:val="none"/>
        </w:rPr>
        <w:t>（项目完工）期：</w:t>
      </w:r>
      <w:r>
        <w:rPr>
          <w:rFonts w:hint="eastAsia"/>
          <w:color w:val="000000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color w:val="000000"/>
          <w:highlight w:val="none"/>
          <w:u w:val="none"/>
          <w:lang w:val="en-US" w:eastAsia="zh-CN"/>
        </w:rPr>
        <w:t xml:space="preserve"> </w:t>
      </w:r>
    </w:p>
    <w:p w14:paraId="11C776F2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1" w:line="360" w:lineRule="auto"/>
        <w:ind w:left="438" w:right="145" w:firstLine="480"/>
        <w:outlineLvl w:val="9"/>
        <w:rPr>
          <w:color w:val="000000"/>
          <w:highlight w:val="none"/>
        </w:rPr>
      </w:pP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color w:val="000000"/>
          <w:spacing w:val="-6"/>
          <w:highlight w:val="none"/>
        </w:rPr>
        <w:t>中标人遇到可能妨碍按时交货和提供服务的情况，应当及时以书面形式通知</w:t>
      </w:r>
      <w:r>
        <w:rPr>
          <w:rFonts w:hint="eastAsia"/>
          <w:color w:val="000000"/>
          <w:spacing w:val="-6"/>
          <w:highlight w:val="none"/>
          <w:lang w:eastAsia="zh-CN"/>
        </w:rPr>
        <w:t>招标人</w:t>
      </w:r>
      <w:r>
        <w:rPr>
          <w:color w:val="000000"/>
          <w:spacing w:val="-6"/>
          <w:highlight w:val="none"/>
        </w:rPr>
        <w:t xml:space="preserve">， </w:t>
      </w:r>
      <w:r>
        <w:rPr>
          <w:color w:val="000000"/>
          <w:highlight w:val="none"/>
        </w:rPr>
        <w:t>说明原由、拖延的期限等；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、</w:t>
      </w:r>
      <w:r>
        <w:rPr>
          <w:rFonts w:hint="eastAsia"/>
          <w:color w:val="000000"/>
          <w:highlight w:val="none"/>
          <w:lang w:eastAsia="zh-CN"/>
        </w:rPr>
        <w:t>招标代理机构</w:t>
      </w:r>
      <w:r>
        <w:rPr>
          <w:color w:val="000000"/>
          <w:highlight w:val="none"/>
        </w:rPr>
        <w:t>在收到通知后，尽快进行情况评估并确定是否通过修改合同，酌情延长交货时间或者通过协商加收误期赔偿金。</w:t>
      </w:r>
    </w:p>
    <w:p w14:paraId="04AC9D41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adjustRightInd/>
        <w:spacing w:before="2" w:line="360" w:lineRule="auto"/>
        <w:ind w:left="978" w:right="3405" w:hanging="60"/>
        <w:outlineLvl w:val="9"/>
        <w:rPr>
          <w:color w:val="000000"/>
          <w:highlight w:val="none"/>
        </w:rPr>
      </w:pPr>
      <w:r>
        <w:rPr>
          <w:rFonts w:hint="eastAsia"/>
          <w:color w:val="000000"/>
          <w:highlight w:val="none"/>
          <w:lang w:eastAsia="zh-CN"/>
        </w:rPr>
        <w:t>服务</w:t>
      </w:r>
      <w:r>
        <w:rPr>
          <w:color w:val="000000"/>
          <w:highlight w:val="none"/>
        </w:rPr>
        <w:t>地点：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指定地点。</w:t>
      </w:r>
    </w:p>
    <w:p w14:paraId="4D9C4E44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bidi w:val="0"/>
        <w:adjustRightInd/>
        <w:spacing w:before="2" w:line="360" w:lineRule="auto"/>
        <w:ind w:left="978" w:right="3405" w:hanging="6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付款方式：</w:t>
      </w:r>
    </w:p>
    <w:p w14:paraId="23B18FF4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438" w:right="208" w:firstLine="540"/>
        <w:outlineLvl w:val="9"/>
        <w:rPr>
          <w:color w:val="000000"/>
          <w:highlight w:val="none"/>
        </w:rPr>
      </w:pPr>
      <w:r>
        <w:rPr>
          <w:rFonts w:hint="eastAsia"/>
          <w:color w:val="000000"/>
          <w:highlight w:val="none"/>
          <w:lang w:eastAsia="zh-CN"/>
        </w:rPr>
        <w:t>合同签订后支付</w:t>
      </w:r>
      <w:r>
        <w:rPr>
          <w:color w:val="000000"/>
          <w:highlight w:val="none"/>
        </w:rPr>
        <w:t>一次</w:t>
      </w:r>
      <w:r>
        <w:rPr>
          <w:rFonts w:hint="eastAsia"/>
          <w:color w:val="000000"/>
          <w:highlight w:val="none"/>
          <w:lang w:eastAsia="zh-CN"/>
        </w:rPr>
        <w:t>性</w:t>
      </w:r>
      <w:r>
        <w:rPr>
          <w:color w:val="000000"/>
          <w:highlight w:val="none"/>
        </w:rPr>
        <w:t>付清</w:t>
      </w:r>
      <w:r>
        <w:rPr>
          <w:rFonts w:hint="eastAsia"/>
          <w:color w:val="000000"/>
          <w:highlight w:val="none"/>
          <w:lang w:eastAsia="zh-CN"/>
        </w:rPr>
        <w:t>合同总价款</w:t>
      </w:r>
      <w:r>
        <w:rPr>
          <w:color w:val="000000"/>
          <w:highlight w:val="none"/>
        </w:rPr>
        <w:t>。</w:t>
      </w:r>
    </w:p>
    <w:p w14:paraId="15BF5652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438" w:right="264" w:firstLine="48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5840AD1C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438" w:right="141" w:firstLine="480"/>
        <w:outlineLvl w:val="9"/>
        <w:rPr>
          <w:color w:val="000000"/>
          <w:highlight w:val="none"/>
        </w:rPr>
      </w:pPr>
      <w:r>
        <w:rPr>
          <w:color w:val="000000"/>
          <w:spacing w:val="-9"/>
          <w:highlight w:val="none"/>
        </w:rPr>
        <w:t>八、运输：中标人可根据交货期、运输条件自行选择运输方式</w:t>
      </w:r>
      <w:r>
        <w:rPr>
          <w:color w:val="000000"/>
          <w:highlight w:val="none"/>
        </w:rPr>
        <w:t>（另有规定的除外</w:t>
      </w:r>
      <w:r>
        <w:rPr>
          <w:color w:val="000000"/>
          <w:spacing w:val="-17"/>
          <w:highlight w:val="none"/>
        </w:rPr>
        <w:t xml:space="preserve">）， </w:t>
      </w:r>
      <w:r>
        <w:rPr>
          <w:color w:val="000000"/>
          <w:highlight w:val="none"/>
        </w:rPr>
        <w:t>承担一切运输费用。</w:t>
      </w:r>
    </w:p>
    <w:p w14:paraId="7A86C2CE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2" w:line="360" w:lineRule="auto"/>
        <w:ind w:left="438" w:right="265" w:firstLine="480"/>
        <w:jc w:val="both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九、技术保障：中标人应随同</w:t>
      </w:r>
      <w:r>
        <w:rPr>
          <w:rFonts w:hint="eastAsia"/>
          <w:color w:val="000000"/>
          <w:highlight w:val="none"/>
          <w:lang w:eastAsia="zh-CN"/>
        </w:rPr>
        <w:t>服务</w:t>
      </w:r>
      <w:r>
        <w:rPr>
          <w:color w:val="000000"/>
          <w:highlight w:val="none"/>
        </w:rPr>
        <w:t>提供相应的中文技术文件（</w:t>
      </w:r>
      <w:r>
        <w:rPr>
          <w:color w:val="000000"/>
          <w:spacing w:val="-2"/>
          <w:highlight w:val="none"/>
        </w:rPr>
        <w:t>包括产品合格证、装</w:t>
      </w:r>
      <w:r>
        <w:rPr>
          <w:color w:val="000000"/>
          <w:spacing w:val="-9"/>
          <w:highlight w:val="none"/>
        </w:rPr>
        <w:t>箱清单、操作手册、使用说明、检测报告、维护手册、服务指南等资料</w:t>
      </w:r>
      <w:r>
        <w:rPr>
          <w:color w:val="000000"/>
          <w:spacing w:val="-8"/>
          <w:highlight w:val="none"/>
        </w:rPr>
        <w:t>）</w:t>
      </w:r>
      <w:r>
        <w:rPr>
          <w:color w:val="000000"/>
          <w:spacing w:val="-7"/>
          <w:highlight w:val="none"/>
        </w:rPr>
        <w:t>,现场安装、调</w:t>
      </w:r>
      <w:r>
        <w:rPr>
          <w:color w:val="000000"/>
          <w:highlight w:val="none"/>
        </w:rPr>
        <w:t>试、试运行技术保障服务。</w:t>
      </w:r>
    </w:p>
    <w:p w14:paraId="415F1909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91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十、人员培训：提供免费培训，人数、地点按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的要求约定。</w:t>
      </w:r>
    </w:p>
    <w:p w14:paraId="73364468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56" w:line="360" w:lineRule="auto"/>
        <w:ind w:left="91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十一、质量保证</w:t>
      </w:r>
    </w:p>
    <w:p w14:paraId="62F54E55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91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1、中标人使用的原材料应提供清单，并在到货 24 小时内通知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代表检验核实</w:t>
      </w:r>
    </w:p>
    <w:p w14:paraId="5BCAA535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1" w:line="360" w:lineRule="auto"/>
        <w:ind w:left="43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（具体方式在合同中明确）。</w:t>
      </w:r>
    </w:p>
    <w:p w14:paraId="54F22C38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color w:val="000000"/>
          <w:spacing w:val="-1"/>
          <w:highlight w:val="none"/>
        </w:rPr>
      </w:pPr>
      <w:r>
        <w:rPr>
          <w:color w:val="000000"/>
          <w:highlight w:val="none"/>
        </w:rPr>
        <w:t>2</w:t>
      </w:r>
      <w:r>
        <w:rPr>
          <w:color w:val="000000"/>
          <w:spacing w:val="-10"/>
          <w:highlight w:val="none"/>
        </w:rPr>
        <w:t>、中标人应当保证所供货物的来源渠道正常，产品是全新的、未使用过的、且完全</w:t>
      </w:r>
      <w:r>
        <w:rPr>
          <w:color w:val="000000"/>
          <w:spacing w:val="-1"/>
          <w:highlight w:val="none"/>
        </w:rPr>
        <w:t>符合合同规定的质量、规格、技术指标等要求，并在质保期内、外应对由于产品设计、</w:t>
      </w:r>
      <w:r>
        <w:rPr>
          <w:color w:val="000000"/>
          <w:highlight w:val="none"/>
        </w:rPr>
        <w:t>工</w:t>
      </w:r>
      <w:r>
        <w:rPr>
          <w:color w:val="000000"/>
          <w:spacing w:val="-1"/>
          <w:highlight w:val="none"/>
        </w:rPr>
        <w:t>艺或材料的缺陷而产生的质量问题负责。</w:t>
      </w:r>
    </w:p>
    <w:p w14:paraId="00190F55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color w:val="000000"/>
          <w:spacing w:val="-1"/>
          <w:highlight w:val="none"/>
        </w:rPr>
      </w:pPr>
      <w:r>
        <w:rPr>
          <w:color w:val="000000"/>
          <w:spacing w:val="-1"/>
          <w:highlight w:val="none"/>
        </w:rPr>
        <w:t>3、在</w:t>
      </w:r>
      <w:r>
        <w:rPr>
          <w:rFonts w:hint="eastAsia"/>
          <w:color w:val="000000"/>
          <w:spacing w:val="-1"/>
          <w:highlight w:val="none"/>
          <w:lang w:eastAsia="zh-CN"/>
        </w:rPr>
        <w:t>服务</w:t>
      </w:r>
      <w:r>
        <w:rPr>
          <w:color w:val="000000"/>
          <w:spacing w:val="-1"/>
          <w:highlight w:val="none"/>
        </w:rPr>
        <w:t>期内，如果发现</w:t>
      </w:r>
      <w:r>
        <w:rPr>
          <w:rFonts w:hint="eastAsia"/>
          <w:color w:val="000000"/>
          <w:spacing w:val="-1"/>
          <w:highlight w:val="none"/>
          <w:lang w:eastAsia="zh-CN"/>
        </w:rPr>
        <w:t>服务</w:t>
      </w:r>
      <w:r>
        <w:rPr>
          <w:color w:val="000000"/>
          <w:spacing w:val="-1"/>
          <w:highlight w:val="none"/>
        </w:rPr>
        <w:t>的质量、规格、技术指标等存在与合同中任何一项不符，</w:t>
      </w:r>
      <w:r>
        <w:rPr>
          <w:rFonts w:hint="eastAsia"/>
          <w:color w:val="000000"/>
          <w:spacing w:val="-1"/>
          <w:highlight w:val="none"/>
          <w:lang w:eastAsia="zh-CN"/>
        </w:rPr>
        <w:t>招标人</w:t>
      </w:r>
      <w:r>
        <w:rPr>
          <w:color w:val="000000"/>
          <w:spacing w:val="-1"/>
          <w:highlight w:val="none"/>
        </w:rPr>
        <w:t>应在最短时间内，以书面形式向中标人提出索赔。同时通告</w:t>
      </w:r>
      <w:r>
        <w:rPr>
          <w:rFonts w:hint="eastAsia"/>
          <w:color w:val="000000"/>
          <w:spacing w:val="-1"/>
          <w:highlight w:val="none"/>
          <w:lang w:eastAsia="zh-CN"/>
        </w:rPr>
        <w:t>招标代理机构</w:t>
      </w:r>
      <w:r>
        <w:rPr>
          <w:color w:val="000000"/>
          <w:spacing w:val="-1"/>
          <w:highlight w:val="none"/>
        </w:rPr>
        <w:t xml:space="preserve">。 </w:t>
      </w:r>
    </w:p>
    <w:p w14:paraId="1024FDE9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color w:val="000000"/>
          <w:spacing w:val="-1"/>
          <w:highlight w:val="none"/>
        </w:rPr>
      </w:pPr>
      <w:r>
        <w:rPr>
          <w:color w:val="000000"/>
          <w:spacing w:val="-1"/>
          <w:highlight w:val="none"/>
        </w:rPr>
        <w:t>4、保修期内，损坏部件的修理费、往返运保费等均由中标人承担。保修期外，只收取单程的运保费及已维修的元器件成本费，未尽事宜由双方协商解决。</w:t>
      </w:r>
    </w:p>
    <w:p w14:paraId="30F454F9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color w:val="000000"/>
          <w:highlight w:val="none"/>
        </w:rPr>
      </w:pPr>
      <w:r>
        <w:rPr>
          <w:color w:val="000000"/>
          <w:spacing w:val="-1"/>
          <w:highlight w:val="none"/>
        </w:rPr>
        <w:t>十二、采购项目执行内容需要调整时，经</w:t>
      </w:r>
      <w:r>
        <w:rPr>
          <w:rFonts w:hint="eastAsia"/>
          <w:color w:val="000000"/>
          <w:spacing w:val="-1"/>
          <w:highlight w:val="none"/>
          <w:lang w:eastAsia="zh-CN"/>
        </w:rPr>
        <w:t>招标人</w:t>
      </w:r>
      <w:r>
        <w:rPr>
          <w:color w:val="000000"/>
          <w:spacing w:val="-1"/>
          <w:highlight w:val="none"/>
        </w:rPr>
        <w:t>同意后，可以对相应的原材料进行</w:t>
      </w:r>
      <w:r>
        <w:rPr>
          <w:color w:val="000000"/>
          <w:highlight w:val="none"/>
        </w:rPr>
        <w:t>调整，并协商确定价格差额计算方法和负担办法。</w:t>
      </w:r>
    </w:p>
    <w:p w14:paraId="40DBA5DD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rFonts w:ascii="Times New Roman" w:hAnsi="Times New Roman" w:eastAsia="宋体" w:cs="Times New Roman"/>
          <w:color w:val="000000"/>
          <w:spacing w:val="-1"/>
          <w:highlight w:val="none"/>
        </w:rPr>
      </w:pP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十三、产品设计变更</w:t>
      </w:r>
    </w:p>
    <w:p w14:paraId="474045CA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rFonts w:ascii="Times New Roman" w:hAnsi="Times New Roman" w:eastAsia="宋体" w:cs="Times New Roman"/>
          <w:color w:val="000000"/>
          <w:spacing w:val="-1"/>
          <w:highlight w:val="none"/>
        </w:rPr>
      </w:pP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19D42D51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rFonts w:ascii="Times New Roman" w:hAnsi="Times New Roman" w:eastAsia="宋体" w:cs="Times New Roman"/>
          <w:color w:val="000000"/>
          <w:spacing w:val="-1"/>
          <w:highlight w:val="none"/>
        </w:rPr>
      </w:pP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十四、检验：在交货前，制造商应当对产品的质量、规格、型号、数量等进行准确而全面的检验，出具合格证并封装；货物送达指定地点后，中标人、</w:t>
      </w:r>
      <w:r>
        <w:rPr>
          <w:rFonts w:hint="eastAsia" w:ascii="Times New Roman" w:hAnsi="Times New Roman" w:eastAsia="宋体" w:cs="Times New Roman"/>
          <w:color w:val="000000"/>
          <w:spacing w:val="-1"/>
          <w:highlight w:val="none"/>
          <w:lang w:eastAsia="zh-CN"/>
        </w:rPr>
        <w:t>招标人</w:t>
      </w: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须在约定的时间和地点共同开箱检验。</w:t>
      </w:r>
    </w:p>
    <w:p w14:paraId="6C89863C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rFonts w:ascii="Times New Roman" w:hAnsi="Times New Roman" w:eastAsia="宋体" w:cs="Times New Roman"/>
          <w:color w:val="000000"/>
          <w:spacing w:val="-1"/>
          <w:highlight w:val="none"/>
        </w:rPr>
      </w:pP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十五、验收：通过检验的货物方可进行安装、调试、达到使用条件时由</w:t>
      </w:r>
      <w:r>
        <w:rPr>
          <w:rFonts w:hint="eastAsia" w:ascii="Times New Roman" w:hAnsi="Times New Roman" w:eastAsia="宋体" w:cs="Times New Roman"/>
          <w:color w:val="000000"/>
          <w:spacing w:val="-1"/>
          <w:highlight w:val="none"/>
          <w:lang w:eastAsia="zh-CN"/>
        </w:rPr>
        <w:t>招标人</w:t>
      </w: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负责组织验收或者邀请有关专家、质检机构、</w:t>
      </w:r>
      <w:r>
        <w:rPr>
          <w:rFonts w:hint="eastAsia" w:ascii="Times New Roman" w:hAnsi="Times New Roman" w:eastAsia="宋体" w:cs="Times New Roman"/>
          <w:color w:val="000000"/>
          <w:spacing w:val="-1"/>
          <w:highlight w:val="none"/>
          <w:lang w:eastAsia="zh-CN"/>
        </w:rPr>
        <w:t>招标代理机构</w:t>
      </w: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共同进行验收,验收费用由中标人支付(备注：如有验收需向</w:t>
      </w:r>
      <w:r>
        <w:rPr>
          <w:rFonts w:hint="eastAsia" w:ascii="Times New Roman" w:hAnsi="Times New Roman" w:eastAsia="宋体" w:cs="Times New Roman"/>
          <w:color w:val="000000"/>
          <w:spacing w:val="-1"/>
          <w:highlight w:val="none"/>
          <w:lang w:eastAsia="zh-CN"/>
        </w:rPr>
        <w:t>招标代理机构</w:t>
      </w: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支付金额 2000-3000 元不等)；验收合格须交接项目实施的全部资料，并填写政府采购项目验收报告单。验收须以合同、招投标文件、澄清、及国家相应的标准、规范等为依据。</w:t>
      </w:r>
    </w:p>
    <w:p w14:paraId="51DDD1DC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0" w:line="360" w:lineRule="auto"/>
        <w:ind w:left="438" w:right="265" w:firstLine="480"/>
        <w:jc w:val="both"/>
        <w:outlineLvl w:val="9"/>
        <w:rPr>
          <w:rFonts w:ascii="Times New Roman" w:hAnsi="Times New Roman" w:eastAsia="宋体" w:cs="Times New Roman"/>
          <w:color w:val="000000"/>
          <w:spacing w:val="-1"/>
          <w:highlight w:val="none"/>
        </w:rPr>
      </w:pPr>
      <w:r>
        <w:rPr>
          <w:rFonts w:ascii="Times New Roman" w:hAnsi="Times New Roman" w:eastAsia="宋体" w:cs="Times New Roman"/>
          <w:color w:val="000000"/>
          <w:spacing w:val="-1"/>
          <w:highlight w:val="none"/>
        </w:rPr>
        <w:t>十六、合同争议的解决：合同执行中发生争议的，当事人双方应协商解决，协商达不成一致时，可向人民法院提请诉讼。</w:t>
      </w:r>
    </w:p>
    <w:p w14:paraId="4921B0C9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" w:line="360" w:lineRule="auto"/>
        <w:ind w:left="918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十七、在发生不可抗力情况下的应对措施和解决办法。</w:t>
      </w:r>
    </w:p>
    <w:p w14:paraId="0A9C68FB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61" w:line="360" w:lineRule="auto"/>
        <w:ind w:left="438" w:right="264" w:firstLine="48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十八、合同一经签订，不得擅自变更、中止或者终止合同。对确需变更、调整或者中止、终止合同的，应按规定履行相应的手续。</w:t>
      </w:r>
    </w:p>
    <w:p w14:paraId="0627DBC6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156" w:line="360" w:lineRule="auto"/>
        <w:ind w:left="438" w:right="264" w:firstLine="654" w:firstLineChars="300"/>
        <w:outlineLvl w:val="9"/>
        <w:rPr>
          <w:color w:val="000000"/>
          <w:highlight w:val="none"/>
        </w:rPr>
      </w:pPr>
      <w:r>
        <w:rPr>
          <w:color w:val="000000"/>
          <w:spacing w:val="-11"/>
          <w:highlight w:val="none"/>
        </w:rPr>
        <w:t>十九、违约责任：依据《中华人民共和国合同法》、《中华人民共和国政府采购法》</w:t>
      </w:r>
      <w:r>
        <w:rPr>
          <w:color w:val="000000"/>
          <w:highlight w:val="none"/>
        </w:rPr>
        <w:t>的相关条款和本合同约定，中标人未全面履行合同义务或者发生违约，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会同采购代理机构有权终止合同，依法向中标人要求经济索赔，并报请政府采购监督管理机关进行相应的行政处罚。</w:t>
      </w:r>
      <w:r>
        <w:rPr>
          <w:rFonts w:hint="eastAsia"/>
          <w:color w:val="000000"/>
          <w:highlight w:val="none"/>
          <w:lang w:eastAsia="zh-CN"/>
        </w:rPr>
        <w:t>招标人</w:t>
      </w:r>
      <w:r>
        <w:rPr>
          <w:color w:val="000000"/>
          <w:highlight w:val="none"/>
        </w:rPr>
        <w:t>违约的，应当赔偿给中标人造成的经济损失。</w:t>
      </w:r>
    </w:p>
    <w:p w14:paraId="77E33C9B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before="80" w:line="360" w:lineRule="auto"/>
        <w:ind w:left="438" w:right="145" w:firstLine="480"/>
        <w:outlineLvl w:val="9"/>
        <w:rPr>
          <w:color w:val="000000"/>
          <w:highlight w:val="none"/>
        </w:rPr>
      </w:pPr>
      <w:r>
        <w:rPr>
          <w:color w:val="000000"/>
          <w:highlight w:val="none"/>
        </w:rPr>
        <w:t>二十、本合同一式肆份，甲方、乙方、</w:t>
      </w:r>
      <w:r>
        <w:rPr>
          <w:rFonts w:hint="eastAsia"/>
          <w:color w:val="000000"/>
          <w:highlight w:val="none"/>
          <w:lang w:eastAsia="zh-CN"/>
        </w:rPr>
        <w:t>招标代理机构</w:t>
      </w:r>
      <w:r>
        <w:rPr>
          <w:color w:val="000000"/>
          <w:highlight w:val="none"/>
        </w:rPr>
        <w:t>各执壹份，政府采购管理部门</w:t>
      </w:r>
      <w:r>
        <w:rPr>
          <w:color w:val="000000"/>
          <w:spacing w:val="-9"/>
          <w:highlight w:val="none"/>
        </w:rPr>
        <w:t>备案壹份。签字盖章后生效，合同执行完毕自动失效。</w:t>
      </w:r>
      <w:r>
        <w:rPr>
          <w:color w:val="000000"/>
          <w:highlight w:val="none"/>
        </w:rPr>
        <w:t>（合同的服务承诺则长期有效</w:t>
      </w:r>
      <w:r>
        <w:rPr>
          <w:color w:val="000000"/>
          <w:spacing w:val="-20"/>
          <w:highlight w:val="none"/>
        </w:rPr>
        <w:t>）</w:t>
      </w:r>
      <w:r>
        <w:rPr>
          <w:color w:val="000000"/>
          <w:spacing w:val="-16"/>
          <w:highlight w:val="none"/>
        </w:rPr>
        <w:t>。</w:t>
      </w:r>
    </w:p>
    <w:p w14:paraId="0935CF90">
      <w:pPr>
        <w:pStyle w:val="2"/>
        <w:keepNext w:val="0"/>
        <w:keepLines w:val="0"/>
        <w:pageBreakBefore w:val="0"/>
        <w:kinsoku/>
        <w:overflowPunct/>
        <w:topLinePunct w:val="0"/>
        <w:bidi w:val="0"/>
        <w:adjustRightInd/>
        <w:spacing w:line="360" w:lineRule="auto"/>
        <w:ind w:left="918"/>
        <w:outlineLvl w:val="9"/>
        <w:rPr>
          <w:color w:val="000000"/>
          <w:sz w:val="6"/>
          <w:highlight w:val="none"/>
        </w:rPr>
      </w:pPr>
      <w:r>
        <w:rPr>
          <w:color w:val="000000"/>
          <w:highlight w:val="none"/>
        </w:rPr>
        <w:t>二十一、其它（在合同中具体明确）</w:t>
      </w:r>
    </w:p>
    <w:tbl>
      <w:tblPr>
        <w:tblStyle w:val="4"/>
        <w:tblW w:w="0" w:type="auto"/>
        <w:tblInd w:w="3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9"/>
        <w:gridCol w:w="4620"/>
      </w:tblGrid>
      <w:tr w14:paraId="54492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noWrap w:val="0"/>
            <w:vAlign w:val="top"/>
          </w:tcPr>
          <w:p w14:paraId="35902F42">
            <w:pPr>
              <w:pStyle w:val="6"/>
              <w:keepNext w:val="0"/>
              <w:keepLines w:val="0"/>
              <w:pageBreakBefore w:val="0"/>
              <w:tabs>
                <w:tab w:val="left" w:pos="588"/>
              </w:tabs>
              <w:kinsoku/>
              <w:overflowPunct/>
              <w:topLinePunct w:val="0"/>
              <w:bidi w:val="0"/>
              <w:adjustRightInd/>
              <w:spacing w:before="33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甲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方</w:t>
            </w:r>
          </w:p>
        </w:tc>
        <w:tc>
          <w:tcPr>
            <w:tcW w:w="4620" w:type="dxa"/>
            <w:noWrap w:val="0"/>
            <w:vAlign w:val="top"/>
          </w:tcPr>
          <w:p w14:paraId="0AE1EB17">
            <w:pPr>
              <w:pStyle w:val="6"/>
              <w:keepNext w:val="0"/>
              <w:keepLines w:val="0"/>
              <w:pageBreakBefore w:val="0"/>
              <w:tabs>
                <w:tab w:val="left" w:pos="587"/>
              </w:tabs>
              <w:kinsoku/>
              <w:overflowPunct/>
              <w:topLinePunct w:val="0"/>
              <w:bidi w:val="0"/>
              <w:adjustRightInd/>
              <w:spacing w:before="3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乙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方</w:t>
            </w:r>
          </w:p>
        </w:tc>
      </w:tr>
      <w:tr w14:paraId="1C8D2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4619" w:type="dxa"/>
            <w:noWrap w:val="0"/>
            <w:vAlign w:val="top"/>
          </w:tcPr>
          <w:p w14:paraId="3FB63B0A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outlineLvl w:val="9"/>
              <w:rPr>
                <w:color w:val="000000"/>
                <w:sz w:val="24"/>
                <w:highlight w:val="none"/>
              </w:rPr>
            </w:pPr>
          </w:p>
          <w:p w14:paraId="00BADF83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1"/>
              <w:ind w:left="108"/>
              <w:outlineLvl w:val="9"/>
              <w:rPr>
                <w:color w:val="000000"/>
                <w:sz w:val="24"/>
                <w:highlight w:val="none"/>
              </w:rPr>
            </w:pPr>
          </w:p>
          <w:p w14:paraId="693F0371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1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（盖章）</w:t>
            </w:r>
          </w:p>
        </w:tc>
        <w:tc>
          <w:tcPr>
            <w:tcW w:w="4620" w:type="dxa"/>
            <w:noWrap w:val="0"/>
            <w:vAlign w:val="top"/>
          </w:tcPr>
          <w:p w14:paraId="16FBC55F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2"/>
              <w:outlineLvl w:val="9"/>
              <w:rPr>
                <w:color w:val="000000"/>
                <w:sz w:val="32"/>
                <w:highlight w:val="none"/>
              </w:rPr>
            </w:pPr>
          </w:p>
          <w:p w14:paraId="5FABE852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中标人全称</w:t>
            </w:r>
          </w:p>
          <w:p w14:paraId="340144A5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159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（盖章）</w:t>
            </w:r>
          </w:p>
        </w:tc>
      </w:tr>
      <w:tr w14:paraId="2C067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noWrap w:val="0"/>
            <w:vAlign w:val="top"/>
          </w:tcPr>
          <w:p w14:paraId="7C6EF480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5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地址：</w:t>
            </w:r>
          </w:p>
        </w:tc>
        <w:tc>
          <w:tcPr>
            <w:tcW w:w="4620" w:type="dxa"/>
            <w:noWrap w:val="0"/>
            <w:vAlign w:val="top"/>
          </w:tcPr>
          <w:p w14:paraId="56F4CD27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5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地址：</w:t>
            </w:r>
          </w:p>
        </w:tc>
      </w:tr>
      <w:tr w14:paraId="21D78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vMerge w:val="restart"/>
            <w:noWrap w:val="0"/>
            <w:vAlign w:val="top"/>
          </w:tcPr>
          <w:p w14:paraId="7C3DA4BD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outlineLvl w:val="9"/>
              <w:rPr>
                <w:color w:val="000000"/>
                <w:sz w:val="23"/>
                <w:highlight w:val="none"/>
              </w:rPr>
            </w:pPr>
          </w:p>
          <w:p w14:paraId="0F8C7A93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全权代表：（签字）</w:t>
            </w:r>
          </w:p>
        </w:tc>
        <w:tc>
          <w:tcPr>
            <w:tcW w:w="4620" w:type="dxa"/>
            <w:noWrap w:val="0"/>
            <w:vAlign w:val="top"/>
          </w:tcPr>
          <w:p w14:paraId="197F1408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法定代表人：</w:t>
            </w:r>
          </w:p>
        </w:tc>
      </w:tr>
      <w:tr w14:paraId="7BCF9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619" w:type="dxa"/>
            <w:vMerge w:val="continue"/>
            <w:tcBorders>
              <w:top w:val="nil"/>
            </w:tcBorders>
            <w:noWrap w:val="0"/>
            <w:vAlign w:val="top"/>
          </w:tcPr>
          <w:p w14:paraId="53F3A957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outlineLvl w:val="9"/>
              <w:rPr>
                <w:color w:val="000000"/>
                <w:sz w:val="2"/>
                <w:szCs w:val="2"/>
                <w:highlight w:val="none"/>
              </w:rPr>
            </w:pPr>
          </w:p>
        </w:tc>
        <w:tc>
          <w:tcPr>
            <w:tcW w:w="4620" w:type="dxa"/>
            <w:noWrap w:val="0"/>
            <w:vAlign w:val="top"/>
          </w:tcPr>
          <w:p w14:paraId="0FE49CE9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24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被授权代表：（签字）</w:t>
            </w:r>
          </w:p>
        </w:tc>
      </w:tr>
      <w:tr w14:paraId="0D5D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noWrap w:val="0"/>
            <w:vAlign w:val="top"/>
          </w:tcPr>
          <w:p w14:paraId="4C6F3A40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电话：</w:t>
            </w:r>
          </w:p>
        </w:tc>
        <w:tc>
          <w:tcPr>
            <w:tcW w:w="4620" w:type="dxa"/>
            <w:noWrap w:val="0"/>
            <w:vAlign w:val="top"/>
          </w:tcPr>
          <w:p w14:paraId="16D3E4DB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电话：</w:t>
            </w:r>
          </w:p>
        </w:tc>
      </w:tr>
      <w:tr w14:paraId="761CA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noWrap w:val="0"/>
            <w:vAlign w:val="top"/>
          </w:tcPr>
          <w:p w14:paraId="76721F8A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传真：</w:t>
            </w:r>
          </w:p>
        </w:tc>
        <w:tc>
          <w:tcPr>
            <w:tcW w:w="4620" w:type="dxa"/>
            <w:noWrap w:val="0"/>
            <w:vAlign w:val="top"/>
          </w:tcPr>
          <w:p w14:paraId="4D3CE457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传真：</w:t>
            </w:r>
          </w:p>
        </w:tc>
      </w:tr>
      <w:tr w14:paraId="01BAF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619" w:type="dxa"/>
            <w:noWrap w:val="0"/>
            <w:vAlign w:val="top"/>
          </w:tcPr>
          <w:p w14:paraId="1ADC0254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outlineLvl w:val="9"/>
              <w:rPr>
                <w:rFonts w:ascii="Times New Roman"/>
                <w:color w:val="000000"/>
                <w:sz w:val="22"/>
                <w:highlight w:val="none"/>
              </w:rPr>
            </w:pPr>
          </w:p>
        </w:tc>
        <w:tc>
          <w:tcPr>
            <w:tcW w:w="4620" w:type="dxa"/>
            <w:noWrap w:val="0"/>
            <w:vAlign w:val="top"/>
          </w:tcPr>
          <w:p w14:paraId="7C7044C9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3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开户银行：</w:t>
            </w:r>
          </w:p>
        </w:tc>
      </w:tr>
      <w:tr w14:paraId="4DB68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4619" w:type="dxa"/>
            <w:noWrap w:val="0"/>
            <w:vAlign w:val="top"/>
          </w:tcPr>
          <w:p w14:paraId="724588FF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outlineLvl w:val="9"/>
              <w:rPr>
                <w:rFonts w:ascii="Times New Roman"/>
                <w:color w:val="000000"/>
                <w:sz w:val="22"/>
                <w:highlight w:val="none"/>
              </w:rPr>
            </w:pPr>
          </w:p>
        </w:tc>
        <w:tc>
          <w:tcPr>
            <w:tcW w:w="4620" w:type="dxa"/>
            <w:noWrap w:val="0"/>
            <w:vAlign w:val="top"/>
          </w:tcPr>
          <w:p w14:paraId="6542CADE"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before="24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账号:</w:t>
            </w:r>
          </w:p>
        </w:tc>
      </w:tr>
      <w:tr w14:paraId="06D2E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4619" w:type="dxa"/>
            <w:noWrap w:val="0"/>
            <w:vAlign w:val="top"/>
          </w:tcPr>
          <w:p w14:paraId="3ED0AFD1">
            <w:pPr>
              <w:pStyle w:val="6"/>
              <w:keepNext w:val="0"/>
              <w:keepLines w:val="0"/>
              <w:pageBreakBefore w:val="0"/>
              <w:tabs>
                <w:tab w:val="left" w:pos="1068"/>
                <w:tab w:val="left" w:pos="1668"/>
                <w:tab w:val="left" w:pos="2268"/>
              </w:tabs>
              <w:kinsoku/>
              <w:overflowPunct/>
              <w:topLinePunct w:val="0"/>
              <w:bidi w:val="0"/>
              <w:adjustRightInd/>
              <w:spacing w:before="43"/>
              <w:ind w:left="108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日期：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年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月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日</w:t>
            </w:r>
          </w:p>
        </w:tc>
        <w:tc>
          <w:tcPr>
            <w:tcW w:w="4620" w:type="dxa"/>
            <w:noWrap w:val="0"/>
            <w:vAlign w:val="top"/>
          </w:tcPr>
          <w:p w14:paraId="39AE30F1">
            <w:pPr>
              <w:pStyle w:val="6"/>
              <w:keepNext w:val="0"/>
              <w:keepLines w:val="0"/>
              <w:pageBreakBefore w:val="0"/>
              <w:tabs>
                <w:tab w:val="left" w:pos="1067"/>
                <w:tab w:val="left" w:pos="1667"/>
                <w:tab w:val="left" w:pos="2267"/>
              </w:tabs>
              <w:kinsoku/>
              <w:overflowPunct/>
              <w:topLinePunct w:val="0"/>
              <w:bidi w:val="0"/>
              <w:adjustRightInd/>
              <w:spacing w:before="43"/>
              <w:ind w:left="107"/>
              <w:outlineLvl w:val="9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>日期：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年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月</w:t>
            </w:r>
            <w:r>
              <w:rPr>
                <w:color w:val="000000"/>
                <w:sz w:val="24"/>
                <w:highlight w:val="none"/>
              </w:rPr>
              <w:tab/>
            </w:r>
            <w:r>
              <w:rPr>
                <w:color w:val="000000"/>
                <w:sz w:val="24"/>
                <w:highlight w:val="none"/>
              </w:rPr>
              <w:t>日</w:t>
            </w:r>
          </w:p>
        </w:tc>
      </w:tr>
    </w:tbl>
    <w:p w14:paraId="1629DF79">
      <w:pPr>
        <w:rPr>
          <w:rFonts w:hint="eastAsia"/>
          <w:color w:val="000000"/>
          <w:highlight w:val="none"/>
        </w:rPr>
      </w:pPr>
    </w:p>
    <w:p w14:paraId="42607550"/>
    <w:sectPr>
      <w:pgSz w:w="11906" w:h="16839"/>
      <w:pgMar w:top="1429" w:right="1701" w:bottom="1134" w:left="1785" w:header="0" w:footer="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A6DE1">
    <w:pPr>
      <w:pStyle w:val="3"/>
      <w:tabs>
        <w:tab w:val="center" w:pos="4535"/>
        <w:tab w:val="clear" w:pos="4153"/>
      </w:tabs>
      <w:ind w:left="0" w:leftChars="0" w:firstLine="0" w:firstLineChars="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F19B46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19B46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91214A"/>
    <w:multiLevelType w:val="singleLevel"/>
    <w:tmpl w:val="C29121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415443"/>
    <w:rsid w:val="04310F6A"/>
    <w:rsid w:val="098D6B63"/>
    <w:rsid w:val="0FC5414A"/>
    <w:rsid w:val="1F2F1C7B"/>
    <w:rsid w:val="4C461C46"/>
    <w:rsid w:val="56415443"/>
    <w:rsid w:val="59F503EF"/>
    <w:rsid w:val="731D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1680</Words>
  <Characters>1689</Characters>
  <Lines>0</Lines>
  <Paragraphs>0</Paragraphs>
  <TotalTime>0</TotalTime>
  <ScaleCrop>false</ScaleCrop>
  <LinksUpToDate>false</LinksUpToDate>
  <CharactersWithSpaces>1724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2025-12-03T09:19:00Z</dcterms:created>
  <dc:creator>星星</dc:creator>
  <cp:lastModifiedBy> </cp:lastModifiedBy>
  <dcterms:modified xsi:type="dcterms:W3CDTF">2026-08-24T08:39:36Z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AF35B4BA63CE4739979183861D8D4DCC_11</vt:lpwstr>
  </property>
  <property fmtid="{D5CDD505-2E9C-101B-9397-08002B2CF9AE}" pid="4" name="KSOTemplateDocerSaveRecord">
    <vt:lpwstr>eyJoZGlkIjoiNGE3MmJlM2UwNjI3YTQ1NzNjMTJlZjY5MjllZjE0OTciLCJ1c2VySWQiOiI0NDI4MTA1MjgifQ==</vt:lpwstr>
  </property>
</Properties>
</file>