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版本号：JXRC-26072320260730001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高温高压油气水分离及大型变温多相流体流态模拟系统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JXRC-260723</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高温高压油气水分离及大型变温多相流体流态模拟系统</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JXRC-260723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高温高压油气水分离及大型变温多相流体流态模拟系统</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是西安石油大学石油与天然气工程学科创新平台重大设备更新项目的重要部分。当前，随着常规油气资源日益减少，稠油、老化油及非常规资源的开发受到广泛重视。在油气开采、集输及炼化过程中，油气水极易形成稳定的W/O型或O/W型乳化液，其高效分离一直是困扰石油行业的共性难题。现有的研究多集中在静态评价或单一因素分析，缺少能够在可控流体剪切、高温高压条件下，动态模拟乳化液形成、稳定及电场/化学破乳全过程的综合实验装置。因此，需要搭建一套能实时监测分散相粒径变化、评价破乳剂效果及电场参数优化的物理模拟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开户银行：民生银行西安分行营业部（备注：转账时须附言“260723谈判保证金”）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说明：合同签订前缴纳，缴纳金额为合同金额的5.0%；缴纳方式：银行转账、支票/汇票/本票、保函/保险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代理服务费收费标准：合同签订前缴纳，缴纳金额为合同金额的5.0%；缴纳方式：银行转账、支票/汇票/本票、保函/保险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陕西嘉信瑞诚招标有限公司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本项目主要用于西安石油大学石油与天然气工程学科创新平台重大设备更新项目建设，是其重要组成部分。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高温高压油气水分离及大型变温多相流体流态模拟系统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标的名称：高温高压油气水分离及大型变温多相流体流态模拟系统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87"/>
              <w:gridCol w:w="208"/>
              <w:gridCol w:w="2058"/>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参数性质</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序号</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技术参数与性能指标</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高压密闭反应腔体单元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腔体构造及基材构型：内外双层奥氏体不锈钢复合成型结构，腔体有效容纳容积标定值1L，本体基材022Cr17Ni12Mo2，承压设计阈值 ≥4MPa，介质耐受温度≥150℃；腔体入口压力0～60MPa，当入口压力≥60MPa时，自动开启排空管路泄压，直至入口压力≤4MPa时，关闭泄压管路，正常进入下一步工作流程；入口流量≥50mL/min。</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流体扰动驱动组件：配套变频无级调速驱动模组，旋转速度0～1500r/min连续可调。快拆式插接结构</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恒温调控与介质采集端口：腔体外部配置夹层式换热循环回路，全域温度控制偏差0.5℃；腔体轴向分段布设三组介质采集通道，分别对应腔体上部、中部、下部区域，支持工况不间断原位介质取样检测。</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透明可视观测管路单元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透光基材与承压指标：高透光透明基材成型，承压设计阈值≥4MPa，管路内径公称尺寸Φ10mm，有效观测段轴向长度350mm。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管路构型与计量标识：观测管路外壁一体标记微米级线性计量刻度；管路两端配置金属紧固拉杆组件与快开式密封法兰连接结构。</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多维度工况感知传感组件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压强感知元件：智能化一体化压力采集模块，测量精度等级不劣于0.25级，信号采集量程0～6MPa，标准输出4-20mA模拟电流信号。</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温感采集元件：A级分度PT100测温元件，温度测量最大偏差±0.15℃。</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介质流量计量元件：浮筒式容积流量计量装置，介质流通量程0.1～100mL/min，流量测量误差±0.5%。</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全域恒温循环换热调控单元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可输出换热介质温度覆盖区间-5℃～150℃，换热介质可选纯水、导热油两类载体，为密闭反应腔体、透光观测管路提供全域恒定温度场。</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整套系统温控综合误差±0.1℃，电加热额定输出功率≥2kW，压缩制冷额定输出功率≥1kW。</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微观介质形貌智能解析模块</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图像采集解析运算程序，搭载离散相微元智能识别、量化测算子程序；</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自动识别透明观测管路内分散态微小介质单元，实时完成微元数量统计、等效直径换算、全域粒径区间分布（PSD）演算等，自动生成标准化量化分析报表文件。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原油高频电脱水单元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6.1.1</w:t>
                  </w:r>
                  <w:r>
                    <w:rPr>
                      <w:rFonts w:ascii="仿宋_GB2312" w:hAnsi="仿宋_GB2312" w:cs="仿宋_GB2312" w:eastAsia="仿宋_GB2312"/>
                      <w:sz w:val="20"/>
                      <w:color w:val="000000"/>
                    </w:rPr>
                    <w:t>该单元包括:主控电源柜、多频脉冲输出模块、控制器及远程控制接口、电压/电流实时监测与调节模块、多频高压变压器、绝缘油箱、高压输出端口及高压连接电缆、散热与安全保护装置。包括如下功能：供电AC220V±10%，50Hz±5％；控制器接口：光纤接口；</w:t>
                  </w:r>
                </w:p>
                <w:p>
                  <w:pPr>
                    <w:pStyle w:val="null3"/>
                    <w:jc w:val="left"/>
                  </w:pPr>
                  <w:r>
                    <w:rPr>
                      <w:rFonts w:ascii="仿宋_GB2312" w:hAnsi="仿宋_GB2312" w:cs="仿宋_GB2312" w:eastAsia="仿宋_GB2312"/>
                      <w:sz w:val="21"/>
                      <w:color w:val="000000"/>
                    </w:rPr>
                    <w:t>●6.1.2</w:t>
                  </w:r>
                  <w:r>
                    <w:rPr>
                      <w:rFonts w:ascii="仿宋_GB2312" w:hAnsi="仿宋_GB2312" w:cs="仿宋_GB2312" w:eastAsia="仿宋_GB2312"/>
                      <w:sz w:val="20"/>
                      <w:color w:val="000000"/>
                    </w:rPr>
                    <w:t>脱水电源输出基础频率：50Hz～20000Hz全程可调；</w:t>
                  </w:r>
                </w:p>
                <w:p>
                  <w:pPr>
                    <w:pStyle w:val="null3"/>
                    <w:jc w:val="left"/>
                  </w:pPr>
                  <w:r>
                    <w:rPr>
                      <w:rFonts w:ascii="仿宋_GB2312" w:hAnsi="仿宋_GB2312" w:cs="仿宋_GB2312" w:eastAsia="仿宋_GB2312"/>
                      <w:sz w:val="20"/>
                      <w:color w:val="000000"/>
                    </w:rPr>
                    <w:t>6.1.3</w:t>
                  </w:r>
                  <w:r>
                    <w:rPr>
                      <w:rFonts w:ascii="仿宋_GB2312" w:hAnsi="仿宋_GB2312" w:cs="仿宋_GB2312" w:eastAsia="仿宋_GB2312"/>
                      <w:sz w:val="20"/>
                      <w:color w:val="000000"/>
                    </w:rPr>
                    <w:t>脱水电源输出调制频率：5Hz～100Hz全程可调；</w:t>
                  </w:r>
                </w:p>
                <w:p>
                  <w:pPr>
                    <w:pStyle w:val="null3"/>
                    <w:jc w:val="left"/>
                  </w:pPr>
                  <w:r>
                    <w:rPr>
                      <w:rFonts w:ascii="仿宋_GB2312" w:hAnsi="仿宋_GB2312" w:cs="仿宋_GB2312" w:eastAsia="仿宋_GB2312"/>
                      <w:sz w:val="20"/>
                      <w:color w:val="000000"/>
                    </w:rPr>
                    <w:t>6.1.4</w:t>
                  </w:r>
                  <w:r>
                    <w:rPr>
                      <w:rFonts w:ascii="仿宋_GB2312" w:hAnsi="仿宋_GB2312" w:cs="仿宋_GB2312" w:eastAsia="仿宋_GB2312"/>
                      <w:sz w:val="20"/>
                      <w:color w:val="000000"/>
                    </w:rPr>
                    <w:t>脱水电源输出高压电压：0KV～15KV全程可调；</w:t>
                  </w:r>
                </w:p>
                <w:p>
                  <w:pPr>
                    <w:pStyle w:val="null3"/>
                    <w:jc w:val="left"/>
                  </w:pPr>
                  <w:r>
                    <w:rPr>
                      <w:rFonts w:ascii="仿宋_GB2312" w:hAnsi="仿宋_GB2312" w:cs="仿宋_GB2312" w:eastAsia="仿宋_GB2312"/>
                      <w:sz w:val="20"/>
                      <w:color w:val="000000"/>
                    </w:rPr>
                    <w:t>6.1.5</w:t>
                  </w:r>
                  <w:r>
                    <w:rPr>
                      <w:rFonts w:ascii="仿宋_GB2312" w:hAnsi="仿宋_GB2312" w:cs="仿宋_GB2312" w:eastAsia="仿宋_GB2312"/>
                      <w:sz w:val="20"/>
                      <w:color w:val="000000"/>
                    </w:rPr>
                    <w:t>脱水电源脉宽设定：10%～80%全程可调；</w:t>
                  </w:r>
                </w:p>
                <w:p>
                  <w:pPr>
                    <w:pStyle w:val="null3"/>
                    <w:jc w:val="left"/>
                  </w:pPr>
                  <w:r>
                    <w:rPr>
                      <w:rFonts w:ascii="仿宋_GB2312" w:hAnsi="仿宋_GB2312" w:cs="仿宋_GB2312" w:eastAsia="仿宋_GB2312"/>
                      <w:sz w:val="20"/>
                      <w:color w:val="000000"/>
                    </w:rPr>
                    <w:t>6.1.6</w:t>
                  </w:r>
                  <w:r>
                    <w:rPr>
                      <w:rFonts w:ascii="仿宋_GB2312" w:hAnsi="仿宋_GB2312" w:cs="仿宋_GB2312" w:eastAsia="仿宋_GB2312"/>
                      <w:sz w:val="20"/>
                      <w:color w:val="000000"/>
                    </w:rPr>
                    <w:t>电源容量：5KVA；保护电流设定：0-50A;带物联网远程功能，在手</w:t>
                  </w:r>
                  <w:r>
                    <w:rPr>
                      <w:rFonts w:ascii="仿宋_GB2312" w:hAnsi="仿宋_GB2312" w:cs="仿宋_GB2312" w:eastAsia="仿宋_GB2312"/>
                      <w:sz w:val="20"/>
                      <w:color w:val="000000"/>
                    </w:rPr>
                    <w:t>机上能远程查看运行参数，远程设定运行参数；</w:t>
                  </w:r>
                </w:p>
                <w:p>
                  <w:pPr>
                    <w:pStyle w:val="null3"/>
                    <w:jc w:val="left"/>
                  </w:pPr>
                  <w:r>
                    <w:rPr>
                      <w:rFonts w:ascii="仿宋_GB2312" w:hAnsi="仿宋_GB2312" w:cs="仿宋_GB2312" w:eastAsia="仿宋_GB2312"/>
                      <w:sz w:val="20"/>
                      <w:color w:val="000000"/>
                    </w:rPr>
                    <w:t>6.1.7</w:t>
                  </w:r>
                  <w:r>
                    <w:rPr>
                      <w:rFonts w:ascii="仿宋_GB2312" w:hAnsi="仿宋_GB2312" w:cs="仿宋_GB2312" w:eastAsia="仿宋_GB2312"/>
                      <w:sz w:val="20"/>
                      <w:color w:val="000000"/>
                    </w:rPr>
                    <w:t>脱水电场为脉冲交流；脱水电压、频率、脉宽及电流均是数字显示表；稀油的原油脱水时间：≤1h，处理后原油含水率≤0.5%；</w:t>
                  </w:r>
                  <w:r>
                    <w:rPr>
                      <w:rFonts w:ascii="仿宋_GB2312" w:hAnsi="仿宋_GB2312" w:cs="仿宋_GB2312" w:eastAsia="仿宋_GB2312"/>
                      <w:sz w:val="20"/>
                      <w:color w:val="000000"/>
                    </w:rPr>
                    <w:t>中质油、稠油的原油脱水时间：≤4h，处理后原油含水率≤0.5%。</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脱水腔体：脱水腔体与高压密闭反应腔体单元使用同一腔体；腔体安装内外电极，内电极的外部采用四氟绝缘；外电极固定在釜盖上，与内电极产生圆柱型电场。来液含气量在10%～90%大范围内变化时，通过调整脱水腔体的排气口和排液口压差，使含气量和气出口含液量控制在5%以下。</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7</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全域工况集成测控单元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数据终端： 8核，16线程，主频≥3.2GHz、≥16GB内存、≥256GB固态存储盘+≥1TB机械存储盘，≥27英寸显示终端。配备正版操作系统。</w:t>
                  </w:r>
                </w:p>
              </w:tc>
            </w:tr>
            <w:tr>
              <w:tc>
                <w:tcPr>
                  <w:tcW w:type="dxa" w:w="287"/>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7.2</w:t>
                  </w:r>
                </w:p>
              </w:tc>
              <w:tc>
                <w:tcPr>
                  <w:tcW w:type="dxa" w:w="205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一体化测控程序平台：工况控制软件，兼容LabVIEW开发框架，集成试验预设参数配置、多物理量（温度、压强、介质流量、旋转速率、微观成像）同步实时采集、历史工况曲线回溯调取、试验数据报表自动导出打印全流程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注：1、以上所有技术指标必须满足要求没有负偏离，否则按无效文件处理；</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带●的技术参数与性能指标需要提供证明材料，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开具预付款等额银行保函，采购人收到银行保函正本后10个工作日内支付预付款，最多支付至44万元，剩余款项待验收合格后，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（1）供应商按照技术要求逐条验收，验收以最终验收为准；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保修期：卖方提供3年的免费保修,保修期自仪器验收签字之日起计算。保修期间维修及零件更换费用由厂家负担。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1、培训要求：按照采购人要求提供该设备相应的技术培训。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jxrc_001@163.com（邮件命名：项目编号）。保函必须由具有开具投标保函资格的单位开具；若供应商违约，开具保函单位承担连带责任； 4、成交供应商应在中标结果发布后2日内提供与电子化交易平台上传一致的纸质投标文件2份。 5、场地基础承载要求（如涉及）：供应商需根据本次重型仪器整机自重、设备重心分布、配套附属构件总荷载，提供完整设备基础施工图纸、地面荷载验算报告及地面加固技术方案；设备放置区域地面均布承载力不得低于仪器满载总重量1.5倍，局部集中承重点位需满足设备支脚单点承重需求，地面无沉降、空鼓、开裂缺陷；若现场原有地面承载力不满足安装条件，中标单位须免费提供地面加固、承重基座制作全套施工方案并完成施工，所有施工材料、人工、检测费用全部包含在投标总价内。 6、整机就位、调平与减震安装要求（如涉及）：设备进场就位后，成交供应商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7、质保期内成交供应商提供免费搬迁和安装调试1次，本次搬迁和安装调试过程中所产生的一切费用由成交供应商承担；本次搬迁和安装调试过程中仪器出现的一切故障和损坏由成交供应商免费修复。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1、供应商为合法注册的法人、其他组织或自然人，具有独立承担民事责任的能力，提供有效的证明材料； 2、供应商提供2024年度或2025年度经会计师事务所审计并通过注册会计师行业统一监管平台备案赋码的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商务响应偏离表 谈判方案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合同签订后，供应商开具预付款等额银行保函，采购人收到银行保函正本后10个工作日内支付预付款，最多支付至44万元，剩余款项待验收合格后，并出具增值税专用发票，达到付款条件后10个工作日内付清。</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 所有技术参数为实质性响应条款，●号项须提供相应佐证材料，未提供或虽提供但不符合的按无效文件处理。</w:t>
            </w:r>
          </w:p>
        </w:tc>
        <w:tc>
          <w:tcPr>
            <w:tcW w:type="dxa" w:w="1661"/>
          </w:tcPr>
          <w:p>
            <w:pPr>
              <w:pStyle w:val="null3"/>
            </w:pPr>
            <w:r>
              <w:rPr>
                <w:rFonts w:ascii="仿宋_GB2312" w:hAnsi="仿宋_GB2312" w:cs="仿宋_GB2312" w:eastAsia="仿宋_GB2312"/>
              </w:rPr>
              <w:t>响应文件封面 技术响应偏离表 其他材料 供应商基本信息 供应商企业关联关系说明书 供应商承诺书 谈判保证金缴纳凭证</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最终评审报价相同的，谈判小组优先推荐节能清单(非强制类)、环保清单内的产品，再按照综合技术指标优劣顺序推荐。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详见附件：谈判保证金缴纳凭证</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