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版本号：PM招2026-0650120260616001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水磨石地砖改造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PM招2026-06501</w:t>
      </w:r>
      <w:r>
        <w:br/>
      </w:r>
      <w:r>
        <w:br/>
      </w:r>
      <w:r>
        <w:br/>
      </w:r>
    </w:p>
    <w:p>
      <w:pPr>
        <w:pStyle w:val="null3"/>
        <w:jc w:val="center"/>
        <w:outlineLvl w:val="2"/>
      </w:pPr>
      <w:r>
        <w:rPr>
          <w:rFonts w:ascii="仿宋_GB2312" w:hAnsi="仿宋_GB2312" w:cs="仿宋_GB2312" w:eastAsia="仿宋_GB2312"/>
          <w:sz w:val="28"/>
          <w:b/>
        </w:rPr>
        <w:t>西安高新区第二十小学</w:t>
      </w:r>
    </w:p>
    <w:p>
      <w:pPr>
        <w:pStyle w:val="null3"/>
        <w:jc w:val="center"/>
        <w:outlineLvl w:val="2"/>
      </w:pPr>
      <w:r>
        <w:rPr>
          <w:rFonts w:ascii="仿宋_GB2312" w:hAnsi="仿宋_GB2312" w:cs="仿宋_GB2312" w:eastAsia="仿宋_GB2312"/>
          <w:sz w:val="28"/>
          <w:b/>
        </w:rPr>
        <w:t>普迈项目管理集团有限公司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普迈项目管理集团有限公司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西安高新区第二十小学</w:t>
      </w:r>
      <w:r>
        <w:rPr>
          <w:rFonts w:ascii="仿宋_GB2312" w:hAnsi="仿宋_GB2312" w:cs="仿宋_GB2312" w:eastAsia="仿宋_GB2312"/>
        </w:rPr>
        <w:t>委托，拟对</w:t>
      </w:r>
      <w:r>
        <w:rPr>
          <w:rFonts w:ascii="仿宋_GB2312" w:hAnsi="仿宋_GB2312" w:cs="仿宋_GB2312" w:eastAsia="仿宋_GB2312"/>
        </w:rPr>
        <w:t>水磨石地砖改造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PM招2026-06501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水磨石地砖改造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本项目为水磨石地砖改造。具体内容以工程量清单及招标文件及招标人现场管理要求为准。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采购包1（水磨石地砖改造）：属于专门面向中小企业采购。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3、财务状况报告：提供经审计的2024年或2025年度财务审计报告或提交响应文件截止时间前六个月内其基本账户开户银行出具的资信证明（附基本账户信息）</w:t>
      </w:r>
    </w:p>
    <w:p>
      <w:pPr>
        <w:pStyle w:val="null3"/>
      </w:pPr>
      <w:r>
        <w:rPr>
          <w:rFonts w:ascii="仿宋_GB2312" w:hAnsi="仿宋_GB2312" w:cs="仿宋_GB2312" w:eastAsia="仿宋_GB2312"/>
        </w:rPr>
        <w:t>4、税收缴纳证明：提供近一年内已缴纳的至少一个月的纳税证明或完税证明，依法免税的单位应提供相关证明材料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6、书面声明：提供参加本次政府采购活动近三年内在经营活动中没有重大违法记录的书面声明</w:t>
      </w:r>
    </w:p>
    <w:p>
      <w:pPr>
        <w:pStyle w:val="null3"/>
      </w:pPr>
      <w:r>
        <w:rPr>
          <w:rFonts w:ascii="仿宋_GB2312" w:hAnsi="仿宋_GB2312" w:cs="仿宋_GB2312" w:eastAsia="仿宋_GB2312"/>
        </w:rPr>
        <w:t>7、承诺函：提供具有履行本合同所必需的设备和专业技术能力的承诺函</w:t>
      </w:r>
    </w:p>
    <w:p>
      <w:pPr>
        <w:pStyle w:val="null3"/>
      </w:pPr>
      <w:r>
        <w:rPr>
          <w:rFonts w:ascii="仿宋_GB2312" w:hAnsi="仿宋_GB2312" w:cs="仿宋_GB2312" w:eastAsia="仿宋_GB2312"/>
        </w:rPr>
        <w:t>8、信用情况：供应商应在“中国执行信息公开网”(http://zxgk.court.gov.cn/) 未被列入失信被执行人，“信用中国”(https://www.creditchina.gov.cn/) 未被列入重大税收违法失信主体及在“中国政府采购网”(http://www.ccgp.gov.cn/)未被列入政府采购严重违法失信行为记录名单</w:t>
      </w:r>
    </w:p>
    <w:p>
      <w:pPr>
        <w:pStyle w:val="null3"/>
      </w:pPr>
      <w:r>
        <w:rPr>
          <w:rFonts w:ascii="仿宋_GB2312" w:hAnsi="仿宋_GB2312" w:cs="仿宋_GB2312" w:eastAsia="仿宋_GB2312"/>
        </w:rPr>
        <w:t>9、企业资质：供应商须具备建筑装修装饰工程专业承包二级及以上资质，具有有效的安全生产许可证</w:t>
      </w:r>
    </w:p>
    <w:p>
      <w:pPr>
        <w:pStyle w:val="null3"/>
      </w:pPr>
      <w:r>
        <w:rPr>
          <w:rFonts w:ascii="仿宋_GB2312" w:hAnsi="仿宋_GB2312" w:cs="仿宋_GB2312" w:eastAsia="仿宋_GB2312"/>
        </w:rPr>
        <w:t>10、项目经理：供应商拟派项目经理具有建筑工程专业二级及以上注册建造师资格，具有有效的安全生产考核合格证书（建安 B 证），在本单位注册且无在建项目</w:t>
      </w:r>
    </w:p>
    <w:p>
      <w:pPr>
        <w:pStyle w:val="null3"/>
      </w:pPr>
      <w:r>
        <w:rPr>
          <w:rFonts w:ascii="仿宋_GB2312" w:hAnsi="仿宋_GB2312" w:cs="仿宋_GB2312" w:eastAsia="仿宋_GB2312"/>
        </w:rPr>
        <w:t>11、是否接受联合体投标：本项目不接受联合体投标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西安高新区第二十小学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云水一路以西、云水二路以东；天谷五路以北、天谷四路以南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029-84110550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普迈项目管理集团有限公司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陕西省西安市雁塔区陕西省西安市雁塔区太白南路139号荣禾云图中心11幢4层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李琳、武许敬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18192653501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采购包1：748,452.75元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代理服务费收费标准：参照国家发改委《招标代理服务收费管理暂行办法》(计价格(2002)1980号)以及国家发改委办公厅颁发的《关于招标代理服务收费有关问题的通知》(发改办价格(2003)857号)文件计取。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西安高新区第二十小学</w:t>
      </w:r>
      <w:r>
        <w:rPr>
          <w:rFonts w:ascii="仿宋_GB2312" w:hAnsi="仿宋_GB2312" w:cs="仿宋_GB2312" w:eastAsia="仿宋_GB2312"/>
        </w:rPr>
        <w:t>和</w:t>
      </w:r>
      <w:r>
        <w:rPr>
          <w:rFonts w:ascii="仿宋_GB2312" w:hAnsi="仿宋_GB2312" w:cs="仿宋_GB2312" w:eastAsia="仿宋_GB2312"/>
        </w:rPr>
        <w:t>普迈项目管理集团有限公司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西安高新区第二十小学</w:t>
      </w:r>
      <w:r>
        <w:rPr>
          <w:rFonts w:ascii="仿宋_GB2312" w:hAnsi="仿宋_GB2312" w:cs="仿宋_GB2312" w:eastAsia="仿宋_GB2312"/>
        </w:rPr>
        <w:t>负责解释。除上述磋商文件内容，其他内容由</w:t>
      </w:r>
      <w:r>
        <w:rPr>
          <w:rFonts w:ascii="仿宋_GB2312" w:hAnsi="仿宋_GB2312" w:cs="仿宋_GB2312" w:eastAsia="仿宋_GB2312"/>
        </w:rPr>
        <w:t>普迈项目管理集团有限公司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西安高新区第二十小学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普迈项目管理集团有限公司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国家相关标准、规范及有关技术文件； 合同、磋商文件、磋商响应文件及承诺。</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普迈项目管理集团有限公司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普迈项目管理集团有限公司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普迈项目管理集团有限公司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联系人：武许敬</w:t>
      </w:r>
    </w:p>
    <w:p>
      <w:pPr>
        <w:pStyle w:val="null3"/>
      </w:pPr>
      <w:r>
        <w:rPr>
          <w:rFonts w:ascii="仿宋_GB2312" w:hAnsi="仿宋_GB2312" w:cs="仿宋_GB2312" w:eastAsia="仿宋_GB2312"/>
        </w:rPr>
        <w:t>联系电话：18192653501</w:t>
      </w:r>
    </w:p>
    <w:p>
      <w:pPr>
        <w:pStyle w:val="null3"/>
      </w:pPr>
      <w:r>
        <w:rPr>
          <w:rFonts w:ascii="仿宋_GB2312" w:hAnsi="仿宋_GB2312" w:cs="仿宋_GB2312" w:eastAsia="仿宋_GB2312"/>
        </w:rPr>
        <w:t>地址：西安市雁塔区太白南路139号荣禾云图中心11幢4层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748,452.75</w:t>
      </w:r>
    </w:p>
    <w:p>
      <w:pPr>
        <w:pStyle w:val="null3"/>
      </w:pPr>
      <w:r>
        <w:rPr>
          <w:rFonts w:ascii="仿宋_GB2312" w:hAnsi="仿宋_GB2312" w:cs="仿宋_GB2312" w:eastAsia="仿宋_GB2312"/>
        </w:rPr>
        <w:t>采购包最高限价（元）: 748,452.75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水磨石地砖改造工程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748,452.75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标的名称：水磨石地砖改造工程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抗菌防滑压花地坪</w:t>
            </w:r>
          </w:p>
          <w:p>
            <w:pPr>
              <w:pStyle w:val="null3"/>
              <w:jc w:val="both"/>
            </w:pPr>
            <w:r>
              <w:rPr>
                <w:rFonts w:ascii="仿宋_GB2312" w:hAnsi="仿宋_GB2312" w:cs="仿宋_GB2312" w:eastAsia="仿宋_GB2312"/>
              </w:rPr>
              <w:t>1、技术参数</w:t>
            </w:r>
          </w:p>
          <w:p>
            <w:pPr>
              <w:pStyle w:val="null3"/>
              <w:jc w:val="both"/>
            </w:pPr>
            <w:r>
              <w:rPr>
                <w:rFonts w:ascii="仿宋_GB2312" w:hAnsi="仿宋_GB2312" w:cs="仿宋_GB2312" w:eastAsia="仿宋_GB2312"/>
              </w:rPr>
              <w:t>★（1）材料的有害物质限量和有害物质释放率满足以下参数，并同时提供具有“CMA”资质检测机构出具的符合GB/T 22374-2018《地坪涂料材料》W型检测报告</w:t>
            </w:r>
          </w:p>
          <w:p>
            <w:pPr>
              <w:pStyle w:val="null3"/>
              <w:jc w:val="both"/>
            </w:pPr>
            <w:r>
              <w:rPr>
                <w:rFonts w:ascii="仿宋_GB2312" w:hAnsi="仿宋_GB2312" w:cs="仿宋_GB2312" w:eastAsia="仿宋_GB2312"/>
              </w:rPr>
              <w:t>★（2）材料的耐用性能满足以下参数，并同时提供具有“CMA”资质检测机构出具的符合GB/T22374-2018检测报告</w:t>
            </w:r>
          </w:p>
          <w:p>
            <w:pPr>
              <w:pStyle w:val="null3"/>
              <w:jc w:val="both"/>
            </w:pPr>
            <w:r>
              <w:rPr>
                <w:rFonts w:ascii="仿宋_GB2312" w:hAnsi="仿宋_GB2312" w:cs="仿宋_GB2312" w:eastAsia="仿宋_GB2312"/>
              </w:rPr>
              <w:t>★（3）材料安全健康，抗细菌性能及抗细菌耐久性能满足以下参数，并同时提供具有“CMA”资质检测机构出具的符合</w:t>
            </w:r>
            <w:r>
              <w:rPr>
                <w:rFonts w:ascii="仿宋_GB2312" w:hAnsi="仿宋_GB2312" w:cs="仿宋_GB2312" w:eastAsia="仿宋_GB2312"/>
                <w:sz w:val="20"/>
              </w:rPr>
              <w:t>H</w:t>
            </w:r>
            <w:r>
              <w:rPr>
                <w:rFonts w:ascii="仿宋_GB2312" w:hAnsi="仿宋_GB2312" w:cs="仿宋_GB2312" w:eastAsia="仿宋_GB2312"/>
                <w:sz w:val="20"/>
              </w:rPr>
              <w:t>G/T3950-2007</w:t>
            </w:r>
            <w:r>
              <w:rPr>
                <w:rFonts w:ascii="仿宋_GB2312" w:hAnsi="仿宋_GB2312" w:cs="仿宋_GB2312" w:eastAsia="仿宋_GB2312"/>
                <w:sz w:val="20"/>
              </w:rPr>
              <w:t>或</w:t>
            </w:r>
            <w:r>
              <w:rPr>
                <w:rFonts w:ascii="仿宋_GB2312" w:hAnsi="仿宋_GB2312" w:cs="仿宋_GB2312" w:eastAsia="仿宋_GB2312"/>
                <w:sz w:val="20"/>
              </w:rPr>
              <w:t>HG/T3950-20</w:t>
            </w:r>
            <w:r>
              <w:rPr>
                <w:rFonts w:ascii="仿宋_GB2312" w:hAnsi="仿宋_GB2312" w:cs="仿宋_GB2312" w:eastAsia="仿宋_GB2312"/>
                <w:sz w:val="20"/>
              </w:rPr>
              <w:t>25</w:t>
            </w:r>
            <w:r>
              <w:rPr>
                <w:rFonts w:ascii="仿宋_GB2312" w:hAnsi="仿宋_GB2312" w:cs="仿宋_GB2312" w:eastAsia="仿宋_GB2312"/>
              </w:rPr>
              <w:t>附录</w:t>
            </w:r>
            <w:r>
              <w:rPr>
                <w:rFonts w:ascii="仿宋_GB2312" w:hAnsi="仿宋_GB2312" w:cs="仿宋_GB2312" w:eastAsia="仿宋_GB2312"/>
              </w:rPr>
              <w:t>A检测报告。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抗菌防滑压花地坪</w:t>
            </w:r>
          </w:p>
          <w:p>
            <w:pPr>
              <w:pStyle w:val="null3"/>
            </w:pPr>
            <w:r>
              <w:rPr>
                <w:rFonts w:ascii="仿宋_GB2312" w:hAnsi="仿宋_GB2312" w:cs="仿宋_GB2312" w:eastAsia="仿宋_GB2312"/>
              </w:rPr>
              <w:t>2、</w:t>
            </w:r>
            <w:r>
              <w:rPr>
                <w:rFonts w:ascii="仿宋_GB2312" w:hAnsi="仿宋_GB2312" w:cs="仿宋_GB2312" w:eastAsia="仿宋_GB2312"/>
                <w:sz w:val="20"/>
                <w:b/>
              </w:rPr>
              <w:t>技术要求</w:t>
            </w:r>
          </w:p>
          <w:p>
            <w:pPr>
              <w:pStyle w:val="null3"/>
              <w:ind w:firstLine="400"/>
            </w:pPr>
            <w:r>
              <w:rPr>
                <w:rFonts w:ascii="仿宋_GB2312" w:hAnsi="仿宋_GB2312" w:cs="仿宋_GB2312" w:eastAsia="仿宋_GB2312"/>
              </w:rPr>
              <w:t>2.1</w:t>
            </w:r>
            <w:r>
              <w:rPr>
                <w:rFonts w:ascii="仿宋_GB2312" w:hAnsi="仿宋_GB2312" w:cs="仿宋_GB2312" w:eastAsia="仿宋_GB2312"/>
              </w:rPr>
              <w:t>外观要求</w:t>
            </w:r>
          </w:p>
          <w:p>
            <w:pPr>
              <w:pStyle w:val="null3"/>
              <w:ind w:firstLine="400"/>
            </w:pPr>
            <w:r>
              <w:rPr>
                <w:rFonts w:ascii="仿宋_GB2312" w:hAnsi="仿宋_GB2312" w:cs="仿宋_GB2312" w:eastAsia="仿宋_GB2312"/>
              </w:rPr>
              <w:t>2.1.1</w:t>
            </w:r>
            <w:r>
              <w:rPr>
                <w:rFonts w:ascii="仿宋_GB2312" w:hAnsi="仿宋_GB2312" w:cs="仿宋_GB2312" w:eastAsia="仿宋_GB2312"/>
              </w:rPr>
              <w:t>色彩与图案</w:t>
            </w:r>
            <w:r>
              <w:rPr>
                <w:rFonts w:ascii="仿宋_GB2312" w:hAnsi="仿宋_GB2312" w:cs="仿宋_GB2312" w:eastAsia="仿宋_GB2312"/>
              </w:rPr>
              <w:t>：</w:t>
            </w:r>
            <w:r>
              <w:rPr>
                <w:rFonts w:ascii="仿宋_GB2312" w:hAnsi="仿宋_GB2312" w:cs="仿宋_GB2312" w:eastAsia="仿宋_GB2312"/>
              </w:rPr>
              <w:t>表面色泽均匀一致，无明显色差</w:t>
            </w:r>
            <w:r>
              <w:rPr>
                <w:rFonts w:ascii="仿宋_GB2312" w:hAnsi="仿宋_GB2312" w:cs="仿宋_GB2312" w:eastAsia="仿宋_GB2312"/>
              </w:rPr>
              <w:t>。</w:t>
            </w:r>
            <w:r>
              <w:rPr>
                <w:rFonts w:ascii="仿宋_GB2312" w:hAnsi="仿宋_GB2312" w:cs="仿宋_GB2312" w:eastAsia="仿宋_GB2312"/>
              </w:rPr>
              <w:t>图案需清晰完整，线条流畅自然，无缺花、漏花或错位现象</w:t>
            </w:r>
            <w:r>
              <w:rPr>
                <w:rFonts w:ascii="仿宋_GB2312" w:hAnsi="仿宋_GB2312" w:cs="仿宋_GB2312" w:eastAsia="仿宋_GB2312"/>
              </w:rPr>
              <w:t>。</w:t>
            </w:r>
          </w:p>
          <w:p>
            <w:pPr>
              <w:pStyle w:val="null3"/>
              <w:ind w:firstLine="400"/>
            </w:pPr>
            <w:r>
              <w:rPr>
                <w:rFonts w:ascii="仿宋_GB2312" w:hAnsi="仿宋_GB2312" w:cs="仿宋_GB2312" w:eastAsia="仿宋_GB2312"/>
              </w:rPr>
              <w:t>2.1.2</w:t>
            </w:r>
            <w:r>
              <w:rPr>
                <w:rFonts w:ascii="仿宋_GB2312" w:hAnsi="仿宋_GB2312" w:cs="仿宋_GB2312" w:eastAsia="仿宋_GB2312"/>
              </w:rPr>
              <w:t>表面质量</w:t>
            </w:r>
            <w:r>
              <w:rPr>
                <w:rFonts w:ascii="仿宋_GB2312" w:hAnsi="仿宋_GB2312" w:cs="仿宋_GB2312" w:eastAsia="仿宋_GB2312"/>
              </w:rPr>
              <w:t>：</w:t>
            </w:r>
            <w:r>
              <w:rPr>
                <w:rFonts w:ascii="仿宋_GB2312" w:hAnsi="仿宋_GB2312" w:cs="仿宋_GB2312" w:eastAsia="仿宋_GB2312"/>
              </w:rPr>
              <w:t>地坪表面平整光滑，无裂缝、脱皮、起砂或空鼓等缺陷。</w:t>
            </w:r>
          </w:p>
          <w:p>
            <w:pPr>
              <w:pStyle w:val="null3"/>
              <w:ind w:firstLine="400"/>
            </w:pPr>
            <w:r>
              <w:rPr>
                <w:rFonts w:ascii="仿宋_GB2312" w:hAnsi="仿宋_GB2312" w:cs="仿宋_GB2312" w:eastAsia="仿宋_GB2312"/>
              </w:rPr>
              <w:t>2.2</w:t>
            </w:r>
            <w:r>
              <w:rPr>
                <w:rFonts w:ascii="仿宋_GB2312" w:hAnsi="仿宋_GB2312" w:cs="仿宋_GB2312" w:eastAsia="仿宋_GB2312"/>
              </w:rPr>
              <w:t>平整度合格率</w:t>
            </w:r>
            <w:r>
              <w:rPr>
                <w:rFonts w:ascii="仿宋_GB2312" w:hAnsi="仿宋_GB2312" w:cs="仿宋_GB2312" w:eastAsia="仿宋_GB2312"/>
              </w:rPr>
              <w:t>：</w:t>
            </w:r>
            <w:r>
              <w:rPr>
                <w:rFonts w:ascii="仿宋_GB2312" w:hAnsi="仿宋_GB2312" w:cs="仿宋_GB2312" w:eastAsia="仿宋_GB2312"/>
              </w:rPr>
              <w:t>采用</w:t>
            </w:r>
            <w:r>
              <w:rPr>
                <w:rFonts w:ascii="仿宋_GB2312" w:hAnsi="仿宋_GB2312" w:cs="仿宋_GB2312" w:eastAsia="仿宋_GB2312"/>
              </w:rPr>
              <w:t>2米靠尺或激光水平仪测量，平整度允许偏差≤3mm/2m，</w:t>
            </w:r>
            <w:r>
              <w:rPr>
                <w:rFonts w:ascii="仿宋_GB2312" w:hAnsi="仿宋_GB2312" w:cs="仿宋_GB2312" w:eastAsia="仿宋_GB2312"/>
              </w:rPr>
              <w:t>平整度</w:t>
            </w:r>
            <w:r>
              <w:rPr>
                <w:rFonts w:ascii="仿宋_GB2312" w:hAnsi="仿宋_GB2312" w:cs="仿宋_GB2312" w:eastAsia="仿宋_GB2312"/>
              </w:rPr>
              <w:t>合格率</w:t>
            </w:r>
            <w:r>
              <w:rPr>
                <w:rFonts w:ascii="仿宋_GB2312" w:hAnsi="仿宋_GB2312" w:cs="仿宋_GB2312" w:eastAsia="仿宋_GB2312"/>
              </w:rPr>
              <w:t>不小于</w:t>
            </w:r>
            <w:r>
              <w:rPr>
                <w:rFonts w:ascii="仿宋_GB2312" w:hAnsi="仿宋_GB2312" w:cs="仿宋_GB2312" w:eastAsia="仿宋_GB2312"/>
              </w:rPr>
              <w:t>95%以上。</w:t>
            </w:r>
          </w:p>
          <w:p>
            <w:pPr>
              <w:pStyle w:val="null3"/>
              <w:ind w:firstLine="400"/>
            </w:pPr>
            <w:r>
              <w:rPr>
                <w:rFonts w:ascii="仿宋_GB2312" w:hAnsi="仿宋_GB2312" w:cs="仿宋_GB2312" w:eastAsia="仿宋_GB2312"/>
              </w:rPr>
              <w:t>2.4</w:t>
            </w:r>
            <w:r>
              <w:rPr>
                <w:rFonts w:ascii="仿宋_GB2312" w:hAnsi="仿宋_GB2312" w:cs="仿宋_GB2312" w:eastAsia="仿宋_GB2312"/>
              </w:rPr>
              <w:t>厚度要求</w:t>
            </w:r>
          </w:p>
          <w:p>
            <w:pPr>
              <w:pStyle w:val="null3"/>
              <w:ind w:firstLine="400"/>
            </w:pPr>
            <w:r>
              <w:rPr>
                <w:rFonts w:ascii="仿宋_GB2312" w:hAnsi="仿宋_GB2312" w:cs="仿宋_GB2312" w:eastAsia="仿宋_GB2312"/>
              </w:rPr>
              <w:t>罩面面层：抗病菌罩面层</w:t>
            </w:r>
            <w:r>
              <w:rPr>
                <w:rFonts w:ascii="仿宋_GB2312" w:hAnsi="仿宋_GB2312" w:cs="仿宋_GB2312" w:eastAsia="仿宋_GB2312"/>
              </w:rPr>
              <w:t>0.2mm；面层：聚氨酯面漆层0.3mm；高强度聚氨酯弹性层2mm。</w:t>
            </w:r>
            <w:r>
              <w:rPr>
                <w:rFonts w:ascii="仿宋_GB2312" w:hAnsi="仿宋_GB2312" w:cs="仿宋_GB2312" w:eastAsia="仿宋_GB2312"/>
              </w:rPr>
              <w:t>总厚度约</w:t>
            </w:r>
            <w:r>
              <w:rPr>
                <w:rFonts w:ascii="仿宋_GB2312" w:hAnsi="仿宋_GB2312" w:cs="仿宋_GB2312" w:eastAsia="仿宋_GB2312"/>
              </w:rPr>
              <w:t>2.5mm。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抗菌防滑压花地坪</w:t>
            </w:r>
          </w:p>
          <w:p>
            <w:pPr>
              <w:pStyle w:val="null3"/>
            </w:pPr>
            <w:r>
              <w:rPr>
                <w:rFonts w:ascii="仿宋_GB2312" w:hAnsi="仿宋_GB2312" w:cs="仿宋_GB2312" w:eastAsia="仿宋_GB2312"/>
                <w:b/>
              </w:rPr>
              <w:t>3、样品备份</w:t>
            </w:r>
          </w:p>
          <w:p>
            <w:pPr>
              <w:pStyle w:val="null3"/>
              <w:ind w:firstLine="400"/>
            </w:pPr>
            <w:r>
              <w:rPr>
                <w:rFonts w:ascii="仿宋_GB2312" w:hAnsi="仿宋_GB2312" w:cs="仿宋_GB2312" w:eastAsia="仿宋_GB2312"/>
              </w:rPr>
              <w:t>3.</w:t>
            </w:r>
            <w:r>
              <w:rPr>
                <w:rFonts w:ascii="仿宋_GB2312" w:hAnsi="仿宋_GB2312" w:cs="仿宋_GB2312" w:eastAsia="仿宋_GB2312"/>
              </w:rPr>
              <w:t>1</w:t>
            </w:r>
            <w:r>
              <w:rPr>
                <w:rFonts w:ascii="仿宋_GB2312" w:hAnsi="仿宋_GB2312" w:cs="仿宋_GB2312" w:eastAsia="仿宋_GB2312"/>
              </w:rPr>
              <w:t>样品制作的标准和要求：根据磋商文件要求</w:t>
            </w:r>
          </w:p>
          <w:p>
            <w:pPr>
              <w:pStyle w:val="null3"/>
              <w:ind w:firstLine="400"/>
            </w:pPr>
            <w:r>
              <w:rPr>
                <w:rFonts w:ascii="仿宋_GB2312" w:hAnsi="仿宋_GB2312" w:cs="仿宋_GB2312" w:eastAsia="仿宋_GB2312"/>
              </w:rPr>
              <w:t>3.</w:t>
            </w:r>
            <w:r>
              <w:rPr>
                <w:rFonts w:ascii="仿宋_GB2312" w:hAnsi="仿宋_GB2312" w:cs="仿宋_GB2312" w:eastAsia="仿宋_GB2312"/>
              </w:rPr>
              <w:t>2</w:t>
            </w:r>
            <w:r>
              <w:rPr>
                <w:rFonts w:ascii="仿宋_GB2312" w:hAnsi="仿宋_GB2312" w:cs="仿宋_GB2312" w:eastAsia="仿宋_GB2312"/>
              </w:rPr>
              <w:t>样品不配带任何标识，各供应商的样品必须满足采购人的要求。</w:t>
            </w:r>
          </w:p>
          <w:p>
            <w:pPr>
              <w:pStyle w:val="null3"/>
              <w:ind w:firstLine="400"/>
            </w:pPr>
            <w:r>
              <w:rPr>
                <w:rFonts w:ascii="仿宋_GB2312" w:hAnsi="仿宋_GB2312" w:cs="仿宋_GB2312" w:eastAsia="仿宋_GB2312"/>
              </w:rPr>
              <w:t>3.</w:t>
            </w:r>
            <w:r>
              <w:rPr>
                <w:rFonts w:ascii="仿宋_GB2312" w:hAnsi="仿宋_GB2312" w:cs="仿宋_GB2312" w:eastAsia="仿宋_GB2312"/>
              </w:rPr>
              <w:t>3</w:t>
            </w:r>
            <w:r>
              <w:rPr>
                <w:rFonts w:ascii="仿宋_GB2312" w:hAnsi="仿宋_GB2312" w:cs="仿宋_GB2312" w:eastAsia="仿宋_GB2312"/>
              </w:rPr>
              <w:t>样品（含包装等）均不得明示任何商标、厂家及品牌标识或其他特殊标记等信息。</w:t>
            </w:r>
          </w:p>
          <w:p>
            <w:pPr>
              <w:pStyle w:val="null3"/>
              <w:ind w:firstLine="400"/>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样品的递交</w:t>
            </w:r>
          </w:p>
          <w:p>
            <w:pPr>
              <w:pStyle w:val="null3"/>
              <w:ind w:firstLine="400"/>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.1递交样品截止时间：同提交响应文件截止时间。</w:t>
            </w:r>
          </w:p>
          <w:p>
            <w:pPr>
              <w:pStyle w:val="null3"/>
              <w:ind w:firstLine="400"/>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.2递交地点：</w:t>
            </w:r>
            <w:r>
              <w:rPr>
                <w:rFonts w:ascii="仿宋_GB2312" w:hAnsi="仿宋_GB2312" w:cs="仿宋_GB2312" w:eastAsia="仿宋_GB2312"/>
              </w:rPr>
              <w:t>供应商需在</w:t>
            </w:r>
            <w:r>
              <w:rPr>
                <w:rFonts w:ascii="仿宋_GB2312" w:hAnsi="仿宋_GB2312" w:cs="仿宋_GB2312" w:eastAsia="仿宋_GB2312"/>
              </w:rPr>
              <w:t>投标截止时间前</w:t>
            </w:r>
            <w:r>
              <w:rPr>
                <w:rFonts w:ascii="仿宋_GB2312" w:hAnsi="仿宋_GB2312" w:cs="仿宋_GB2312" w:eastAsia="仿宋_GB2312"/>
              </w:rPr>
              <w:t>将样品送</w:t>
            </w:r>
            <w:r>
              <w:rPr>
                <w:rFonts w:ascii="仿宋_GB2312" w:hAnsi="仿宋_GB2312" w:cs="仿宋_GB2312" w:eastAsia="仿宋_GB2312"/>
              </w:rPr>
              <w:t>至西安市碑林区天金大厦</w:t>
            </w:r>
            <w:r>
              <w:rPr>
                <w:rFonts w:ascii="仿宋_GB2312" w:hAnsi="仿宋_GB2312" w:cs="仿宋_GB2312" w:eastAsia="仿宋_GB2312"/>
              </w:rPr>
              <w:t>10楼1003室</w:t>
            </w:r>
            <w:r>
              <w:rPr>
                <w:rFonts w:ascii="仿宋_GB2312" w:hAnsi="仿宋_GB2312" w:cs="仿宋_GB2312" w:eastAsia="仿宋_GB2312"/>
              </w:rPr>
              <w:t>，逾期不予受理。</w:t>
            </w:r>
          </w:p>
          <w:p>
            <w:pPr>
              <w:pStyle w:val="null3"/>
              <w:ind w:firstLine="400"/>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.3 采购人、采购代理机构对递交的样品进行检查，统一编号并封样留存，作为产品检验的依据，如质量下降，将依法追究成交供应商的责任。</w:t>
            </w:r>
          </w:p>
          <w:p>
            <w:pPr>
              <w:pStyle w:val="null3"/>
              <w:ind w:firstLine="400"/>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.4</w:t>
            </w:r>
            <w:r>
              <w:rPr>
                <w:rFonts w:ascii="仿宋_GB2312" w:hAnsi="仿宋_GB2312" w:cs="仿宋_GB2312" w:eastAsia="仿宋_GB2312"/>
              </w:rPr>
              <w:t>样品规格</w:t>
            </w:r>
            <w:r>
              <w:rPr>
                <w:rFonts w:ascii="仿宋_GB2312" w:hAnsi="仿宋_GB2312" w:cs="仿宋_GB2312" w:eastAsia="仿宋_GB2312"/>
              </w:rPr>
              <w:t>≥20mm×20mm且必须由供应商原厂制作</w:t>
            </w:r>
            <w:r>
              <w:rPr>
                <w:rFonts w:ascii="仿宋_GB2312" w:hAnsi="仿宋_GB2312" w:cs="仿宋_GB2312" w:eastAsia="仿宋_GB2312"/>
              </w:rPr>
              <w:t>如果发现转包制作，其磋商也将被拒绝。</w:t>
            </w:r>
          </w:p>
          <w:p>
            <w:pPr>
              <w:pStyle w:val="null3"/>
              <w:ind w:firstLine="400"/>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.5 样品退还办法：无效供应商样品开标当天退还，未中标人样品在成交公告发出后五个工作日内自行领取，如未在规定时间内领取样品，则样品由采购代理机构代为处理，后期不得有任何异议。成交供应商样品在全部产品验收合格后由采购人退还。</w:t>
            </w:r>
          </w:p>
          <w:p>
            <w:pPr>
              <w:pStyle w:val="null3"/>
              <w:ind w:firstLine="400"/>
            </w:pPr>
            <w:r>
              <w:rPr>
                <w:rFonts w:ascii="仿宋_GB2312" w:hAnsi="仿宋_GB2312" w:cs="仿宋_GB2312" w:eastAsia="仿宋_GB2312"/>
              </w:rPr>
              <w:t xml:space="preserve"> 3.4.6 各供应商自行承担样品搬运过程中发生的损失。</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rPr>
              <w:t>工期：</w:t>
            </w:r>
            <w:r>
              <w:rPr>
                <w:rFonts w:ascii="仿宋_GB2312" w:hAnsi="仿宋_GB2312" w:cs="仿宋_GB2312" w:eastAsia="仿宋_GB2312"/>
                <w:sz w:val="18"/>
              </w:rPr>
              <w:t>45</w:t>
            </w:r>
            <w:r>
              <w:rPr>
                <w:rFonts w:ascii="仿宋_GB2312" w:hAnsi="仿宋_GB2312" w:cs="仿宋_GB2312" w:eastAsia="仿宋_GB2312"/>
                <w:sz w:val="18"/>
              </w:rPr>
              <w:t>天</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rPr>
              <w:t>质保期：自本项目竣工验收合格之日起二年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达到国家和地方现行施工验收规范和质量检验“合格”标准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过程和成果必须符合《中华人民共和国建筑法》《中华人民共和国安全生产法》《建筑工程施工质量验收统一标准》《建设工程质量管理条例》《建设工程质量检测管理办法》《建设工程安全生产管理条例》《工程建设标准强制性条文》等法律法规以及地方管理的规定，必须符合房屋建筑工程施工质量验收标准和国家、省、市、行业及地方标准等相关规范要求，必须符合本合同及磋商文件的各项要求，以上规范存在冲突的以要求较高的为准，工程质量符合国家和地方现行施工验收规范和质量检验“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1.按照《西安市财政局关于促进政府采购公平竞争优化营商环境的通知》（市财函〔2021) 431号）规定：供应商下载竞争性磋商文件的，如不参与项目磋商，应在递交竞争性磋商响应文件截止时间前一日以书面形式告知釆购代理机构（出具弃标函发送至代理机构邮箱：2789758580@qq.com）。否则，采购代理机构可以向财政部门反映情况并提供相应的佐证。供应商一年内累计出现三次该情形，将被监管部门记录为失信行为。2.关于异常低价的处理：根据《关于推动解决政府采购异常低价问题的通知》（ 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3.供应商务必在开标截止时间30分钟前，通过项目电子化交易系统进行签到，如未进行签到，产生的一切后果由供应商自行承担。4.成交供应商需提供纸质版响应文正本壹份、副本贰份、电子版(U盘)贰份（包括响应文件的全部内容），纸质响应文件应与线上电子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w:t>
            </w:r>
          </w:p>
        </w:tc>
        <w:tc>
          <w:tcPr>
            <w:tcW w:type="dxa" w:w="3322"/>
          </w:tcPr>
          <w:p>
            <w:pPr>
              <w:pStyle w:val="null3"/>
            </w:pPr>
            <w:r>
              <w:rPr>
                <w:rFonts w:ascii="仿宋_GB2312" w:hAnsi="仿宋_GB2312" w:cs="仿宋_GB2312" w:eastAsia="仿宋_GB2312"/>
              </w:rPr>
              <w:t>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提供经审计的2024年或2025年度财务审计报告或提交响应文件截止时间前六个月内其基本账户开户银行出具的资信证明（附基本账户信息）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提供参加本次政府采购活动近三年内在经营活动中没有重大违法记录的书面声明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供应商应在“中国执行信息公开网”(http://zxgk.court.gov.cn/) 未被列入失信被执行人，“信用中国”(https://www.creditchina.gov.cn/) 未被列入重大税收违法失信主体及在“中国政府采购网”(http://www.ccgp.gov.cn/)未被列入政府采购严重违法失信行为记录名单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供应商须具备建筑装修装饰工程专业承包二级及以上资质，具有有效的安全生产许可证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供应商拟派项目经理具有建筑工程专业二级及以上注册建造师资格，具有有效的安全生产考核合格证书（建安 B 证），在本单位注册且无在建项目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报价一览表（首次）.docx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 （4）已标价工程量清单无工程量漏项，清单内容满足磋商文件要求。</w:t>
            </w:r>
          </w:p>
        </w:tc>
        <w:tc>
          <w:tcPr>
            <w:tcW w:type="dxa" w:w="1661"/>
          </w:tcPr>
          <w:p>
            <w:pPr>
              <w:pStyle w:val="null3"/>
            </w:pPr>
            <w:r>
              <w:rPr>
                <w:rFonts w:ascii="仿宋_GB2312" w:hAnsi="仿宋_GB2312" w:cs="仿宋_GB2312" w:eastAsia="仿宋_GB2312"/>
              </w:rPr>
              <w:t>响应文件封面 已标价工程量清单.docx 报价一览表（首次）.docx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报价一览表（首次）.docx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报价一览表（首次）.docx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施工组织设计方案</w:t>
            </w:r>
          </w:p>
        </w:tc>
        <w:tc>
          <w:tcPr>
            <w:tcW w:type="dxa" w:w="2492"/>
          </w:tcPr>
          <w:p>
            <w:pPr>
              <w:pStyle w:val="null3"/>
            </w:pPr>
            <w:r>
              <w:rPr>
                <w:rFonts w:ascii="仿宋_GB2312" w:hAnsi="仿宋_GB2312" w:cs="仿宋_GB2312" w:eastAsia="仿宋_GB2312"/>
              </w:rPr>
              <w:t>根据本项目特点，提供施工组织设计方案。具体包括：①项目组织管理机构；②施工方案；③施工部署及总平面布置；④确保安全生产的技术组织措施；⑤施工进度计划和确保工期措施；⑥安全文明施工与环境保护体系措施；⑦劳动力及材料供应计划；⑧施工机械设备的选用；⑨质量保证体系及措施；⑩新技术、新产品、新工艺、新材料应用。 注：以上内容均有体现且满足采购实际需求的得50分；每有一项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主材评审</w:t>
            </w:r>
          </w:p>
        </w:tc>
        <w:tc>
          <w:tcPr>
            <w:tcW w:type="dxa" w:w="2492"/>
          </w:tcPr>
          <w:p>
            <w:pPr>
              <w:pStyle w:val="null3"/>
            </w:pPr>
            <w:r>
              <w:rPr>
                <w:rFonts w:ascii="仿宋_GB2312" w:hAnsi="仿宋_GB2312" w:cs="仿宋_GB2312" w:eastAsia="仿宋_GB2312"/>
              </w:rPr>
              <w:t>根据本项目特点，提供符合本项目要求的抗菌防滑压花地坪及主材检测报告、技术参数性能证明材料等资料。 注：满足采购实际需求得满分4分，每有一项内容存在缺陷或者不能完全符合本项目要求的扣1分，扣完为止。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协调方案及保证措施</w:t>
            </w:r>
          </w:p>
        </w:tc>
        <w:tc>
          <w:tcPr>
            <w:tcW w:type="dxa" w:w="2492"/>
          </w:tcPr>
          <w:p>
            <w:pPr>
              <w:pStyle w:val="null3"/>
            </w:pPr>
            <w:r>
              <w:rPr>
                <w:rFonts w:ascii="仿宋_GB2312" w:hAnsi="仿宋_GB2312" w:cs="仿宋_GB2312" w:eastAsia="仿宋_GB2312"/>
              </w:rPr>
              <w:t>根据本项目特点，提供项目实施过程中周边关系协调方案和保证措施。 注：协调方案及保证措施可体现且满足采购实际需求的得3分；未提供或所提内容严重与需求不符的扣3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根据本项目特点，提供合理化建议。具体包括：①加快施工进度；②提高工程质量；③节省投资；④确保施工安全。 注：以上内容均有体现且满足采购实际需求的得4分；每有一项未提供或所提内容严重与需求不符的扣1分；每有一项内容存在缺陷或者不能完全符合本项目要求的扣0.5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应急措施及解决方案</w:t>
            </w:r>
          </w:p>
        </w:tc>
        <w:tc>
          <w:tcPr>
            <w:tcW w:type="dxa" w:w="2492"/>
          </w:tcPr>
          <w:p>
            <w:pPr>
              <w:pStyle w:val="null3"/>
            </w:pPr>
            <w:r>
              <w:rPr>
                <w:rFonts w:ascii="仿宋_GB2312" w:hAnsi="仿宋_GB2312" w:cs="仿宋_GB2312" w:eastAsia="仿宋_GB2312"/>
              </w:rPr>
              <w:t>根据本项目特点，提供突发事件的应急措施和解决方案。 注：应急措施及解决方案可体现且满足采购实际需求的得3分；未提供或所提内容严重与需求不符的扣3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提供2023年1月1日起至今的已完工类似项目业绩，每提供一项得2分，最高得6分。 注：供应商需提供所附业绩证明资料（合同复印件或扫描件并加盖投标人公章），未提供对应业绩证明资料的不予计分。 （时间以合同签订时间为准）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供应商认为有必要提供的其他资料.docx</w:t>
            </w:r>
          </w:p>
          <w:p>
            <w:pPr>
              <w:pStyle w:val="null3"/>
            </w:pPr>
            <w:r>
              <w:rPr>
                <w:rFonts w:ascii="仿宋_GB2312" w:hAnsi="仿宋_GB2312" w:cs="仿宋_GB2312" w:eastAsia="仿宋_GB2312"/>
              </w:rPr>
              <w:t>技术、服务、商务及其他要求响应.docx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报价一览表（首次）.docx</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报价一览表（首次）.docx</w:t>
            </w:r>
          </w:p>
          <w:p>
            <w:pPr>
              <w:pStyle w:val="null3"/>
            </w:pPr>
            <w:r>
              <w:rPr>
                <w:rFonts w:ascii="仿宋_GB2312" w:hAnsi="仿宋_GB2312" w:cs="仿宋_GB2312" w:eastAsia="仿宋_GB2312"/>
              </w:rPr>
              <w:t>报价一览表（二次报价表）.docx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详见附件：技术、服务、商务及其他要求响应.docx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详见附件：供应商认为有必要提供的其他资料.docx</w:t>
      </w:r>
    </w:p>
    <w:p>
      <w:pPr>
        <w:pStyle w:val="null3"/>
        <w:ind w:firstLine="960"/>
      </w:pPr>
      <w:r>
        <w:rPr>
          <w:rFonts w:ascii="仿宋_GB2312" w:hAnsi="仿宋_GB2312" w:cs="仿宋_GB2312" w:eastAsia="仿宋_GB2312"/>
        </w:rPr>
        <w:t>详见附件：报价一览表（二次报价表）.docx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