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5850BB3">
      <w:pPr>
        <w:pStyle w:val="4"/>
        <w:jc w:val="center"/>
        <w:outlineLvl w:val="1"/>
      </w:pPr>
      <w:r>
        <w:rPr>
          <w:rFonts w:ascii="仿宋_GB2312" w:hAnsi="仿宋_GB2312" w:eastAsia="仿宋_GB2312" w:cs="仿宋_GB2312"/>
          <w:b/>
          <w:sz w:val="36"/>
        </w:rPr>
        <w:t>磋商项目技术、服务、商务及其他要求</w:t>
      </w:r>
    </w:p>
    <w:p w14:paraId="73CF6466">
      <w:pPr>
        <w:pStyle w:val="4"/>
        <w:ind w:firstLine="480"/>
      </w:pPr>
      <w:r>
        <w:rPr>
          <w:rFonts w:ascii="仿宋_GB2312" w:hAnsi="仿宋_GB2312" w:eastAsia="仿宋_GB2312" w:cs="仿宋_GB2312"/>
        </w:rPr>
        <w:t xml:space="preserve"> （注：带“★”的参数需求为实质性要求，供应商必须响应并满足的参数需求，采购人、采购代理机构应当根据项目实际需求合理设定，并明确具体要求。带“▲”号条款为允许负偏离的参数需求，若未响应或者不满足，将在综合评审中予以扣分处理。）</w:t>
      </w:r>
    </w:p>
    <w:p w14:paraId="76FEBB5C">
      <w:pPr>
        <w:pStyle w:val="4"/>
        <w:outlineLvl w:val="2"/>
      </w:pPr>
      <w:r>
        <w:rPr>
          <w:rFonts w:ascii="仿宋_GB2312" w:hAnsi="仿宋_GB2312" w:eastAsia="仿宋_GB2312" w:cs="仿宋_GB2312"/>
          <w:b/>
          <w:sz w:val="28"/>
        </w:rPr>
        <w:t>3.1采购项目概况</w:t>
      </w:r>
    </w:p>
    <w:p w14:paraId="18BECFD9">
      <w:pPr>
        <w:pStyle w:val="4"/>
        <w:ind w:firstLine="480"/>
      </w:pPr>
      <w:r>
        <w:rPr>
          <w:rFonts w:ascii="仿宋_GB2312" w:hAnsi="仿宋_GB2312" w:eastAsia="仿宋_GB2312" w:cs="仿宋_GB2312"/>
        </w:rPr>
        <w:t>本项目主要内容：乙方派专人负责为甲方医院体检科参加体检的人员提供体检早餐配送及分发服务，包括餐品制作、分装、配送、摆放、分发、留样及餐后厨余垃圾清运，并承担甲方体检区域相关设备配置及餐具清洗等工作。</w:t>
      </w:r>
    </w:p>
    <w:p w14:paraId="3EA9A9D2">
      <w:pPr>
        <w:pStyle w:val="4"/>
        <w:outlineLvl w:val="2"/>
      </w:pPr>
      <w:r>
        <w:rPr>
          <w:rFonts w:ascii="仿宋_GB2312" w:hAnsi="仿宋_GB2312" w:eastAsia="仿宋_GB2312" w:cs="仿宋_GB2312"/>
          <w:b/>
          <w:sz w:val="28"/>
        </w:rPr>
        <w:t>3.2服务内容及服务要求</w:t>
      </w:r>
    </w:p>
    <w:p w14:paraId="7712B913">
      <w:pPr>
        <w:pStyle w:val="4"/>
        <w:outlineLvl w:val="3"/>
      </w:pPr>
      <w:r>
        <w:rPr>
          <w:rFonts w:ascii="仿宋_GB2312" w:hAnsi="仿宋_GB2312" w:eastAsia="仿宋_GB2312" w:cs="仿宋_GB2312"/>
          <w:b/>
          <w:sz w:val="24"/>
        </w:rPr>
        <w:t>3.2.1服务内容</w:t>
      </w:r>
    </w:p>
    <w:p w14:paraId="5A2DF5DA">
      <w:pPr>
        <w:pStyle w:val="4"/>
      </w:pPr>
      <w:r>
        <w:rPr>
          <w:rFonts w:ascii="仿宋_GB2312" w:hAnsi="仿宋_GB2312" w:eastAsia="仿宋_GB2312" w:cs="仿宋_GB2312"/>
        </w:rPr>
        <w:t>采购包1：</w:t>
      </w:r>
    </w:p>
    <w:p w14:paraId="5A0F5414">
      <w:pPr>
        <w:pStyle w:val="4"/>
      </w:pPr>
      <w:r>
        <w:rPr>
          <w:rFonts w:ascii="仿宋_GB2312" w:hAnsi="仿宋_GB2312" w:eastAsia="仿宋_GB2312" w:cs="仿宋_GB2312"/>
        </w:rPr>
        <w:t>采购包预算金额（元）: 600,000.00</w:t>
      </w:r>
    </w:p>
    <w:p w14:paraId="1AB51C43">
      <w:pPr>
        <w:pStyle w:val="4"/>
      </w:pPr>
      <w:r>
        <w:rPr>
          <w:rFonts w:ascii="仿宋_GB2312" w:hAnsi="仿宋_GB2312" w:eastAsia="仿宋_GB2312" w:cs="仿宋_GB2312"/>
        </w:rPr>
        <w:t>采购包最高限价（元）: 600,000.00</w:t>
      </w:r>
    </w:p>
    <w:p w14:paraId="6DEAD734">
      <w:pPr>
        <w:pStyle w:val="4"/>
      </w:pPr>
      <w:r>
        <w:rPr>
          <w:rFonts w:ascii="仿宋_GB2312" w:hAnsi="仿宋_GB2312" w:eastAsia="仿宋_GB2312" w:cs="仿宋_GB2312"/>
        </w:rPr>
        <w:t>供应商报价不允许超过标的金额</w:t>
      </w:r>
    </w:p>
    <w:p w14:paraId="7950BF1E">
      <w:pPr>
        <w:pStyle w:val="4"/>
      </w:pPr>
      <w:r>
        <w:rPr>
          <w:rFonts w:ascii="仿宋_GB2312" w:hAnsi="仿宋_GB2312" w:eastAsia="仿宋_GB2312" w:cs="仿宋_GB2312"/>
        </w:rPr>
        <w:t>（招单价的）供应商报价不允许超过标的单价</w:t>
      </w:r>
    </w:p>
    <w:tbl>
      <w:tblPr>
        <w:tblStyle w:val="2"/>
        <w:tblW w:w="9024"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29"/>
        <w:gridCol w:w="729"/>
        <w:gridCol w:w="744"/>
        <w:gridCol w:w="1216"/>
        <w:gridCol w:w="729"/>
        <w:gridCol w:w="729"/>
        <w:gridCol w:w="729"/>
        <w:gridCol w:w="729"/>
        <w:gridCol w:w="729"/>
        <w:gridCol w:w="729"/>
        <w:gridCol w:w="1232"/>
      </w:tblGrid>
      <w:tr w14:paraId="1BC370B0">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29" w:type="dxa"/>
          </w:tcPr>
          <w:p w14:paraId="750B1101">
            <w:pPr>
              <w:pStyle w:val="4"/>
            </w:pPr>
            <w:r>
              <w:rPr>
                <w:rFonts w:ascii="仿宋_GB2312" w:hAnsi="仿宋_GB2312" w:eastAsia="仿宋_GB2312" w:cs="仿宋_GB2312"/>
              </w:rPr>
              <w:t>序号</w:t>
            </w:r>
          </w:p>
        </w:tc>
        <w:tc>
          <w:tcPr>
            <w:tcW w:w="729" w:type="dxa"/>
          </w:tcPr>
          <w:p w14:paraId="7A15FF64">
            <w:pPr>
              <w:pStyle w:val="4"/>
            </w:pPr>
            <w:r>
              <w:rPr>
                <w:rFonts w:ascii="仿宋_GB2312" w:hAnsi="仿宋_GB2312" w:eastAsia="仿宋_GB2312" w:cs="仿宋_GB2312"/>
              </w:rPr>
              <w:t>标的名称</w:t>
            </w:r>
          </w:p>
        </w:tc>
        <w:tc>
          <w:tcPr>
            <w:tcW w:w="744" w:type="dxa"/>
          </w:tcPr>
          <w:p w14:paraId="3C51932B">
            <w:pPr>
              <w:pStyle w:val="4"/>
            </w:pPr>
            <w:r>
              <w:rPr>
                <w:rFonts w:ascii="仿宋_GB2312" w:hAnsi="仿宋_GB2312" w:eastAsia="仿宋_GB2312" w:cs="仿宋_GB2312"/>
              </w:rPr>
              <w:t>数量</w:t>
            </w:r>
          </w:p>
        </w:tc>
        <w:tc>
          <w:tcPr>
            <w:tcW w:w="1216" w:type="dxa"/>
          </w:tcPr>
          <w:p w14:paraId="2378A5BC">
            <w:pPr>
              <w:pStyle w:val="4"/>
            </w:pPr>
            <w:r>
              <w:rPr>
                <w:rFonts w:ascii="仿宋_GB2312" w:hAnsi="仿宋_GB2312" w:eastAsia="仿宋_GB2312" w:cs="仿宋_GB2312"/>
              </w:rPr>
              <w:t>标的金额 （元）</w:t>
            </w:r>
          </w:p>
        </w:tc>
        <w:tc>
          <w:tcPr>
            <w:tcW w:w="729" w:type="dxa"/>
          </w:tcPr>
          <w:p w14:paraId="5853F9E7">
            <w:pPr>
              <w:pStyle w:val="4"/>
            </w:pPr>
            <w:r>
              <w:rPr>
                <w:rFonts w:ascii="仿宋_GB2312" w:hAnsi="仿宋_GB2312" w:eastAsia="仿宋_GB2312" w:cs="仿宋_GB2312"/>
              </w:rPr>
              <w:t>计量单位</w:t>
            </w:r>
          </w:p>
        </w:tc>
        <w:tc>
          <w:tcPr>
            <w:tcW w:w="729" w:type="dxa"/>
          </w:tcPr>
          <w:p w14:paraId="4648F297">
            <w:pPr>
              <w:pStyle w:val="4"/>
            </w:pPr>
            <w:r>
              <w:rPr>
                <w:rFonts w:ascii="仿宋_GB2312" w:hAnsi="仿宋_GB2312" w:eastAsia="仿宋_GB2312" w:cs="仿宋_GB2312"/>
              </w:rPr>
              <w:t>所属行业</w:t>
            </w:r>
          </w:p>
        </w:tc>
        <w:tc>
          <w:tcPr>
            <w:tcW w:w="729" w:type="dxa"/>
          </w:tcPr>
          <w:p w14:paraId="1599097A">
            <w:pPr>
              <w:pStyle w:val="4"/>
            </w:pPr>
            <w:r>
              <w:rPr>
                <w:rFonts w:ascii="仿宋_GB2312" w:hAnsi="仿宋_GB2312" w:eastAsia="仿宋_GB2312" w:cs="仿宋_GB2312"/>
              </w:rPr>
              <w:t>是否核心产品</w:t>
            </w:r>
          </w:p>
        </w:tc>
        <w:tc>
          <w:tcPr>
            <w:tcW w:w="729" w:type="dxa"/>
          </w:tcPr>
          <w:p w14:paraId="10975577">
            <w:pPr>
              <w:pStyle w:val="4"/>
            </w:pPr>
            <w:r>
              <w:rPr>
                <w:rFonts w:ascii="仿宋_GB2312" w:hAnsi="仿宋_GB2312" w:eastAsia="仿宋_GB2312" w:cs="仿宋_GB2312"/>
              </w:rPr>
              <w:t>是否允许进口产品</w:t>
            </w:r>
          </w:p>
        </w:tc>
        <w:tc>
          <w:tcPr>
            <w:tcW w:w="729" w:type="dxa"/>
          </w:tcPr>
          <w:p w14:paraId="6B6BCF7E">
            <w:pPr>
              <w:pStyle w:val="4"/>
            </w:pPr>
            <w:r>
              <w:rPr>
                <w:rFonts w:ascii="仿宋_GB2312" w:hAnsi="仿宋_GB2312" w:eastAsia="仿宋_GB2312" w:cs="仿宋_GB2312"/>
              </w:rPr>
              <w:t>是否属于节能产品</w:t>
            </w:r>
          </w:p>
        </w:tc>
        <w:tc>
          <w:tcPr>
            <w:tcW w:w="729" w:type="dxa"/>
          </w:tcPr>
          <w:p w14:paraId="1B59EA73">
            <w:pPr>
              <w:pStyle w:val="4"/>
            </w:pPr>
            <w:r>
              <w:rPr>
                <w:rFonts w:ascii="仿宋_GB2312" w:hAnsi="仿宋_GB2312" w:eastAsia="仿宋_GB2312" w:cs="仿宋_GB2312"/>
              </w:rPr>
              <w:t>是否属于环境标志产品</w:t>
            </w:r>
          </w:p>
        </w:tc>
        <w:tc>
          <w:tcPr>
            <w:tcW w:w="1232" w:type="dxa"/>
          </w:tcPr>
          <w:p w14:paraId="45342437">
            <w:pPr>
              <w:pStyle w:val="4"/>
            </w:pPr>
            <w:r>
              <w:rPr>
                <w:rFonts w:ascii="仿宋_GB2312" w:hAnsi="仿宋_GB2312" w:eastAsia="仿宋_GB2312" w:cs="仿宋_GB2312"/>
              </w:rPr>
              <w:t>是否实施本国产品政策</w:t>
            </w:r>
          </w:p>
        </w:tc>
      </w:tr>
      <w:tr w14:paraId="188D1D63">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29" w:type="dxa"/>
          </w:tcPr>
          <w:p w14:paraId="0D6AED10">
            <w:pPr>
              <w:pStyle w:val="4"/>
            </w:pPr>
            <w:r>
              <w:rPr>
                <w:rFonts w:ascii="仿宋_GB2312" w:hAnsi="仿宋_GB2312" w:eastAsia="仿宋_GB2312" w:cs="仿宋_GB2312"/>
              </w:rPr>
              <w:t>1</w:t>
            </w:r>
          </w:p>
        </w:tc>
        <w:tc>
          <w:tcPr>
            <w:tcW w:w="729" w:type="dxa"/>
          </w:tcPr>
          <w:p w14:paraId="439D8743">
            <w:pPr>
              <w:pStyle w:val="4"/>
            </w:pPr>
            <w:r>
              <w:rPr>
                <w:rFonts w:ascii="仿宋_GB2312" w:hAnsi="仿宋_GB2312" w:eastAsia="仿宋_GB2312" w:cs="仿宋_GB2312"/>
              </w:rPr>
              <w:t>为来院体检团队提供早餐或午餐制作配送及分发服务</w:t>
            </w:r>
          </w:p>
        </w:tc>
        <w:tc>
          <w:tcPr>
            <w:tcW w:w="744" w:type="dxa"/>
          </w:tcPr>
          <w:p w14:paraId="79DE23F7">
            <w:pPr>
              <w:pStyle w:val="4"/>
              <w:jc w:val="right"/>
            </w:pPr>
            <w:r>
              <w:rPr>
                <w:rFonts w:ascii="仿宋_GB2312" w:hAnsi="仿宋_GB2312" w:eastAsia="仿宋_GB2312" w:cs="仿宋_GB2312"/>
              </w:rPr>
              <w:t>1.00</w:t>
            </w:r>
          </w:p>
        </w:tc>
        <w:tc>
          <w:tcPr>
            <w:tcW w:w="1216" w:type="dxa"/>
          </w:tcPr>
          <w:p w14:paraId="4EF7390C">
            <w:pPr>
              <w:pStyle w:val="4"/>
              <w:jc w:val="right"/>
            </w:pPr>
            <w:r>
              <w:rPr>
                <w:rFonts w:ascii="仿宋_GB2312" w:hAnsi="仿宋_GB2312" w:eastAsia="仿宋_GB2312" w:cs="仿宋_GB2312"/>
              </w:rPr>
              <w:t>600,000.00</w:t>
            </w:r>
          </w:p>
        </w:tc>
        <w:tc>
          <w:tcPr>
            <w:tcW w:w="729" w:type="dxa"/>
          </w:tcPr>
          <w:p w14:paraId="5458C182">
            <w:pPr>
              <w:pStyle w:val="4"/>
            </w:pPr>
            <w:r>
              <w:rPr>
                <w:rFonts w:ascii="仿宋_GB2312" w:hAnsi="仿宋_GB2312" w:eastAsia="仿宋_GB2312" w:cs="仿宋_GB2312"/>
              </w:rPr>
              <w:t>项</w:t>
            </w:r>
          </w:p>
        </w:tc>
        <w:tc>
          <w:tcPr>
            <w:tcW w:w="729" w:type="dxa"/>
          </w:tcPr>
          <w:p w14:paraId="6CCE56C1">
            <w:pPr>
              <w:pStyle w:val="4"/>
            </w:pPr>
            <w:r>
              <w:rPr>
                <w:rFonts w:ascii="仿宋_GB2312" w:hAnsi="仿宋_GB2312" w:eastAsia="仿宋_GB2312" w:cs="仿宋_GB2312"/>
              </w:rPr>
              <w:t>租赁和商务服务业</w:t>
            </w:r>
          </w:p>
        </w:tc>
        <w:tc>
          <w:tcPr>
            <w:tcW w:w="729" w:type="dxa"/>
          </w:tcPr>
          <w:p w14:paraId="17687269">
            <w:pPr>
              <w:pStyle w:val="4"/>
            </w:pPr>
            <w:r>
              <w:rPr>
                <w:rFonts w:ascii="仿宋_GB2312" w:hAnsi="仿宋_GB2312" w:eastAsia="仿宋_GB2312" w:cs="仿宋_GB2312"/>
              </w:rPr>
              <w:t>否</w:t>
            </w:r>
          </w:p>
        </w:tc>
        <w:tc>
          <w:tcPr>
            <w:tcW w:w="729" w:type="dxa"/>
          </w:tcPr>
          <w:p w14:paraId="1BCA5175">
            <w:pPr>
              <w:pStyle w:val="4"/>
            </w:pPr>
            <w:r>
              <w:rPr>
                <w:rFonts w:ascii="仿宋_GB2312" w:hAnsi="仿宋_GB2312" w:eastAsia="仿宋_GB2312" w:cs="仿宋_GB2312"/>
              </w:rPr>
              <w:t>否</w:t>
            </w:r>
          </w:p>
        </w:tc>
        <w:tc>
          <w:tcPr>
            <w:tcW w:w="729" w:type="dxa"/>
          </w:tcPr>
          <w:p w14:paraId="36F6A041">
            <w:pPr>
              <w:pStyle w:val="4"/>
            </w:pPr>
            <w:r>
              <w:rPr>
                <w:rFonts w:ascii="仿宋_GB2312" w:hAnsi="仿宋_GB2312" w:eastAsia="仿宋_GB2312" w:cs="仿宋_GB2312"/>
              </w:rPr>
              <w:t>否</w:t>
            </w:r>
          </w:p>
        </w:tc>
        <w:tc>
          <w:tcPr>
            <w:tcW w:w="729" w:type="dxa"/>
          </w:tcPr>
          <w:p w14:paraId="2D2FF6D1">
            <w:pPr>
              <w:pStyle w:val="4"/>
            </w:pPr>
            <w:r>
              <w:rPr>
                <w:rFonts w:ascii="仿宋_GB2312" w:hAnsi="仿宋_GB2312" w:eastAsia="仿宋_GB2312" w:cs="仿宋_GB2312"/>
              </w:rPr>
              <w:t>否</w:t>
            </w:r>
          </w:p>
        </w:tc>
        <w:tc>
          <w:tcPr>
            <w:tcW w:w="1232" w:type="dxa"/>
          </w:tcPr>
          <w:p w14:paraId="38DBF3E2">
            <w:pPr>
              <w:pStyle w:val="4"/>
            </w:pPr>
            <w:r>
              <w:rPr>
                <w:rFonts w:ascii="仿宋_GB2312" w:hAnsi="仿宋_GB2312" w:eastAsia="仿宋_GB2312" w:cs="仿宋_GB2312"/>
              </w:rPr>
              <w:t>否</w:t>
            </w:r>
          </w:p>
        </w:tc>
      </w:tr>
    </w:tbl>
    <w:p w14:paraId="56382EA4">
      <w:pPr>
        <w:pStyle w:val="4"/>
        <w:outlineLvl w:val="2"/>
      </w:pPr>
      <w:r>
        <w:rPr>
          <w:rFonts w:ascii="仿宋_GB2312" w:hAnsi="仿宋_GB2312" w:eastAsia="仿宋_GB2312" w:cs="仿宋_GB2312"/>
          <w:b/>
          <w:sz w:val="28"/>
        </w:rPr>
        <w:t>3.2.2服务要求</w:t>
      </w:r>
    </w:p>
    <w:p w14:paraId="2B0330A1">
      <w:pPr>
        <w:pStyle w:val="4"/>
      </w:pPr>
      <w:r>
        <w:rPr>
          <w:rFonts w:ascii="仿宋_GB2312" w:hAnsi="仿宋_GB2312" w:eastAsia="仿宋_GB2312" w:cs="仿宋_GB2312"/>
        </w:rPr>
        <w:t>采购包1：</w:t>
      </w:r>
    </w:p>
    <w:p w14:paraId="55BD21C2">
      <w:pPr>
        <w:pStyle w:val="4"/>
      </w:pPr>
      <w:r>
        <w:rPr>
          <w:rFonts w:ascii="仿宋_GB2312" w:hAnsi="仿宋_GB2312" w:eastAsia="仿宋_GB2312" w:cs="仿宋_GB2312"/>
        </w:rPr>
        <w:t>标的名称：为来院体检团队提供早餐或午餐制作配送及分发服务</w:t>
      </w:r>
    </w:p>
    <w:tbl>
      <w:tblPr>
        <w:tblStyle w:val="2"/>
        <w:tblW w:w="9309" w:type="dxa"/>
        <w:tblInd w:w="0" w:type="dxa"/>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Layout w:type="autofit"/>
        <w:tblCellMar>
          <w:top w:w="0" w:type="dxa"/>
          <w:left w:w="108" w:type="dxa"/>
          <w:bottom w:w="0" w:type="dxa"/>
          <w:right w:w="108" w:type="dxa"/>
        </w:tblCellMar>
      </w:tblPr>
      <w:tblGrid>
        <w:gridCol w:w="774"/>
        <w:gridCol w:w="1185"/>
        <w:gridCol w:w="7350"/>
      </w:tblGrid>
      <w:tr w14:paraId="0397EB3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74" w:type="dxa"/>
          </w:tcPr>
          <w:p w14:paraId="603C8591">
            <w:pPr>
              <w:pStyle w:val="4"/>
            </w:pPr>
            <w:r>
              <w:rPr>
                <w:rFonts w:ascii="仿宋_GB2312" w:hAnsi="仿宋_GB2312" w:eastAsia="仿宋_GB2312" w:cs="仿宋_GB2312"/>
              </w:rPr>
              <w:t xml:space="preserve"> 序号</w:t>
            </w:r>
          </w:p>
        </w:tc>
        <w:tc>
          <w:tcPr>
            <w:tcW w:w="1185" w:type="dxa"/>
          </w:tcPr>
          <w:p w14:paraId="047BBCB9">
            <w:pPr>
              <w:pStyle w:val="4"/>
            </w:pPr>
            <w:r>
              <w:rPr>
                <w:rFonts w:ascii="仿宋_GB2312" w:hAnsi="仿宋_GB2312" w:eastAsia="仿宋_GB2312" w:cs="仿宋_GB2312"/>
              </w:rPr>
              <w:t xml:space="preserve"> 参数性质</w:t>
            </w:r>
          </w:p>
        </w:tc>
        <w:tc>
          <w:tcPr>
            <w:tcW w:w="7350" w:type="dxa"/>
          </w:tcPr>
          <w:p w14:paraId="39E4EC26">
            <w:pPr>
              <w:pStyle w:val="4"/>
            </w:pPr>
            <w:r>
              <w:rPr>
                <w:rFonts w:ascii="仿宋_GB2312" w:hAnsi="仿宋_GB2312" w:eastAsia="仿宋_GB2312" w:cs="仿宋_GB2312"/>
              </w:rPr>
              <w:t xml:space="preserve"> 技术参数与性能指标</w:t>
            </w:r>
          </w:p>
        </w:tc>
      </w:tr>
      <w:tr w14:paraId="6F2A9ECA">
        <w:tblPrEx>
          <w:tblBorders>
            <w:top w:val="single" w:color="auto" w:sz="0" w:space="0"/>
            <w:left w:val="single" w:color="auto" w:sz="0" w:space="0"/>
            <w:bottom w:val="single" w:color="auto" w:sz="0" w:space="0"/>
            <w:right w:val="single" w:color="auto" w:sz="0" w:space="0"/>
            <w:insideH w:val="single" w:color="auto" w:sz="0" w:space="0"/>
            <w:insideV w:val="single" w:color="auto" w:sz="0" w:space="0"/>
          </w:tblBorders>
          <w:tblCellMar>
            <w:top w:w="0" w:type="dxa"/>
            <w:left w:w="108" w:type="dxa"/>
            <w:bottom w:w="0" w:type="dxa"/>
            <w:right w:w="108" w:type="dxa"/>
          </w:tblCellMar>
        </w:tblPrEx>
        <w:tc>
          <w:tcPr>
            <w:tcW w:w="774" w:type="dxa"/>
          </w:tcPr>
          <w:p w14:paraId="73E062B9">
            <w:pPr>
              <w:pStyle w:val="4"/>
            </w:pPr>
            <w:r>
              <w:rPr>
                <w:rFonts w:ascii="仿宋_GB2312" w:hAnsi="仿宋_GB2312" w:eastAsia="仿宋_GB2312" w:cs="仿宋_GB2312"/>
              </w:rPr>
              <w:t>1</w:t>
            </w:r>
          </w:p>
        </w:tc>
        <w:tc>
          <w:tcPr>
            <w:tcW w:w="1185" w:type="dxa"/>
          </w:tcPr>
          <w:p w14:paraId="0C5E76C5"/>
        </w:tc>
        <w:tc>
          <w:tcPr>
            <w:tcW w:w="7350" w:type="dxa"/>
          </w:tcPr>
          <w:p w14:paraId="5D48ADB4">
            <w:pPr>
              <w:pStyle w:val="4"/>
              <w:jc w:val="left"/>
            </w:pPr>
            <w:r>
              <w:rPr>
                <w:rFonts w:ascii="仿宋_GB2312" w:hAnsi="仿宋_GB2312" w:eastAsia="仿宋_GB2312" w:cs="仿宋_GB2312"/>
                <w:color w:val="000000"/>
                <w:sz w:val="19"/>
              </w:rPr>
              <w:t>一、营养与医学参数。</w:t>
            </w:r>
          </w:p>
          <w:p w14:paraId="6E68A170">
            <w:pPr>
              <w:pStyle w:val="4"/>
              <w:jc w:val="left"/>
            </w:pPr>
            <w:r>
              <w:rPr>
                <w:rFonts w:ascii="仿宋_GB2312" w:hAnsi="仿宋_GB2312" w:eastAsia="仿宋_GB2312" w:cs="仿宋_GB2312"/>
                <w:color w:val="000000"/>
                <w:sz w:val="19"/>
              </w:rPr>
              <w:t>（1）低脂，低盐。严禁高油条，重油糕点，脂肪含量，建议每100g食物脂肪小于59（如白煮蛋、无糖馒头者无糖豆浆）。</w:t>
            </w:r>
          </w:p>
          <w:p w14:paraId="6911DC25">
            <w:pPr>
              <w:pStyle w:val="4"/>
              <w:jc w:val="left"/>
            </w:pPr>
            <w:r>
              <w:rPr>
                <w:rFonts w:ascii="仿宋_GB2312" w:hAnsi="仿宋_GB2312" w:eastAsia="仿宋_GB2312" w:cs="仿宋_GB2312"/>
                <w:color w:val="000000"/>
                <w:sz w:val="19"/>
              </w:rPr>
              <w:t>（2）优质蛋白。每人。每份需含至少一个鸡蛋（水煮）搭配牛奶或者无糖豆浆。</w:t>
            </w:r>
          </w:p>
          <w:p w14:paraId="39984D6B">
            <w:pPr>
              <w:pStyle w:val="4"/>
              <w:jc w:val="left"/>
            </w:pPr>
            <w:r>
              <w:rPr>
                <w:rFonts w:ascii="仿宋_GB2312" w:hAnsi="仿宋_GB2312" w:eastAsia="仿宋_GB2312" w:cs="仿宋_GB2312"/>
                <w:color w:val="000000"/>
                <w:sz w:val="19"/>
              </w:rPr>
              <w:t>（3）膳食纤维需含少量粗纤维，如玉米段、红薯，促进肠道蠕动。避免易产气的食物。</w:t>
            </w:r>
          </w:p>
          <w:p w14:paraId="68F165AD">
            <w:pPr>
              <w:pStyle w:val="4"/>
              <w:jc w:val="left"/>
            </w:pPr>
            <w:r>
              <w:rPr>
                <w:rFonts w:ascii="仿宋_GB2312" w:hAnsi="仿宋_GB2312" w:eastAsia="仿宋_GB2312" w:cs="仿宋_GB2312"/>
                <w:color w:val="000000"/>
                <w:sz w:val="19"/>
              </w:rPr>
              <w:t>二、食品安全与卫生参数</w:t>
            </w:r>
          </w:p>
          <w:p w14:paraId="488DCDF5">
            <w:pPr>
              <w:pStyle w:val="4"/>
              <w:jc w:val="left"/>
            </w:pPr>
            <w:r>
              <w:rPr>
                <w:rFonts w:ascii="仿宋_GB2312" w:hAnsi="仿宋_GB2312" w:eastAsia="仿宋_GB2312" w:cs="仿宋_GB2312"/>
                <w:color w:val="000000"/>
                <w:sz w:val="19"/>
              </w:rPr>
              <w:t>（1）中心温度热食如：粥、包子出锅或复热后，中心温度需保持60°以上，防止细菌滋生。</w:t>
            </w:r>
          </w:p>
          <w:p w14:paraId="5FF859A8">
            <w:pPr>
              <w:pStyle w:val="4"/>
              <w:jc w:val="left"/>
            </w:pPr>
            <w:r>
              <w:rPr>
                <w:rFonts w:ascii="仿宋_GB2312" w:hAnsi="仿宋_GB2312" w:eastAsia="仿宋_GB2312" w:cs="仿宋_GB2312"/>
                <w:color w:val="000000"/>
                <w:sz w:val="19"/>
              </w:rPr>
              <w:t>（2）留样标准。每个品种早餐留样大于等于125g，在专用冰箱冷藏保存48小时标注日期和餐次。</w:t>
            </w:r>
          </w:p>
          <w:p w14:paraId="7ABF2C3C">
            <w:pPr>
              <w:pStyle w:val="4"/>
              <w:jc w:val="left"/>
            </w:pPr>
            <w:r>
              <w:rPr>
                <w:rFonts w:ascii="仿宋_GB2312" w:hAnsi="仿宋_GB2312" w:eastAsia="仿宋_GB2312" w:cs="仿宋_GB2312"/>
                <w:color w:val="000000"/>
                <w:sz w:val="19"/>
              </w:rPr>
              <w:t>（3）生熟分离：切配水果（如苹果）的砧板，需要处理生食的砧板，严格要区分开来。</w:t>
            </w:r>
          </w:p>
          <w:p w14:paraId="6038ADE3">
            <w:pPr>
              <w:pStyle w:val="4"/>
              <w:jc w:val="left"/>
            </w:pPr>
            <w:r>
              <w:rPr>
                <w:rFonts w:ascii="仿宋_GB2312" w:hAnsi="仿宋_GB2312" w:eastAsia="仿宋_GB2312" w:cs="仿宋_GB2312"/>
                <w:color w:val="000000"/>
                <w:sz w:val="19"/>
              </w:rPr>
              <w:t>三、分发与包装参数</w:t>
            </w:r>
          </w:p>
          <w:p w14:paraId="6AE999B3">
            <w:pPr>
              <w:pStyle w:val="4"/>
              <w:jc w:val="left"/>
            </w:pPr>
            <w:r>
              <w:rPr>
                <w:rFonts w:ascii="仿宋_GB2312" w:hAnsi="仿宋_GB2312" w:eastAsia="仿宋_GB2312" w:cs="仿宋_GB2312"/>
                <w:color w:val="000000"/>
                <w:sz w:val="19"/>
              </w:rPr>
              <w:t>（1）独立分装：建议采用套餐独立包装，避免交叉感染，且便于快速发放，常用标准是分格餐盒，（干湿分离，如，粥不能把包子泡湿了）。</w:t>
            </w:r>
          </w:p>
          <w:p w14:paraId="4254E18E">
            <w:pPr>
              <w:pStyle w:val="4"/>
              <w:jc w:val="left"/>
            </w:pPr>
            <w:r>
              <w:rPr>
                <w:rFonts w:ascii="仿宋_GB2312" w:hAnsi="仿宋_GB2312" w:eastAsia="仿宋_GB2312" w:cs="仿宋_GB2312"/>
                <w:color w:val="000000"/>
                <w:sz w:val="19"/>
              </w:rPr>
              <w:t>（2）发放温度：发放时液态饮品温度建议控制在40至50度，不烫口且保持空腹肠胃。</w:t>
            </w:r>
          </w:p>
          <w:p w14:paraId="63BBEB09">
            <w:pPr>
              <w:pStyle w:val="4"/>
              <w:jc w:val="left"/>
            </w:pPr>
            <w:r>
              <w:rPr>
                <w:rFonts w:ascii="仿宋_GB2312" w:hAnsi="仿宋_GB2312" w:eastAsia="仿宋_GB2312" w:cs="仿宋_GB2312"/>
                <w:color w:val="000000"/>
                <w:sz w:val="19"/>
              </w:rPr>
              <w:t>（3）时效性：从备餐完成到体检手中，时长控制在2小时内。</w:t>
            </w:r>
          </w:p>
          <w:p w14:paraId="5F5F3B23">
            <w:pPr>
              <w:pStyle w:val="4"/>
              <w:jc w:val="left"/>
            </w:pPr>
            <w:r>
              <w:rPr>
                <w:rFonts w:ascii="仿宋_GB2312" w:hAnsi="仿宋_GB2312" w:eastAsia="仿宋_GB2312" w:cs="仿宋_GB2312"/>
                <w:color w:val="000000"/>
                <w:sz w:val="19"/>
              </w:rPr>
              <w:t>四、常见套餐搭配参数</w:t>
            </w:r>
          </w:p>
          <w:p w14:paraId="5F9D742A">
            <w:pPr>
              <w:pStyle w:val="4"/>
              <w:jc w:val="left"/>
            </w:pPr>
            <w:r>
              <w:rPr>
                <w:rFonts w:ascii="仿宋_GB2312" w:hAnsi="仿宋_GB2312" w:eastAsia="仿宋_GB2312" w:cs="仿宋_GB2312"/>
                <w:color w:val="000000"/>
                <w:sz w:val="21"/>
              </w:rPr>
              <w:t>（1）A类（基础款涵盖低糖）主食+鸡蛋+四种小菜+饮品+粗粮食品+白糖+时令水果，最高限价10元/份。</w:t>
            </w:r>
          </w:p>
          <w:p w14:paraId="01EF2659">
            <w:pPr>
              <w:pStyle w:val="4"/>
            </w:pPr>
            <w:r>
              <w:rPr>
                <w:rFonts w:ascii="仿宋_GB2312" w:hAnsi="仿宋_GB2312" w:eastAsia="仿宋_GB2312" w:cs="仿宋_GB2312"/>
                <w:color w:val="000000"/>
                <w:sz w:val="21"/>
              </w:rPr>
              <w:t>要求：主食为手工花卷、手工馒头、包子、手工粗粮花卷、馒头或者玉米饼等。每天六选二送配，粗粮主食为每天必配；四种小菜根据季节和我科提前商定；饮品为无糖豆浆和稀饭，稀饭为小米稀饭、南瓜粥、大米粥或者包谷珍稀饭，豆浆每天必配，稀饭每天四选二配送；白糖单配；粗粮食品为红薯或者玉米，每天二选一配送；水果根据季节和采购人需求商定品种配送；</w:t>
            </w:r>
          </w:p>
          <w:p w14:paraId="11C59A40">
            <w:pPr>
              <w:pStyle w:val="4"/>
            </w:pPr>
            <w:r>
              <w:rPr>
                <w:rFonts w:ascii="仿宋_GB2312" w:hAnsi="仿宋_GB2312" w:eastAsia="仿宋_GB2312" w:cs="仿宋_GB2312"/>
                <w:color w:val="000000"/>
                <w:sz w:val="21"/>
              </w:rPr>
              <w:t>（2）B类（优质款）三明治+鸡蛋+面包+牛奶或者酸奶+粗粮，最高限价15元/份。</w:t>
            </w:r>
          </w:p>
          <w:p w14:paraId="726D5A19">
            <w:pPr>
              <w:pStyle w:val="4"/>
            </w:pPr>
            <w:r>
              <w:rPr>
                <w:rFonts w:ascii="仿宋_GB2312" w:hAnsi="仿宋_GB2312" w:eastAsia="仿宋_GB2312" w:cs="仿宋_GB2312"/>
                <w:color w:val="000000"/>
                <w:sz w:val="21"/>
              </w:rPr>
              <w:t>要求：粗粮红薯或者玉米二选一。</w:t>
            </w:r>
          </w:p>
          <w:p w14:paraId="2124DA1E">
            <w:pPr>
              <w:pStyle w:val="4"/>
              <w:jc w:val="left"/>
            </w:pPr>
            <w:r>
              <w:rPr>
                <w:rFonts w:ascii="仿宋_GB2312" w:hAnsi="仿宋_GB2312" w:eastAsia="仿宋_GB2312" w:cs="仿宋_GB2312"/>
                <w:color w:val="000000"/>
                <w:sz w:val="19"/>
              </w:rPr>
              <w:t>五、特殊需求参数：</w:t>
            </w:r>
          </w:p>
          <w:p w14:paraId="0CCE2C50">
            <w:pPr>
              <w:pStyle w:val="4"/>
              <w:jc w:val="left"/>
            </w:pPr>
            <w:r>
              <w:rPr>
                <w:rFonts w:ascii="仿宋_GB2312" w:hAnsi="仿宋_GB2312" w:eastAsia="仿宋_GB2312" w:cs="仿宋_GB2312"/>
                <w:color w:val="000000"/>
                <w:sz w:val="19"/>
              </w:rPr>
              <w:t>（1）无糖专业区：明确标识“无糖”餐食供糖尿病患者领取，（无糖馒头，纯牛奶）。</w:t>
            </w:r>
          </w:p>
          <w:p w14:paraId="3126535D">
            <w:pPr>
              <w:pStyle w:val="4"/>
              <w:jc w:val="left"/>
            </w:pPr>
            <w:r>
              <w:rPr>
                <w:rFonts w:ascii="仿宋_GB2312" w:hAnsi="仿宋_GB2312" w:eastAsia="仿宋_GB2312" w:cs="仿宋_GB2312"/>
                <w:color w:val="000000"/>
                <w:sz w:val="19"/>
              </w:rPr>
              <w:t>（2）清真素食，建议预留一定比例或净素餐食。</w:t>
            </w:r>
          </w:p>
          <w:p w14:paraId="3C970A59">
            <w:pPr>
              <w:pStyle w:val="4"/>
              <w:jc w:val="left"/>
            </w:pPr>
            <w:r>
              <w:rPr>
                <w:rFonts w:ascii="仿宋_GB2312" w:hAnsi="仿宋_GB2312" w:eastAsia="仿宋_GB2312" w:cs="仿宋_GB2312"/>
                <w:color w:val="000000"/>
                <w:sz w:val="19"/>
              </w:rPr>
              <w:t>六、配餐公司人员要求：所有人员必须具备健康证。必须派至少一名项目负责人为甲方医院体检科参加体检的人员提供体检早餐配送及分发、分装、配送、摆放、留样及餐后厨余垃圾清运，并承担采购人体检区域相关设备配置及餐具清洗、厨余垃圾清理等工作。服务期内不能随意更换，如特殊情况需要更换，必须经过采购人书面同意。</w:t>
            </w:r>
          </w:p>
        </w:tc>
      </w:tr>
    </w:tbl>
    <w:p w14:paraId="28DE6ACE">
      <w:pPr>
        <w:pStyle w:val="4"/>
        <w:outlineLvl w:val="2"/>
      </w:pPr>
      <w:r>
        <w:rPr>
          <w:rFonts w:ascii="仿宋_GB2312" w:hAnsi="仿宋_GB2312" w:eastAsia="仿宋_GB2312" w:cs="仿宋_GB2312"/>
          <w:b/>
          <w:sz w:val="28"/>
        </w:rPr>
        <w:t>3.2.3人员配置要求</w:t>
      </w:r>
    </w:p>
    <w:p w14:paraId="2388C417">
      <w:pPr>
        <w:pStyle w:val="4"/>
      </w:pPr>
      <w:r>
        <w:rPr>
          <w:rFonts w:ascii="仿宋_GB2312" w:hAnsi="仿宋_GB2312" w:eastAsia="仿宋_GB2312" w:cs="仿宋_GB2312"/>
        </w:rPr>
        <w:t>采购包1：</w:t>
      </w:r>
    </w:p>
    <w:p w14:paraId="782D52D3">
      <w:pPr>
        <w:pStyle w:val="4"/>
      </w:pPr>
      <w:r>
        <w:rPr>
          <w:rFonts w:ascii="仿宋_GB2312" w:hAnsi="仿宋_GB2312" w:eastAsia="仿宋_GB2312" w:cs="仿宋_GB2312"/>
        </w:rPr>
        <w:t>所有人员必须具备健康证。必须派至少一名项目负责人为甲方医院体检科参加体检的人员提供体检早餐配送及分发、分装、配送、摆放、留样及餐后厨余垃圾清运，并承担采购人体检区域相关设备配置及餐具清洗、厨余垃圾清理等工作。服务期内不能随意更换，如特殊情况需要更换，必须经过采购人书面同意。</w:t>
      </w:r>
    </w:p>
    <w:p w14:paraId="7285563F">
      <w:pPr>
        <w:pStyle w:val="4"/>
        <w:outlineLvl w:val="2"/>
      </w:pPr>
      <w:r>
        <w:rPr>
          <w:rFonts w:ascii="仿宋_GB2312" w:hAnsi="仿宋_GB2312" w:eastAsia="仿宋_GB2312" w:cs="仿宋_GB2312"/>
          <w:b/>
          <w:sz w:val="28"/>
        </w:rPr>
        <w:t>3.2.4设施设备要求</w:t>
      </w:r>
    </w:p>
    <w:p w14:paraId="24A09F81">
      <w:pPr>
        <w:pStyle w:val="4"/>
      </w:pPr>
      <w:r>
        <w:rPr>
          <w:rFonts w:ascii="仿宋_GB2312" w:hAnsi="仿宋_GB2312" w:eastAsia="仿宋_GB2312" w:cs="仿宋_GB2312"/>
        </w:rPr>
        <w:t>采购包1：</w:t>
      </w:r>
    </w:p>
    <w:p w14:paraId="4959149C">
      <w:pPr>
        <w:pStyle w:val="4"/>
      </w:pPr>
      <w:r>
        <w:rPr>
          <w:rFonts w:ascii="仿宋_GB2312" w:hAnsi="仿宋_GB2312" w:eastAsia="仿宋_GB2312" w:cs="仿宋_GB2312"/>
        </w:rPr>
        <w:t>无</w:t>
      </w:r>
    </w:p>
    <w:p w14:paraId="737E51E7">
      <w:pPr>
        <w:pStyle w:val="4"/>
        <w:outlineLvl w:val="2"/>
      </w:pPr>
      <w:r>
        <w:rPr>
          <w:rFonts w:ascii="仿宋_GB2312" w:hAnsi="仿宋_GB2312" w:eastAsia="仿宋_GB2312" w:cs="仿宋_GB2312"/>
          <w:b/>
          <w:sz w:val="28"/>
        </w:rPr>
        <w:t>3.2.5其他要求</w:t>
      </w:r>
    </w:p>
    <w:p w14:paraId="2ED9E6B5">
      <w:pPr>
        <w:pStyle w:val="4"/>
      </w:pPr>
      <w:r>
        <w:rPr>
          <w:rFonts w:ascii="仿宋_GB2312" w:hAnsi="仿宋_GB2312" w:eastAsia="仿宋_GB2312" w:cs="仿宋_GB2312"/>
        </w:rPr>
        <w:t>采购包1：</w:t>
      </w:r>
    </w:p>
    <w:p w14:paraId="7AFE201B">
      <w:pPr>
        <w:pStyle w:val="4"/>
      </w:pPr>
      <w:r>
        <w:rPr>
          <w:rFonts w:ascii="仿宋_GB2312" w:hAnsi="仿宋_GB2312" w:eastAsia="仿宋_GB2312" w:cs="仿宋_GB2312"/>
        </w:rPr>
        <w:t>无</w:t>
      </w:r>
    </w:p>
    <w:p w14:paraId="4958B58D">
      <w:pPr>
        <w:pStyle w:val="4"/>
        <w:outlineLvl w:val="2"/>
      </w:pPr>
      <w:r>
        <w:rPr>
          <w:rFonts w:ascii="仿宋_GB2312" w:hAnsi="仿宋_GB2312" w:eastAsia="仿宋_GB2312" w:cs="仿宋_GB2312"/>
          <w:b/>
          <w:sz w:val="28"/>
        </w:rPr>
        <w:t>3.3商务要求</w:t>
      </w:r>
    </w:p>
    <w:p w14:paraId="2E8EAF29">
      <w:pPr>
        <w:pStyle w:val="4"/>
        <w:outlineLvl w:val="3"/>
      </w:pPr>
      <w:r>
        <w:rPr>
          <w:rFonts w:ascii="仿宋_GB2312" w:hAnsi="仿宋_GB2312" w:eastAsia="仿宋_GB2312" w:cs="仿宋_GB2312"/>
          <w:b/>
          <w:sz w:val="24"/>
        </w:rPr>
        <w:t>3.3.1服务期限</w:t>
      </w:r>
    </w:p>
    <w:p w14:paraId="42DD0B8A">
      <w:pPr>
        <w:pStyle w:val="4"/>
      </w:pPr>
      <w:r>
        <w:rPr>
          <w:rFonts w:ascii="仿宋_GB2312" w:hAnsi="仿宋_GB2312" w:eastAsia="仿宋_GB2312" w:cs="仿宋_GB2312"/>
        </w:rPr>
        <w:t>采购包1：</w:t>
      </w:r>
    </w:p>
    <w:p w14:paraId="7B937A2B">
      <w:pPr>
        <w:pStyle w:val="4"/>
      </w:pPr>
      <w:r>
        <w:rPr>
          <w:rFonts w:ascii="仿宋_GB2312" w:hAnsi="仿宋_GB2312" w:eastAsia="仿宋_GB2312" w:cs="仿宋_GB2312"/>
        </w:rPr>
        <w:t>合同签订之日起壹年或累计结算金额达到采购预算，以先到达者为准。</w:t>
      </w:r>
    </w:p>
    <w:p w14:paraId="236B72A6">
      <w:pPr>
        <w:pStyle w:val="4"/>
        <w:outlineLvl w:val="3"/>
      </w:pPr>
      <w:r>
        <w:rPr>
          <w:rFonts w:ascii="仿宋_GB2312" w:hAnsi="仿宋_GB2312" w:eastAsia="仿宋_GB2312" w:cs="仿宋_GB2312"/>
          <w:b/>
          <w:sz w:val="24"/>
        </w:rPr>
        <w:t>3.3.2服务地点</w:t>
      </w:r>
    </w:p>
    <w:p w14:paraId="085AAC69">
      <w:pPr>
        <w:pStyle w:val="4"/>
      </w:pPr>
      <w:r>
        <w:rPr>
          <w:rFonts w:ascii="仿宋_GB2312" w:hAnsi="仿宋_GB2312" w:eastAsia="仿宋_GB2312" w:cs="仿宋_GB2312"/>
        </w:rPr>
        <w:t>采购包1：</w:t>
      </w:r>
    </w:p>
    <w:p w14:paraId="2B156A96">
      <w:pPr>
        <w:pStyle w:val="4"/>
      </w:pPr>
      <w:r>
        <w:rPr>
          <w:rFonts w:ascii="仿宋_GB2312" w:hAnsi="仿宋_GB2312" w:eastAsia="仿宋_GB2312" w:cs="仿宋_GB2312"/>
        </w:rPr>
        <w:t>西安医学院第一附属医院院内采购人制定地点</w:t>
      </w:r>
    </w:p>
    <w:p w14:paraId="4898DD22">
      <w:pPr>
        <w:pStyle w:val="4"/>
        <w:outlineLvl w:val="3"/>
      </w:pPr>
      <w:r>
        <w:rPr>
          <w:rFonts w:ascii="仿宋_GB2312" w:hAnsi="仿宋_GB2312" w:eastAsia="仿宋_GB2312" w:cs="仿宋_GB2312"/>
          <w:b/>
          <w:sz w:val="24"/>
        </w:rPr>
        <w:t>3.3.3考核（验收）标准和方法</w:t>
      </w:r>
    </w:p>
    <w:p w14:paraId="508A1006">
      <w:pPr>
        <w:pStyle w:val="4"/>
      </w:pPr>
      <w:r>
        <w:rPr>
          <w:rFonts w:ascii="仿宋_GB2312" w:hAnsi="仿宋_GB2312" w:eastAsia="仿宋_GB2312" w:cs="仿宋_GB2312"/>
        </w:rPr>
        <w:t>采购包1：</w:t>
      </w:r>
    </w:p>
    <w:p w14:paraId="1BA2C1EC">
      <w:pPr>
        <w:pStyle w:val="4"/>
      </w:pPr>
      <w:r>
        <w:rPr>
          <w:rFonts w:ascii="仿宋_GB2312" w:hAnsi="仿宋_GB2312" w:eastAsia="仿宋_GB2312" w:cs="仿宋_GB2312"/>
        </w:rPr>
        <w:t>一、验收主体及时间 1. 甲方指定不少于2人组成验收小组，负责每日配餐现场验收，验收人员签字确认的记录作为结算依据。 2. 每月月末，双方核对每日验收记录，完成月度汇总验收。 二、验收标准 验收标准严格按照合同约定的A类、B类配餐方案执行，同时需符合以下通用要求： 1. 食品安全符合国家卫生标准，食材可追溯，无变质、异物等问题； 2. 配餐包装干净密封，标注配餐类型、配送日期等信息； 3. 热配餐温度不低于65℃，冷配餐（如需）不高于10℃； 4. 配餐数量与订单一致，短缺需1小时内补齐。 三、验收流程 1. 乙方配送后通知甲方验收，并提供配餐清单。 2. 甲方对照验收标准全面验收，合格则签字确认；不合格需及时告知乙方，乙方1小时内核实处理。 3. 轻微不合格（不影响安全）乙方2小时内更换；严重不合格（变质、异物等）乙方立即召回并2小时内重配，并承担甲方损失。 4. 每日验收记录双方留存，月度汇总验收后签署确认单。</w:t>
      </w:r>
    </w:p>
    <w:p w14:paraId="3B5827EB">
      <w:pPr>
        <w:pStyle w:val="4"/>
        <w:outlineLvl w:val="3"/>
      </w:pPr>
      <w:r>
        <w:rPr>
          <w:rFonts w:ascii="仿宋_GB2312" w:hAnsi="仿宋_GB2312" w:eastAsia="仿宋_GB2312" w:cs="仿宋_GB2312"/>
          <w:b/>
          <w:sz w:val="24"/>
        </w:rPr>
        <w:t>3.3.4支付方式</w:t>
      </w:r>
    </w:p>
    <w:p w14:paraId="25F9DB5C">
      <w:pPr>
        <w:pStyle w:val="4"/>
      </w:pPr>
      <w:r>
        <w:rPr>
          <w:rFonts w:ascii="仿宋_GB2312" w:hAnsi="仿宋_GB2312" w:eastAsia="仿宋_GB2312" w:cs="仿宋_GB2312"/>
        </w:rPr>
        <w:t>采购包1：</w:t>
      </w:r>
    </w:p>
    <w:p w14:paraId="6CA40471">
      <w:pPr>
        <w:pStyle w:val="4"/>
      </w:pPr>
      <w:r>
        <w:rPr>
          <w:rFonts w:ascii="仿宋_GB2312" w:hAnsi="仿宋_GB2312" w:eastAsia="仿宋_GB2312" w:cs="仿宋_GB2312"/>
        </w:rPr>
        <w:t>一次付清</w:t>
      </w:r>
    </w:p>
    <w:p w14:paraId="4D4DE1E5">
      <w:pPr>
        <w:pStyle w:val="4"/>
        <w:outlineLvl w:val="3"/>
      </w:pPr>
      <w:r>
        <w:rPr>
          <w:rFonts w:ascii="仿宋_GB2312" w:hAnsi="仿宋_GB2312" w:eastAsia="仿宋_GB2312" w:cs="仿宋_GB2312"/>
          <w:b/>
          <w:sz w:val="24"/>
        </w:rPr>
        <w:t>3.3.5支付约定</w:t>
      </w:r>
    </w:p>
    <w:p w14:paraId="22FB45EB">
      <w:pPr>
        <w:pStyle w:val="4"/>
      </w:pPr>
      <w:r>
        <w:rPr>
          <w:rFonts w:ascii="仿宋_GB2312" w:hAnsi="仿宋_GB2312" w:eastAsia="仿宋_GB2312" w:cs="仿宋_GB2312"/>
        </w:rPr>
        <w:t>采购包1：</w:t>
      </w:r>
    </w:p>
    <w:p w14:paraId="2AE07367">
      <w:pPr>
        <w:pStyle w:val="4"/>
        <w:ind w:firstLine="1200"/>
      </w:pPr>
      <w:r>
        <w:rPr>
          <w:rFonts w:ascii="仿宋_GB2312" w:hAnsi="仿宋_GB2312" w:eastAsia="仿宋_GB2312" w:cs="仿宋_GB2312"/>
        </w:rPr>
        <w:t>1、 付款条件说明：  合同签订后按月结算，次月付款，依次类推，货款实际结算金额按实际服务量×中标成交单价，成交单价在供货服务期限内不可改变。验收合格后，供应商持中标通知书，供货合同，双方确认的服务清单，开具开具符合要求的与支付款项相同的正式发票与采购人进行结算 ，达到付款条件起 15 日内， 支付合同总金额的100.00%。</w:t>
      </w:r>
    </w:p>
    <w:p w14:paraId="6D1BCBC8">
      <w:pPr>
        <w:pStyle w:val="4"/>
        <w:outlineLvl w:val="3"/>
      </w:pPr>
      <w:r>
        <w:rPr>
          <w:rFonts w:ascii="仿宋_GB2312" w:hAnsi="仿宋_GB2312" w:eastAsia="仿宋_GB2312" w:cs="仿宋_GB2312"/>
          <w:b/>
          <w:sz w:val="24"/>
        </w:rPr>
        <w:t>3.3.6违约责任及解决争议的方法</w:t>
      </w:r>
    </w:p>
    <w:p w14:paraId="03FF86D3">
      <w:pPr>
        <w:pStyle w:val="4"/>
      </w:pPr>
      <w:r>
        <w:rPr>
          <w:rFonts w:ascii="仿宋_GB2312" w:hAnsi="仿宋_GB2312" w:eastAsia="仿宋_GB2312" w:cs="仿宋_GB2312"/>
        </w:rPr>
        <w:t>采购包1：</w:t>
      </w:r>
    </w:p>
    <w:p w14:paraId="5D0B1960">
      <w:pPr>
        <w:pStyle w:val="4"/>
      </w:pPr>
      <w:r>
        <w:rPr>
          <w:rFonts w:ascii="仿宋_GB2312" w:hAnsi="仿宋_GB2312" w:eastAsia="仿宋_GB2312" w:cs="仿宋_GB2312"/>
        </w:rPr>
        <w:t>按采购合同执行</w:t>
      </w:r>
    </w:p>
    <w:p w14:paraId="0704BC1A">
      <w:pPr>
        <w:pStyle w:val="4"/>
        <w:outlineLvl w:val="2"/>
      </w:pPr>
      <w:r>
        <w:rPr>
          <w:rFonts w:ascii="仿宋_GB2312" w:hAnsi="仿宋_GB2312" w:eastAsia="仿宋_GB2312" w:cs="仿宋_GB2312"/>
          <w:b/>
          <w:sz w:val="28"/>
        </w:rPr>
        <w:t>3.4其他要求</w:t>
      </w:r>
    </w:p>
    <w:p w14:paraId="768BAE9E">
      <w:pPr>
        <w:pStyle w:val="4"/>
      </w:pPr>
      <w:r>
        <w:rPr>
          <w:rFonts w:ascii="仿宋_GB2312" w:hAnsi="仿宋_GB2312" w:eastAsia="仿宋_GB2312" w:cs="仿宋_GB2312"/>
        </w:rPr>
        <w:t>1、电子投标文件制作过程中，需要法定代表人签字或盖章的地方，请使用“法人CA锁”进行签章或直接签字或盖章；文件需要逐页加盖供应商公章或使用“CA锁”进行逐页盖章。2、中标供应商在中标结果公告发布后需向采购代理机构提供纸质版投标文件一正一副，投标文件为编标工具生成的文件直接打印并加盖公章，递交的纸质版投标文件内容确保与线上电子文件保持一致，不允许修改和补充。</w:t>
      </w:r>
    </w:p>
    <w:p w14:paraId="7A250A03">
      <w:pPr>
        <w:pStyle w:val="4"/>
        <w:rPr>
          <w:rFonts w:hint="eastAsia"/>
          <w:lang w:val="en-US" w:eastAsia="zh-Hans"/>
        </w:rPr>
      </w:pPr>
      <w:r>
        <w:rPr>
          <w:rFonts w:ascii="仿宋_GB2312" w:hAnsi="仿宋_GB2312" w:eastAsia="仿宋_GB2312" w:cs="仿宋_GB2312"/>
        </w:rPr>
        <w:t xml:space="preserve"> </w:t>
      </w:r>
      <w:r>
        <w:rPr>
          <w:rFonts w:ascii="仿宋_GB2312" w:hAnsi="仿宋_GB2312" w:eastAsia="仿宋_GB2312" w:cs="仿宋_GB2312"/>
        </w:rPr>
        <w:br w:type="textWrapping"/>
      </w:r>
      <w:bookmarkStart w:id="0" w:name="_GoBack"/>
      <w:bookmarkEnd w:id="0"/>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EFF" w:usb1="C000785B" w:usb2="00000009" w:usb3="00000000" w:csb0="400001FF" w:csb1="FFFF0000"/>
  </w:font>
  <w:font w:name="宋体">
    <w:panose1 w:val="02010600030101010101"/>
    <w:charset w:val="A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0000000000000000000"/>
    <w:charset w:val="00"/>
    <w:family w:val="auto"/>
    <w:pitch w:val="default"/>
    <w:sig w:usb0="00000000" w:usb1="00000000" w:usb2="00000000" w:usb3="00000000" w:csb0="00000000" w:csb1="00000000"/>
  </w:font>
  <w:font w:name="仿宋">
    <w:panose1 w:val="02010609060101010101"/>
    <w:charset w:val="86"/>
    <w:family w:val="auto"/>
    <w:pitch w:val="default"/>
    <w:sig w:usb0="800002BF" w:usb1="38CF7CFA" w:usb2="00000016" w:usb3="00000000" w:csb0="00040001" w:csb1="00000000"/>
  </w:font>
  <w:font w:name="KSOFE4500885">
    <w:panose1 w:val="02010609060101010101"/>
    <w:charset w:val="86"/>
    <w:family w:val="auto"/>
    <w:pitch w:val="default"/>
    <w:sig w:usb0="00000001" w:usb1="00000000" w:usb2="00000000" w:usb3="00000000" w:csb0="00040001" w:csb1="00000000"/>
  </w:font>
  <w:font w:name="KSOFE44F9426">
    <w:panose1 w:val="02010609060101010101"/>
    <w:charset w:val="86"/>
    <w:family w:val="auto"/>
    <w:pitch w:val="default"/>
    <w:sig w:usb0="00000001" w:usb1="00000000" w:usb2="00000000"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B52B8D"/>
    <w:rsid w:val="0C4E2A18"/>
    <w:rsid w:val="177F50ED"/>
    <w:rsid w:val="53B52B8D"/>
    <w:rsid w:val="77F79321"/>
    <w:rsid w:val="BBBF777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0"/>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paragraph" w:customStyle="1" w:styleId="4">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2650</Words>
  <Characters>2953</Characters>
  <Lines>0</Lines>
  <Paragraphs>0</Paragraphs>
  <TotalTime>1</TotalTime>
  <ScaleCrop>false</ScaleCrop>
  <LinksUpToDate>false</LinksUpToDate>
  <CharactersWithSpaces>2993</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2022-04-08T19:57:00Z</dcterms:created>
  <dc:creator>陕西省政府采购综合管理平台</dc:creator>
  <cp:lastModifiedBy>快乐猫</cp:lastModifiedBy>
  <dcterms:modified xsi:type="dcterms:W3CDTF">2026-07-27T06:52:25Z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KSOTemplateDocerSaveRecord">
    <vt:lpwstr>eyJoZGlkIjoiYWFmM2U3ZjUyODVjYzg5MzViYmFiZWFjMDc3MTEwMjIiLCJ1c2VySWQiOiIxNTE3ODQyNzU3In0=</vt:lpwstr>
  </property>
  <property fmtid="{D5CDD505-2E9C-101B-9397-08002B2CF9AE}" pid="4" name="ICV">
    <vt:lpwstr>5C560790FBD742AB936933DD193195EF_13</vt:lpwstr>
  </property>
</Properties>
</file>