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_GB2312" w:hAnsi="仿宋_GB2312" w:eastAsia="仿宋_GB2312" w:cs="仿宋_GB231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highlight w:val="none"/>
          <w:lang w:eastAsia="zh-CN"/>
        </w:rPr>
        <w:t>秩序检票服务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工作方案</w:t>
      </w:r>
    </w:p>
    <w:p w14:paraId="57A3D135">
      <w:pPr>
        <w:rPr>
          <w:rFonts w:hint="eastAsia"/>
        </w:rPr>
      </w:pPr>
    </w:p>
    <w:p w14:paraId="53E4E629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秩序检票服务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工作方案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由供应商自行编写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注：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052F55A8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91E1430"/>
    <w:rsid w:val="0DD24882"/>
    <w:rsid w:val="170B26BC"/>
    <w:rsid w:val="1C0E117B"/>
    <w:rsid w:val="22DF050C"/>
    <w:rsid w:val="23D85D1A"/>
    <w:rsid w:val="30DC0169"/>
    <w:rsid w:val="40F2093B"/>
    <w:rsid w:val="459E7089"/>
    <w:rsid w:val="52713728"/>
    <w:rsid w:val="5A9C5A52"/>
    <w:rsid w:val="5F0A472A"/>
    <w:rsid w:val="6AA3170B"/>
    <w:rsid w:val="6EEB21D2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2026-07-06T02:04:59Z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