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版本号：SXZZ-采-【G2026-090201】20260907002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2026年度蒲城县尧山镇公共照明项目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SXZZ-采-【G2026-090201】</w:t>
      </w:r>
      <w:r>
        <w:br/>
      </w:r>
      <w:r>
        <w:br/>
      </w:r>
      <w:r>
        <w:br/>
      </w:r>
    </w:p>
    <w:p>
      <w:pPr>
        <w:pStyle w:val="null3"/>
        <w:jc w:val="center"/>
        <w:outlineLvl w:val="2"/>
      </w:pPr>
      <w:r>
        <w:rPr>
          <w:rFonts w:ascii="仿宋_GB2312" w:hAnsi="仿宋_GB2312" w:cs="仿宋_GB2312" w:eastAsia="仿宋_GB2312"/>
          <w:sz w:val="28"/>
          <w:b/>
        </w:rPr>
        <w:t>蒲城县尧山镇人民政府</w:t>
      </w:r>
    </w:p>
    <w:p>
      <w:pPr>
        <w:pStyle w:val="null3"/>
        <w:jc w:val="center"/>
        <w:outlineLvl w:val="2"/>
      </w:pPr>
      <w:r>
        <w:rPr>
          <w:rFonts w:ascii="仿宋_GB2312" w:hAnsi="仿宋_GB2312" w:cs="仿宋_GB2312" w:eastAsia="仿宋_GB2312"/>
          <w:sz w:val="28"/>
          <w:b/>
        </w:rPr>
        <w:t>陕西中招招标有限责任公司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陕西中招招标有限责任公司</w:t>
      </w:r>
      <w:r>
        <w:rPr>
          <w:rFonts w:ascii="仿宋_GB2312" w:hAnsi="仿宋_GB2312" w:cs="仿宋_GB2312" w:eastAsia="仿宋_GB2312"/>
        </w:rPr>
        <w:t>（以下简称“代理机构”）受</w:t>
      </w:r>
      <w:r>
        <w:rPr>
          <w:rFonts w:ascii="仿宋_GB2312" w:hAnsi="仿宋_GB2312" w:cs="仿宋_GB2312" w:eastAsia="仿宋_GB2312"/>
        </w:rPr>
        <w:t>蒲城县尧山镇人民政府</w:t>
      </w:r>
      <w:r>
        <w:rPr>
          <w:rFonts w:ascii="仿宋_GB2312" w:hAnsi="仿宋_GB2312" w:cs="仿宋_GB2312" w:eastAsia="仿宋_GB2312"/>
        </w:rPr>
        <w:t>委托，拟对</w:t>
      </w:r>
      <w:r>
        <w:rPr>
          <w:rFonts w:ascii="仿宋_GB2312" w:hAnsi="仿宋_GB2312" w:cs="仿宋_GB2312" w:eastAsia="仿宋_GB2312"/>
        </w:rPr>
        <w:t>2026年度蒲城县尧山镇公共照明项目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SXZZ-采-【G2026-090201】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2026年度蒲城县尧山镇公共照明项目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对尧山镇公共照明路灯维修更换及伴随服务进行采购。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采购包1（2026年度蒲城县尧山镇公共照明项目）：属于专门面向中小企业采购。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1、法定代表人（或负责人）资格证明：提供法定代表人（或负责人）资格证明；</w:t>
      </w:r>
    </w:p>
    <w:p>
      <w:pPr>
        <w:pStyle w:val="null3"/>
      </w:pPr>
      <w:r>
        <w:rPr>
          <w:rFonts w:ascii="仿宋_GB2312" w:hAnsi="仿宋_GB2312" w:cs="仿宋_GB2312" w:eastAsia="仿宋_GB2312"/>
        </w:rPr>
        <w:t>2、营业执照或等同：国内合法注册，具有独立承担民事责任能力的法人或其他组织（分公司提供总公司合法有效授权）；</w:t>
      </w:r>
    </w:p>
    <w:p>
      <w:pPr>
        <w:pStyle w:val="null3"/>
      </w:pPr>
      <w:r>
        <w:rPr>
          <w:rFonts w:ascii="仿宋_GB2312" w:hAnsi="仿宋_GB2312" w:cs="仿宋_GB2312" w:eastAsia="仿宋_GB2312"/>
        </w:rPr>
        <w:t>3、供应商应提供健全的财务会计制度和良好的商业信誉的证明：提供供应商2025年的财务报告或针对本项目开具的银行资信证明；</w:t>
      </w:r>
    </w:p>
    <w:p>
      <w:pPr>
        <w:pStyle w:val="null3"/>
      </w:pPr>
      <w:r>
        <w:rPr>
          <w:rFonts w:ascii="仿宋_GB2312" w:hAnsi="仿宋_GB2312" w:cs="仿宋_GB2312" w:eastAsia="仿宋_GB2312"/>
        </w:rPr>
        <w:t>4、依法缴税及缴纳社保的证明：提供供应商2026年1月至今任意一个月完税及缴纳社保凭证（须含养老），时间以税款/社保所属日期为准，凭证应有税务机关或代收机关的公章或业务专用章，依法免缴提供有效证明。至响应截止时间成立不足一月的，提供供应商依法缴纳税收及社保的证明或承诺；</w:t>
      </w:r>
    </w:p>
    <w:p>
      <w:pPr>
        <w:pStyle w:val="null3"/>
      </w:pPr>
      <w:r>
        <w:rPr>
          <w:rFonts w:ascii="仿宋_GB2312" w:hAnsi="仿宋_GB2312" w:cs="仿宋_GB2312" w:eastAsia="仿宋_GB2312"/>
        </w:rPr>
        <w:t>5、供应商资质：供应商须具备建设行政主管部门颁发的市政公用工程施工总承包三级（含以上）或机电工程专业承包二级（含以上）资质，并具有合格有效的安全生产许可证；</w:t>
      </w:r>
    </w:p>
    <w:p>
      <w:pPr>
        <w:pStyle w:val="null3"/>
      </w:pPr>
      <w:r>
        <w:rPr>
          <w:rFonts w:ascii="仿宋_GB2312" w:hAnsi="仿宋_GB2312" w:cs="仿宋_GB2312" w:eastAsia="仿宋_GB2312"/>
        </w:rPr>
        <w:t>6、项目经理资质：拟派项目经理须具备市政公用工程或机电工程专业的注册建造师资格，具有有效的安全生产考核B级证书,在本单位注册且无在建项目（提供承诺书）；</w:t>
      </w:r>
    </w:p>
    <w:p>
      <w:pPr>
        <w:pStyle w:val="null3"/>
      </w:pPr>
      <w:r>
        <w:rPr>
          <w:rFonts w:ascii="仿宋_GB2312" w:hAnsi="仿宋_GB2312" w:cs="仿宋_GB2312" w:eastAsia="仿宋_GB2312"/>
        </w:rPr>
        <w:t>7、供应商信用查询：供应商不得在“信用中国”（www.creditchina.gov.cn）和“中国政府采购网”（www.ccgp.gov.cn）有失信记录。（1.“信用中国：未被列入失信被执行人和重大税收违法案件当事人;2.“中国政府采购网”:未被列入严重违法失信行为记录名单。以评审现场查询结果为准）</w:t>
      </w:r>
    </w:p>
    <w:p>
      <w:pPr>
        <w:pStyle w:val="null3"/>
      </w:pPr>
      <w:r>
        <w:rPr>
          <w:rFonts w:ascii="仿宋_GB2312" w:hAnsi="仿宋_GB2312" w:cs="仿宋_GB2312" w:eastAsia="仿宋_GB2312"/>
        </w:rPr>
        <w:t>8、无违法违规行为声明：供应商参加本政府采购活动前三年内（2023年8月至提交首次响应文件截止时间止）在经营活动中无重大违法违规记录、无重大行政处罚、无重大安全事故的书面声明；</w:t>
      </w:r>
    </w:p>
    <w:p>
      <w:pPr>
        <w:pStyle w:val="null3"/>
      </w:pPr>
      <w:r>
        <w:rPr>
          <w:rFonts w:ascii="仿宋_GB2312" w:hAnsi="仿宋_GB2312" w:cs="仿宋_GB2312" w:eastAsia="仿宋_GB2312"/>
        </w:rPr>
        <w:t>9、缴纳响应保证金：提供响应保证金缴纳凭证或响应保函；</w:t>
      </w:r>
    </w:p>
    <w:p>
      <w:pPr>
        <w:pStyle w:val="null3"/>
      </w:pPr>
      <w:r>
        <w:rPr>
          <w:rFonts w:ascii="仿宋_GB2312" w:hAnsi="仿宋_GB2312" w:cs="仿宋_GB2312" w:eastAsia="仿宋_GB2312"/>
        </w:rPr>
        <w:t>10、禁止响应情形：禁止响应情形：①法定代表人或负责人为同一人或存在直接控股、管理关系的不同单位，不得同时参加本项目磋商；②与采购人存在利害关系的单位不得参加本项目磋商；③与本项目监理单位存在利害关系的单位不得参加本项目磋商；④法律法规规定的其他禁止磋商响应情形；</w:t>
      </w:r>
    </w:p>
    <w:p>
      <w:pPr>
        <w:pStyle w:val="null3"/>
      </w:pPr>
      <w:r>
        <w:rPr>
          <w:rFonts w:ascii="仿宋_GB2312" w:hAnsi="仿宋_GB2312" w:cs="仿宋_GB2312" w:eastAsia="仿宋_GB2312"/>
        </w:rPr>
        <w:t>11、非联合体响应：提供非联合体响应声明。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蒲城县尧山镇人民政府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蒲城县尧山镇人民政府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冯笠晨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13891325523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陕西中招招标有限责任公司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陕西省西安市莲湖区沣惠路南段艺腾国际商务大厦十楼1015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招标三部-王鸿德、刘远征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029-81510917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太阳能路灯</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开户名称：陕西中招招标有限责任公司</w:t>
            </w:r>
          </w:p>
          <w:p>
            <w:pPr>
              <w:pStyle w:val="null3"/>
            </w:pPr>
            <w:r>
              <w:rPr>
                <w:rFonts w:ascii="仿宋_GB2312" w:hAnsi="仿宋_GB2312" w:cs="仿宋_GB2312" w:eastAsia="仿宋_GB2312"/>
              </w:rPr>
              <w:t>开户银行：中国工商银行股份有限公司西安市解放路支行</w:t>
            </w:r>
          </w:p>
          <w:p>
            <w:pPr>
              <w:pStyle w:val="null3"/>
            </w:pPr>
            <w:r>
              <w:rPr>
                <w:rFonts w:ascii="仿宋_GB2312" w:hAnsi="仿宋_GB2312" w:cs="仿宋_GB2312" w:eastAsia="仿宋_GB2312"/>
              </w:rPr>
              <w:t>银行账号：3700020619005074459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采购人与代理机构委托协议为准，按项目预算金额为计算基准，定额收取人民币壹万元整。2.收取时间：成交人确定之日，代理机构就应当收取服务费。3.缴纳人及缴纳时间:成交人须在成交结果确定之日起两日内一次性向代理机构全额缴纳服务费；未按期足额缴纳的，代理机构有权暂缓后续工作，不利后果自行承担。4.非代理机构原因，服务费收取不退。费用包含在磋商报价中（不需单列），无论计算与否，均视为已知。</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蒲城县尧山镇人民政府</w:t>
      </w:r>
      <w:r>
        <w:rPr>
          <w:rFonts w:ascii="仿宋_GB2312" w:hAnsi="仿宋_GB2312" w:cs="仿宋_GB2312" w:eastAsia="仿宋_GB2312"/>
        </w:rPr>
        <w:t>和</w:t>
      </w:r>
      <w:r>
        <w:rPr>
          <w:rFonts w:ascii="仿宋_GB2312" w:hAnsi="仿宋_GB2312" w:cs="仿宋_GB2312" w:eastAsia="仿宋_GB2312"/>
        </w:rPr>
        <w:t>陕西中招招标有限责任公司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蒲城县尧山镇人民政府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陕西中招招标有限责任公司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蒲城县尧山镇人民政府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完全满足磋商文件及合同要求。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1.履约验收主体：采购人是履约验收的第一责任人，负有对履约验收工作的主体责任。 2.履约单位义务与责任：①诚信履约：履约单位应严守契约精神，将诚信履约作为经营底线。签订采购合同后，应按照履约期限，向采购人提供符合磋商文件要求、响应文件内容、合同约定交付标准的工程内容，不得擅自降低标准、缩减范围或变更工程内容。②主动配合验收，承担违约责任：履约单位应积极配合采购人开展的履约验收工作，提供与项目验收相关的资料。对不按合同履约、阻挠正常验收、拒不整改或整改不到位、履约过程违约的，采购人应依据采购合同及《民法典》等相关法律法规，依法追究其法律责任，必要时，可将违法线索报送监督部门予以查处。 3.履约验收方式、程序：货到初验收，竣工终验收。 4.履约验收小组：验收小组由熟悉项目需求的人员、财务人员、资产管理人员、使用人员、专业人员等至少3人以上单数组成。对技术复杂、专业性较强的采购项目，验收小组必须包含专业技术人员，该人员可由采购人从本单位指定，也可邀请专家、第三方专业机构等人员参与验收,相关验收意见作为验收书的参考资料。 5.履约验收内容：验收小组须严格落实法律法规、履约验收要求，按照磋商文件、响应文件、合同约定的工程内容、技术以及履约期限等要求，客观、公正进行验收，出具验收意见、验收报告等。验收报告应载明验收依据、验收过程、各项验收内容的评价、发现的问题（如有）、处理建议及最终的验收结论（合格或不合格）等,由验收双方共同签署。 6.履约验收依据：验收人依据国家、行业现行相关标准及采购合同规定的标的、技术、数量、质量和安全标准等，对供应商履约情况进行验收，并出具验收报告。 7.履约验收标准：达到国家、行业相关现行标准，依据合同约定验收合格，符合本次采购要求。8.履约验收要求：①交付竣工验收的工程，必须符合规定的工程质量标准，有完整的工程技术经济资料和经签署的工程保修书，并具备国家规定的其他竣工条件。工程竣工经验收合格后，方可交付使用；未经验收或者验收不合格的，不得交付使用。②验收结果合格的，采购人应向成交供应商出具履约验收报告，成交供应商凭验收报告办理相关手续。③验收结果不合格的，履约保证金将不予退还，给采购人造成的损失超过履约保证金数额的，还应当对超过部分予以赔偿；未提交履约保证金的，应当对采购人的损失承担赔偿责任。 9.履约验收问题处理：验收合格的项目,采购人应当根据采购合同的约定及时向成交人支付资金、退还履约保证金。验收不合格的项目,采购人应当依法及时处理。 10.履约争议、违约： 采购合同履行、违约责任和解决争议的方式等适用采购合同及民法典。履约单位在履约过程中有相关法律法规规定的违法违规情形的,采购人应当及时报告监督部门。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联系人：任老师</w:t>
      </w:r>
    </w:p>
    <w:p>
      <w:pPr>
        <w:pStyle w:val="null3"/>
      </w:pPr>
      <w:r>
        <w:rPr>
          <w:rFonts w:ascii="仿宋_GB2312" w:hAnsi="仿宋_GB2312" w:cs="仿宋_GB2312" w:eastAsia="仿宋_GB2312"/>
        </w:rPr>
        <w:t>联系电话：029-81510957</w:t>
      </w:r>
    </w:p>
    <w:p>
      <w:pPr>
        <w:pStyle w:val="null3"/>
      </w:pPr>
      <w:r>
        <w:rPr>
          <w:rFonts w:ascii="仿宋_GB2312" w:hAnsi="仿宋_GB2312" w:cs="仿宋_GB2312" w:eastAsia="仿宋_GB2312"/>
        </w:rPr>
        <w:t>地址：西安市莲湖区沣惠路南段艺腾国际商务大厦十楼1015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799,630.82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蒲城县尧山镇公共照明建设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标的名称：蒲城县尧山镇公共照明建设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00"/>
              </w:rPr>
              <w:t>一、工程概况</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工程名称：</w:t>
            </w:r>
            <w:r>
              <w:rPr>
                <w:rFonts w:ascii="仿宋_GB2312" w:hAnsi="仿宋_GB2312" w:cs="仿宋_GB2312" w:eastAsia="仿宋_GB2312"/>
                <w:sz w:val="20"/>
                <w:color w:val="000000"/>
              </w:rPr>
              <w:t>2026年度蒲城县尧山镇公共照明项目</w:t>
            </w:r>
          </w:p>
          <w:p>
            <w:pPr>
              <w:pStyle w:val="null3"/>
              <w:ind w:firstLine="40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工程地点：</w:t>
            </w:r>
            <w:r>
              <w:rPr>
                <w:rFonts w:ascii="仿宋_GB2312" w:hAnsi="仿宋_GB2312" w:cs="仿宋_GB2312" w:eastAsia="仿宋_GB2312"/>
                <w:sz w:val="20"/>
                <w:color w:val="000000"/>
              </w:rPr>
              <w:t>蒲城县尧山镇</w:t>
            </w:r>
          </w:p>
          <w:p>
            <w:pPr>
              <w:pStyle w:val="null3"/>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、合同履行期限（交工期</w:t>
            </w:r>
            <w:r>
              <w:rPr>
                <w:rFonts w:ascii="仿宋_GB2312" w:hAnsi="仿宋_GB2312" w:cs="仿宋_GB2312" w:eastAsia="仿宋_GB2312"/>
                <w:sz w:val="20"/>
                <w:color w:val="000000"/>
              </w:rPr>
              <w:t>/施工日期</w:t>
            </w:r>
            <w:r>
              <w:rPr>
                <w:rFonts w:ascii="仿宋_GB2312" w:hAnsi="仿宋_GB2312" w:cs="仿宋_GB2312" w:eastAsia="仿宋_GB2312"/>
                <w:sz w:val="20"/>
                <w:color w:val="000000"/>
              </w:rPr>
              <w:t>）：自合同签订生效之日起</w:t>
            </w:r>
            <w:r>
              <w:rPr>
                <w:rFonts w:ascii="仿宋_GB2312" w:hAnsi="仿宋_GB2312" w:cs="仿宋_GB2312" w:eastAsia="仿宋_GB2312"/>
                <w:sz w:val="20"/>
                <w:color w:val="000000"/>
              </w:rPr>
              <w:t>20</w:t>
            </w:r>
            <w:r>
              <w:rPr>
                <w:rFonts w:ascii="仿宋_GB2312" w:hAnsi="仿宋_GB2312" w:cs="仿宋_GB2312" w:eastAsia="仿宋_GB2312"/>
                <w:sz w:val="20"/>
                <w:color w:val="000000"/>
              </w:rPr>
              <w:t>天内</w:t>
            </w:r>
            <w:r>
              <w:rPr>
                <w:rFonts w:ascii="仿宋_GB2312" w:hAnsi="仿宋_GB2312" w:cs="仿宋_GB2312" w:eastAsia="仿宋_GB2312"/>
                <w:sz w:val="20"/>
              </w:rPr>
              <w:t>竣工并合格交付</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、质保期：</w:t>
            </w:r>
            <w:r>
              <w:rPr>
                <w:rFonts w:ascii="仿宋_GB2312" w:hAnsi="仿宋_GB2312" w:cs="仿宋_GB2312" w:eastAsia="仿宋_GB2312"/>
                <w:sz w:val="20"/>
              </w:rPr>
              <w:t>按照现行国家、省、市相关标准执行。</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rPr>
              <w:t>付款方式：合同签订生效后，</w:t>
            </w:r>
            <w:r>
              <w:rPr>
                <w:rFonts w:ascii="仿宋_GB2312" w:hAnsi="仿宋_GB2312" w:cs="仿宋_GB2312" w:eastAsia="仿宋_GB2312"/>
                <w:sz w:val="20"/>
              </w:rPr>
              <w:t>施工单位进场开始施工，达到付款条件起</w:t>
            </w:r>
            <w:r>
              <w:rPr>
                <w:rFonts w:ascii="仿宋_GB2312" w:hAnsi="仿宋_GB2312" w:cs="仿宋_GB2312" w:eastAsia="仿宋_GB2312"/>
                <w:sz w:val="20"/>
              </w:rPr>
              <w:t>30</w:t>
            </w:r>
            <w:r>
              <w:rPr>
                <w:rFonts w:ascii="仿宋_GB2312" w:hAnsi="仿宋_GB2312" w:cs="仿宋_GB2312" w:eastAsia="仿宋_GB2312"/>
                <w:sz w:val="20"/>
              </w:rPr>
              <w:t>日内，采购人向施工单位支付合同总金额的</w:t>
            </w:r>
            <w:r>
              <w:rPr>
                <w:rFonts w:ascii="仿宋_GB2312" w:hAnsi="仿宋_GB2312" w:cs="仿宋_GB2312" w:eastAsia="仿宋_GB2312"/>
                <w:sz w:val="20"/>
              </w:rPr>
              <w:t>30%(预付款，含安全文明施工措施费);</w:t>
            </w:r>
            <w:r>
              <w:rPr>
                <w:rFonts w:ascii="仿宋_GB2312" w:hAnsi="仿宋_GB2312" w:cs="仿宋_GB2312" w:eastAsia="仿宋_GB2312"/>
                <w:sz w:val="20"/>
              </w:rPr>
              <w:t>竣工履约验收</w:t>
            </w:r>
            <w:r>
              <w:rPr>
                <w:rFonts w:ascii="仿宋_GB2312" w:hAnsi="仿宋_GB2312" w:cs="仿宋_GB2312" w:eastAsia="仿宋_GB2312"/>
                <w:sz w:val="20"/>
              </w:rPr>
              <w:t>合格后</w:t>
            </w:r>
            <w:r>
              <w:rPr>
                <w:rFonts w:ascii="仿宋_GB2312" w:hAnsi="仿宋_GB2312" w:cs="仿宋_GB2312" w:eastAsia="仿宋_GB2312"/>
                <w:sz w:val="20"/>
              </w:rPr>
              <w:t>，</w:t>
            </w:r>
            <w:r>
              <w:rPr>
                <w:rFonts w:ascii="仿宋_GB2312" w:hAnsi="仿宋_GB2312" w:cs="仿宋_GB2312" w:eastAsia="仿宋_GB2312"/>
                <w:sz w:val="20"/>
              </w:rPr>
              <w:t>达到付款条件起</w:t>
            </w:r>
            <w:r>
              <w:rPr>
                <w:rFonts w:ascii="仿宋_GB2312" w:hAnsi="仿宋_GB2312" w:cs="仿宋_GB2312" w:eastAsia="仿宋_GB2312"/>
                <w:sz w:val="20"/>
              </w:rPr>
              <w:t>30</w:t>
            </w:r>
            <w:r>
              <w:rPr>
                <w:rFonts w:ascii="仿宋_GB2312" w:hAnsi="仿宋_GB2312" w:cs="仿宋_GB2312" w:eastAsia="仿宋_GB2312"/>
                <w:sz w:val="20"/>
              </w:rPr>
              <w:t>日内，支付至合同总金额的</w:t>
            </w:r>
            <w:r>
              <w:rPr>
                <w:rFonts w:ascii="仿宋_GB2312" w:hAnsi="仿宋_GB2312" w:cs="仿宋_GB2312" w:eastAsia="仿宋_GB2312"/>
                <w:sz w:val="20"/>
              </w:rPr>
              <w:t>9</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待本项目缺陷责任期</w:t>
            </w:r>
            <w:r>
              <w:rPr>
                <w:rFonts w:ascii="仿宋_GB2312" w:hAnsi="仿宋_GB2312" w:cs="仿宋_GB2312" w:eastAsia="仿宋_GB2312"/>
                <w:sz w:val="20"/>
              </w:rPr>
              <w:t>结束</w:t>
            </w:r>
            <w:r>
              <w:rPr>
                <w:rFonts w:ascii="仿宋_GB2312" w:hAnsi="仿宋_GB2312" w:cs="仿宋_GB2312" w:eastAsia="仿宋_GB2312"/>
                <w:sz w:val="20"/>
              </w:rPr>
              <w:t>无质量问题，达到付款条件起</w:t>
            </w:r>
            <w:r>
              <w:rPr>
                <w:rFonts w:ascii="仿宋_GB2312" w:hAnsi="仿宋_GB2312" w:cs="仿宋_GB2312" w:eastAsia="仿宋_GB2312"/>
                <w:sz w:val="20"/>
              </w:rPr>
              <w:t>30</w:t>
            </w:r>
            <w:r>
              <w:rPr>
                <w:rFonts w:ascii="仿宋_GB2312" w:hAnsi="仿宋_GB2312" w:cs="仿宋_GB2312" w:eastAsia="仿宋_GB2312"/>
                <w:sz w:val="20"/>
              </w:rPr>
              <w:t>日内，支付合同总金额的</w:t>
            </w:r>
            <w:r>
              <w:rPr>
                <w:rFonts w:ascii="仿宋_GB2312" w:hAnsi="仿宋_GB2312" w:cs="仿宋_GB2312" w:eastAsia="仿宋_GB2312"/>
                <w:sz w:val="20"/>
              </w:rPr>
              <w:t>3%。</w:t>
            </w:r>
          </w:p>
          <w:p>
            <w:pPr>
              <w:pStyle w:val="null3"/>
              <w:jc w:val="both"/>
            </w:pPr>
            <w:r>
              <w:rPr>
                <w:rFonts w:ascii="仿宋_GB2312" w:hAnsi="仿宋_GB2312" w:cs="仿宋_GB2312" w:eastAsia="仿宋_GB2312"/>
                <w:sz w:val="20"/>
                <w:b/>
                <w:color w:val="000000"/>
              </w:rPr>
              <w:t>二、质量标准：</w:t>
            </w:r>
          </w:p>
          <w:p>
            <w:pPr>
              <w:pStyle w:val="null3"/>
              <w:ind w:firstLine="400"/>
              <w:jc w:val="both"/>
            </w:pPr>
            <w:r>
              <w:rPr>
                <w:rFonts w:ascii="仿宋_GB2312" w:hAnsi="仿宋_GB2312" w:cs="仿宋_GB2312" w:eastAsia="仿宋_GB2312"/>
              </w:rPr>
              <w:t>按照</w:t>
            </w:r>
            <w:r>
              <w:rPr>
                <w:rFonts w:ascii="仿宋_GB2312" w:hAnsi="仿宋_GB2312" w:cs="仿宋_GB2312" w:eastAsia="仿宋_GB2312"/>
              </w:rPr>
              <w:t>《城市道路照明工程施工及验收规程》标准及项目所在省相关质量评定标准，质量等级为合格，质量合格率达到</w:t>
            </w:r>
            <w:r>
              <w:rPr>
                <w:rFonts w:ascii="仿宋_GB2312" w:hAnsi="仿宋_GB2312" w:cs="仿宋_GB2312" w:eastAsia="仿宋_GB2312"/>
              </w:rPr>
              <w:t>100%。</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主要建设内容：</w:t>
            </w:r>
          </w:p>
          <w:p>
            <w:pPr>
              <w:pStyle w:val="null3"/>
              <w:ind w:firstLine="400"/>
              <w:jc w:val="left"/>
            </w:pPr>
            <w:r>
              <w:rPr>
                <w:rFonts w:ascii="仿宋_GB2312" w:hAnsi="仿宋_GB2312" w:cs="仿宋_GB2312" w:eastAsia="仿宋_GB2312"/>
                <w:sz w:val="20"/>
              </w:rPr>
              <w:t>尧山镇公共照明</w:t>
            </w:r>
            <w:r>
              <w:rPr>
                <w:rFonts w:ascii="仿宋_GB2312" w:hAnsi="仿宋_GB2312" w:cs="仿宋_GB2312" w:eastAsia="仿宋_GB2312"/>
                <w:sz w:val="20"/>
              </w:rPr>
              <w:t>640盏路灯维修更换：光陵村80个，新苇村90个，八福村50个，东苇村100个，翔村村100个，荣光村50个，延兴村20个，闫家村50个，马家村50个，池阳村50个以及伴随服</w:t>
            </w:r>
            <w:r>
              <w:rPr>
                <w:rFonts w:ascii="仿宋_GB2312" w:hAnsi="仿宋_GB2312" w:cs="仿宋_GB2312" w:eastAsia="仿宋_GB2312"/>
                <w:sz w:val="20"/>
                <w:color w:val="000000"/>
              </w:rPr>
              <w:t>务。</w:t>
            </w:r>
          </w:p>
          <w:p>
            <w:pPr>
              <w:pStyle w:val="null3"/>
              <w:ind w:firstLine="400"/>
              <w:jc w:val="left"/>
            </w:pPr>
            <w:r>
              <w:rPr>
                <w:rFonts w:ascii="仿宋_GB2312" w:hAnsi="仿宋_GB2312" w:cs="仿宋_GB2312" w:eastAsia="仿宋_GB2312"/>
                <w:sz w:val="20"/>
                <w:color w:val="000000"/>
              </w:rPr>
              <w:t>具体详见工程量清单。</w:t>
            </w:r>
          </w:p>
          <w:p>
            <w:pPr>
              <w:pStyle w:val="null3"/>
              <w:jc w:val="left"/>
            </w:pPr>
            <w:r>
              <w:rPr>
                <w:rFonts w:ascii="仿宋_GB2312" w:hAnsi="仿宋_GB2312" w:cs="仿宋_GB2312" w:eastAsia="仿宋_GB2312"/>
                <w:sz w:val="20"/>
                <w:b/>
                <w:color w:val="000000"/>
              </w:rPr>
              <w:t>四、工程量清单</w:t>
            </w:r>
          </w:p>
          <w:p>
            <w:pPr>
              <w:pStyle w:val="null3"/>
              <w:ind w:firstLine="400"/>
              <w:jc w:val="both"/>
            </w:pPr>
            <w:r>
              <w:rPr>
                <w:rFonts w:ascii="仿宋_GB2312" w:hAnsi="仿宋_GB2312" w:cs="仿宋_GB2312" w:eastAsia="仿宋_GB2312"/>
                <w:sz w:val="20"/>
                <w:color w:val="000000"/>
              </w:rPr>
              <w:t>（一）编制依据</w:t>
            </w:r>
          </w:p>
          <w:p>
            <w:pPr>
              <w:pStyle w:val="null3"/>
              <w:ind w:firstLine="400"/>
              <w:jc w:val="left"/>
            </w:pPr>
            <w:r>
              <w:rPr>
                <w:rFonts w:ascii="仿宋_GB2312" w:hAnsi="仿宋_GB2312" w:cs="仿宋_GB2312" w:eastAsia="仿宋_GB2312"/>
                <w:sz w:val="20"/>
                <w:color w:val="000000"/>
              </w:rPr>
              <w:t>1、工程量计算依据：常规施工方案；</w:t>
            </w:r>
          </w:p>
          <w:p>
            <w:pPr>
              <w:pStyle w:val="null3"/>
              <w:ind w:firstLine="400"/>
              <w:jc w:val="left"/>
            </w:pPr>
            <w:r>
              <w:rPr>
                <w:rFonts w:ascii="仿宋_GB2312" w:hAnsi="仿宋_GB2312" w:cs="仿宋_GB2312" w:eastAsia="仿宋_GB2312"/>
                <w:sz w:val="20"/>
                <w:color w:val="000000"/>
              </w:rPr>
              <w:t>2、依据《建设工程工程量清单计价标准》（DB 61/T5126-2025）、《陕西省建设工程费用规则》（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陕西省房屋建筑与装饰工程基价表》（2025）、《陕西省通用安装工程基价表》（2025）、《陕西省市政工程基价表》（2025）、《陕西省园林绿化工程基价表》（2025）以及相关政策性文件；</w:t>
            </w:r>
          </w:p>
          <w:p>
            <w:pPr>
              <w:pStyle w:val="null3"/>
              <w:ind w:firstLine="400"/>
              <w:jc w:val="left"/>
            </w:pPr>
            <w:r>
              <w:rPr>
                <w:rFonts w:ascii="仿宋_GB2312" w:hAnsi="仿宋_GB2312" w:cs="仿宋_GB2312" w:eastAsia="仿宋_GB2312"/>
                <w:sz w:val="20"/>
                <w:color w:val="000000"/>
              </w:rPr>
              <w:t>3、与建设工程项目有关的标准、规范、图集、技术资料，施工现场情况、工程特点及常规施工规范及验收规范；</w:t>
            </w:r>
          </w:p>
          <w:p>
            <w:pPr>
              <w:pStyle w:val="null3"/>
              <w:ind w:firstLine="400"/>
              <w:jc w:val="left"/>
            </w:pPr>
            <w:r>
              <w:rPr>
                <w:rFonts w:ascii="仿宋_GB2312" w:hAnsi="仿宋_GB2312" w:cs="仿宋_GB2312" w:eastAsia="仿宋_GB2312"/>
                <w:sz w:val="20"/>
                <w:color w:val="000000"/>
              </w:rPr>
              <w:t>4、增值税税率按一般计税9%计算；</w:t>
            </w:r>
          </w:p>
          <w:p>
            <w:pPr>
              <w:pStyle w:val="null3"/>
              <w:ind w:firstLine="400"/>
              <w:jc w:val="left"/>
            </w:pPr>
            <w:r>
              <w:rPr>
                <w:rFonts w:ascii="仿宋_GB2312" w:hAnsi="仿宋_GB2312" w:cs="仿宋_GB2312" w:eastAsia="仿宋_GB2312"/>
                <w:sz w:val="20"/>
                <w:color w:val="000000"/>
              </w:rPr>
              <w:t>5、工程地区按全省（延安、榆林除外）计入；</w:t>
            </w:r>
          </w:p>
          <w:p>
            <w:pPr>
              <w:pStyle w:val="null3"/>
              <w:ind w:firstLine="402"/>
              <w:jc w:val="left"/>
            </w:pPr>
            <w:r>
              <w:rPr>
                <w:rFonts w:ascii="仿宋_GB2312" w:hAnsi="仿宋_GB2312" w:cs="仿宋_GB2312" w:eastAsia="仿宋_GB2312"/>
                <w:sz w:val="20"/>
                <w:b/>
                <w:color w:val="000000"/>
              </w:rPr>
              <w:t>（二）计价软件</w:t>
            </w:r>
          </w:p>
          <w:p>
            <w:pPr>
              <w:pStyle w:val="null3"/>
              <w:ind w:firstLine="400"/>
              <w:jc w:val="both"/>
            </w:pPr>
            <w:r>
              <w:rPr>
                <w:rFonts w:ascii="仿宋_GB2312" w:hAnsi="仿宋_GB2312" w:cs="仿宋_GB2312" w:eastAsia="仿宋_GB2312"/>
                <w:sz w:val="20"/>
                <w:color w:val="000000"/>
              </w:rPr>
              <w:t>本工程编制软件采用广联达云计价</w:t>
            </w:r>
            <w:r>
              <w:rPr>
                <w:rFonts w:ascii="仿宋_GB2312" w:hAnsi="仿宋_GB2312" w:cs="仿宋_GB2312" w:eastAsia="仿宋_GB2312"/>
                <w:sz w:val="20"/>
                <w:color w:val="000000"/>
              </w:rPr>
              <w:t>GCCP7.0（7.5000.23.3版本）编制。</w:t>
            </w:r>
          </w:p>
          <w:p>
            <w:pPr>
              <w:pStyle w:val="null3"/>
              <w:jc w:val="both"/>
            </w:pPr>
            <w:r>
              <w:rPr>
                <w:rFonts w:ascii="仿宋_GB2312" w:hAnsi="仿宋_GB2312" w:cs="仿宋_GB2312" w:eastAsia="仿宋_GB2312"/>
                <w:sz w:val="20"/>
                <w:b/>
              </w:rPr>
              <w:t>（三）其他说明</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本项目</w:t>
            </w:r>
            <w:r>
              <w:rPr>
                <w:rFonts w:ascii="仿宋_GB2312" w:hAnsi="仿宋_GB2312" w:cs="仿宋_GB2312" w:eastAsia="仿宋_GB2312"/>
                <w:sz w:val="20"/>
              </w:rPr>
              <w:t>采用</w:t>
            </w:r>
            <w:r>
              <w:rPr>
                <w:rFonts w:ascii="仿宋_GB2312" w:hAnsi="仿宋_GB2312" w:cs="仿宋_GB2312" w:eastAsia="仿宋_GB2312"/>
                <w:sz w:val="20"/>
              </w:rPr>
              <w:t>总</w:t>
            </w:r>
            <w:r>
              <w:rPr>
                <w:rFonts w:ascii="仿宋_GB2312" w:hAnsi="仿宋_GB2312" w:cs="仿宋_GB2312" w:eastAsia="仿宋_GB2312"/>
                <w:sz w:val="20"/>
              </w:rPr>
              <w:t>价合同</w:t>
            </w:r>
            <w:r>
              <w:rPr>
                <w:rFonts w:ascii="仿宋_GB2312" w:hAnsi="仿宋_GB2312" w:cs="仿宋_GB2312" w:eastAsia="仿宋_GB2312"/>
                <w:sz w:val="20"/>
              </w:rPr>
              <w:t>（</w:t>
            </w:r>
            <w:r>
              <w:rPr>
                <w:rFonts w:ascii="仿宋_GB2312" w:hAnsi="仿宋_GB2312" w:cs="仿宋_GB2312" w:eastAsia="仿宋_GB2312"/>
                <w:sz w:val="20"/>
              </w:rPr>
              <w:t>即项目包干价）</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2.磋商过程中的多轮报价均以总价进行报价，以首次响应总价与最后总报价变动比例为准，对首次已标价工程量清单单价进行同比例调整后为最终成交单价，成交后价格不得更改。</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.在</w:t>
            </w:r>
            <w:r>
              <w:rPr>
                <w:rFonts w:ascii="仿宋_GB2312" w:hAnsi="仿宋_GB2312" w:cs="仿宋_GB2312" w:eastAsia="仿宋_GB2312"/>
                <w:sz w:val="20"/>
              </w:rPr>
              <w:t>磋商内容未发生实质性改变或</w:t>
            </w:r>
            <w:r>
              <w:rPr>
                <w:rFonts w:ascii="仿宋_GB2312" w:hAnsi="仿宋_GB2312" w:cs="仿宋_GB2312" w:eastAsia="仿宋_GB2312"/>
                <w:sz w:val="20"/>
              </w:rPr>
              <w:t>未提高</w:t>
            </w:r>
            <w:r>
              <w:rPr>
                <w:rFonts w:ascii="仿宋_GB2312" w:hAnsi="仿宋_GB2312" w:cs="仿宋_GB2312" w:eastAsia="仿宋_GB2312"/>
                <w:sz w:val="20"/>
              </w:rPr>
              <w:t>响应</w:t>
            </w:r>
            <w:r>
              <w:rPr>
                <w:rFonts w:ascii="仿宋_GB2312" w:hAnsi="仿宋_GB2312" w:cs="仿宋_GB2312" w:eastAsia="仿宋_GB2312"/>
                <w:sz w:val="20"/>
              </w:rPr>
              <w:t>标准</w:t>
            </w:r>
            <w:r>
              <w:rPr>
                <w:rFonts w:ascii="仿宋_GB2312" w:hAnsi="仿宋_GB2312" w:cs="仿宋_GB2312" w:eastAsia="仿宋_GB2312"/>
                <w:sz w:val="20"/>
              </w:rPr>
              <w:t>承诺的</w:t>
            </w:r>
            <w:r>
              <w:rPr>
                <w:rFonts w:ascii="仿宋_GB2312" w:hAnsi="仿宋_GB2312" w:cs="仿宋_GB2312" w:eastAsia="仿宋_GB2312"/>
                <w:sz w:val="20"/>
              </w:rPr>
              <w:t>情况下，</w:t>
            </w:r>
            <w:r>
              <w:rPr>
                <w:rFonts w:ascii="仿宋_GB2312" w:hAnsi="仿宋_GB2312" w:cs="仿宋_GB2312" w:eastAsia="仿宋_GB2312"/>
                <w:sz w:val="20"/>
              </w:rPr>
              <w:t>供应商</w:t>
            </w:r>
            <w:r>
              <w:rPr>
                <w:rFonts w:ascii="仿宋_GB2312" w:hAnsi="仿宋_GB2312" w:cs="仿宋_GB2312" w:eastAsia="仿宋_GB2312"/>
                <w:sz w:val="20"/>
              </w:rPr>
              <w:t>后轮报价不得高于前轮报价，否则磋商小组对其响应文件作无效处理。</w:t>
            </w:r>
          </w:p>
          <w:p>
            <w:pPr>
              <w:pStyle w:val="null3"/>
              <w:jc w:val="both"/>
            </w:pPr>
            <w:r>
              <w:rPr>
                <w:rFonts w:ascii="仿宋_GB2312" w:hAnsi="仿宋_GB2312" w:cs="仿宋_GB2312" w:eastAsia="仿宋_GB2312"/>
                <w:sz w:val="20"/>
                <w:b/>
              </w:rPr>
              <w:t>五、履约要求</w:t>
            </w:r>
          </w:p>
          <w:p>
            <w:pPr>
              <w:pStyle w:val="null3"/>
              <w:ind w:firstLine="400"/>
              <w:jc w:val="left"/>
            </w:pPr>
            <w:r>
              <w:rPr>
                <w:rFonts w:ascii="仿宋_GB2312" w:hAnsi="仿宋_GB2312" w:cs="仿宋_GB2312" w:eastAsia="仿宋_GB2312"/>
                <w:sz w:val="20"/>
              </w:rPr>
              <w:t>1、针对本项目须有合理的施工方法及技术措施，以保证项目顺利实施。</w:t>
            </w:r>
          </w:p>
          <w:p>
            <w:pPr>
              <w:pStyle w:val="null3"/>
              <w:ind w:firstLine="400"/>
              <w:jc w:val="left"/>
            </w:pPr>
            <w:r>
              <w:rPr>
                <w:rFonts w:ascii="仿宋_GB2312" w:hAnsi="仿宋_GB2312" w:cs="仿宋_GB2312" w:eastAsia="仿宋_GB2312"/>
                <w:sz w:val="20"/>
              </w:rPr>
              <w:t>2、供应商须配备合理的施工机具及劳动力，保证本项目按期完工。</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针对本项目，供应商有明确的质量保证措施及检验制度，选用优质材料，确保工程质量达到合格标准。</w:t>
            </w:r>
          </w:p>
          <w:p>
            <w:pPr>
              <w:pStyle w:val="null3"/>
              <w:ind w:firstLine="400"/>
              <w:jc w:val="left"/>
            </w:pPr>
            <w:r>
              <w:rPr>
                <w:rFonts w:ascii="仿宋_GB2312" w:hAnsi="仿宋_GB2312" w:cs="仿宋_GB2312" w:eastAsia="仿宋_GB2312"/>
                <w:sz w:val="20"/>
              </w:rPr>
              <w:t>4、项目团队</w:t>
            </w:r>
            <w:r>
              <w:rPr>
                <w:rFonts w:ascii="仿宋_GB2312" w:hAnsi="仿宋_GB2312" w:cs="仿宋_GB2312" w:eastAsia="仿宋_GB2312"/>
                <w:sz w:val="20"/>
              </w:rPr>
              <w:t>：</w:t>
            </w:r>
            <w:r>
              <w:rPr>
                <w:rFonts w:ascii="仿宋_GB2312" w:hAnsi="仿宋_GB2312" w:cs="仿宋_GB2312" w:eastAsia="仿宋_GB2312"/>
                <w:sz w:val="20"/>
              </w:rPr>
              <w:t>须有专业、科学、严谨的组织机构，人员岗位清晰明确，至少包含：项目经理、技术负责人、施工员、安全员</w:t>
            </w:r>
            <w:r>
              <w:rPr>
                <w:rFonts w:ascii="仿宋_GB2312" w:hAnsi="仿宋_GB2312" w:cs="仿宋_GB2312" w:eastAsia="仿宋_GB2312"/>
                <w:sz w:val="20"/>
              </w:rPr>
              <w:t>、质量员、资料员、材料员等。</w:t>
            </w:r>
          </w:p>
          <w:p>
            <w:pPr>
              <w:pStyle w:val="null3"/>
              <w:ind w:firstLine="400"/>
              <w:jc w:val="left"/>
            </w:pPr>
            <w:r>
              <w:rPr>
                <w:rFonts w:ascii="仿宋_GB2312" w:hAnsi="仿宋_GB2312" w:cs="仿宋_GB2312" w:eastAsia="仿宋_GB2312"/>
                <w:sz w:val="20"/>
              </w:rPr>
              <w:t>5、施工安全、文明及环境保护：供应商需制定专项施工安全方案，配备专业的安全管理人员，有详细的安全生产体及安全生产责任制度；施工期间设置安全警示标识，杜绝坠落、坍塌等安全事故。机械进场出场需规范操作，避免对场地及周边造成影响；施工期间对施工现场的场容场貌、材料进行管理，避免施工现场混乱，材料乱堆乱放；施工现场的垃圾废物等及时清运，保持现场消防安全与卫生；施工过程中需对周围环境进行保护，以免生态环境遭受破坏。</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做好现场和人员防护措施，保证设备安装调试顺利进行。</w:t>
            </w:r>
          </w:p>
          <w:p>
            <w:pPr>
              <w:pStyle w:val="null3"/>
              <w:ind w:firstLine="400"/>
              <w:jc w:val="left"/>
            </w:pPr>
            <w:r>
              <w:rPr>
                <w:rFonts w:ascii="仿宋_GB2312" w:hAnsi="仿宋_GB2312" w:cs="仿宋_GB2312" w:eastAsia="仿宋_GB2312"/>
                <w:sz w:val="20"/>
              </w:rPr>
              <w:t>7、提供长期的技术咨询服务，对项目相关人员进行培训，以达到熟练、安全使用和日常维护。</w:t>
            </w:r>
          </w:p>
          <w:p>
            <w:pPr>
              <w:pStyle w:val="null3"/>
              <w:ind w:firstLine="400"/>
              <w:jc w:val="left"/>
            </w:pPr>
            <w:r>
              <w:rPr>
                <w:rFonts w:ascii="仿宋_GB2312" w:hAnsi="仿宋_GB2312" w:cs="仿宋_GB2312" w:eastAsia="仿宋_GB2312"/>
                <w:sz w:val="20"/>
              </w:rPr>
              <w:t>8、</w:t>
            </w:r>
            <w:r>
              <w:rPr>
                <w:rFonts w:ascii="仿宋_GB2312" w:hAnsi="仿宋_GB2312" w:cs="仿宋_GB2312" w:eastAsia="仿宋_GB2312"/>
                <w:sz w:val="20"/>
              </w:rPr>
              <w:t>应急预案</w:t>
            </w:r>
            <w:r>
              <w:rPr>
                <w:rFonts w:ascii="仿宋_GB2312" w:hAnsi="仿宋_GB2312" w:cs="仿宋_GB2312" w:eastAsia="仿宋_GB2312"/>
                <w:sz w:val="20"/>
              </w:rPr>
              <w:t>：</w:t>
            </w:r>
            <w:r>
              <w:rPr>
                <w:rFonts w:ascii="仿宋_GB2312" w:hAnsi="仿宋_GB2312" w:cs="仿宋_GB2312" w:eastAsia="仿宋_GB2312"/>
                <w:sz w:val="20"/>
              </w:rPr>
              <w:t>为防止和减少施工及后期紧急事件和安全事故的发生，供应商需制定针对本项目的事故预防和解决方案，以减少突发事件导致的人员安全等问题。</w:t>
            </w:r>
          </w:p>
          <w:p>
            <w:pPr>
              <w:pStyle w:val="null3"/>
              <w:ind w:firstLine="400"/>
              <w:jc w:val="left"/>
            </w:pPr>
            <w:r>
              <w:rPr>
                <w:rFonts w:ascii="仿宋_GB2312" w:hAnsi="仿宋_GB2312" w:cs="仿宋_GB2312" w:eastAsia="仿宋_GB2312"/>
                <w:sz w:val="20"/>
              </w:rPr>
              <w:t>9</w:t>
            </w:r>
            <w:r>
              <w:rPr>
                <w:rFonts w:ascii="仿宋_GB2312" w:hAnsi="仿宋_GB2312" w:cs="仿宋_GB2312" w:eastAsia="仿宋_GB2312"/>
                <w:sz w:val="20"/>
              </w:rPr>
              <w:t>、本项目</w:t>
            </w:r>
            <w:r>
              <w:rPr>
                <w:rFonts w:ascii="仿宋_GB2312" w:hAnsi="仿宋_GB2312" w:cs="仿宋_GB2312" w:eastAsia="仿宋_GB2312"/>
                <w:sz w:val="20"/>
              </w:rPr>
              <w:t>鼓励使用</w:t>
            </w:r>
            <w:r>
              <w:rPr>
                <w:rFonts w:ascii="仿宋_GB2312" w:hAnsi="仿宋_GB2312" w:cs="仿宋_GB2312" w:eastAsia="仿宋_GB2312"/>
                <w:sz w:val="20"/>
              </w:rPr>
              <w:t>新技术、新产品、新工艺、新材料。</w:t>
            </w:r>
            <w:r>
              <w:rPr>
                <w:rFonts w:ascii="仿宋_GB2312" w:hAnsi="仿宋_GB2312" w:cs="仿宋_GB2312" w:eastAsia="仿宋_GB2312"/>
                <w:sz w:val="20"/>
              </w:rPr>
              <w:t>保证工程所用材料、设备来源合法、正规，品质优良。</w:t>
            </w:r>
          </w:p>
          <w:p>
            <w:pPr>
              <w:pStyle w:val="null3"/>
              <w:ind w:firstLine="400"/>
              <w:jc w:val="left"/>
            </w:pPr>
            <w:r>
              <w:rPr>
                <w:rFonts w:ascii="仿宋_GB2312" w:hAnsi="仿宋_GB2312" w:cs="仿宋_GB2312" w:eastAsia="仿宋_GB2312"/>
                <w:sz w:val="20"/>
              </w:rPr>
              <w:t>10、</w:t>
            </w:r>
            <w:r>
              <w:rPr>
                <w:rFonts w:ascii="仿宋_GB2312" w:hAnsi="仿宋_GB2312" w:cs="仿宋_GB2312" w:eastAsia="仿宋_GB2312"/>
                <w:sz w:val="20"/>
              </w:rPr>
              <w:t>本项目质保期内因产品本身质量问题产生故障，供应商免费维修、免费更换零部件，免收上门</w:t>
            </w:r>
            <w:r>
              <w:rPr>
                <w:rFonts w:ascii="仿宋_GB2312" w:hAnsi="仿宋_GB2312" w:cs="仿宋_GB2312" w:eastAsia="仿宋_GB2312"/>
                <w:sz w:val="20"/>
              </w:rPr>
              <w:t>费</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11、供应商设立7×24小时服务热线，接到故障报修2小时内响应，24小时到达项目现场；一般故障24小时排除，重大故障48小时处置完成；确保维修过程规范、干净，尽量减少对周边环境的影响。</w:t>
            </w:r>
            <w:r>
              <w:br/>
            </w:r>
            <w:r>
              <w:rPr>
                <w:rFonts w:ascii="仿宋_GB2312" w:hAnsi="仿宋_GB2312" w:cs="仿宋_GB2312" w:eastAsia="仿宋_GB2312"/>
                <w:sz w:val="20"/>
              </w:rPr>
              <w:t xml:space="preserve">    </w:t>
            </w:r>
            <w:r>
              <w:rPr>
                <w:rFonts w:ascii="仿宋_GB2312" w:hAnsi="仿宋_GB2312" w:cs="仿宋_GB2312" w:eastAsia="仿宋_GB2312"/>
                <w:sz w:val="20"/>
              </w:rPr>
              <w:t>12、</w:t>
            </w:r>
            <w:r>
              <w:rPr>
                <w:rFonts w:ascii="仿宋_GB2312" w:hAnsi="仿宋_GB2312" w:cs="仿宋_GB2312" w:eastAsia="仿宋_GB2312"/>
                <w:sz w:val="20"/>
                <w:color w:val="000000"/>
              </w:rPr>
              <w:t>本项目所使用的设备及材料需满足国家强制性标准规范要求，</w:t>
            </w:r>
            <w:r>
              <w:rPr>
                <w:rFonts w:ascii="仿宋_GB2312" w:hAnsi="仿宋_GB2312" w:cs="仿宋_GB2312" w:eastAsia="仿宋_GB2312"/>
                <w:sz w:val="20"/>
                <w:color w:val="000000"/>
              </w:rPr>
              <w:t>且承诺</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国家认可的</w:t>
            </w:r>
            <w:r>
              <w:rPr>
                <w:rFonts w:ascii="仿宋_GB2312" w:hAnsi="仿宋_GB2312" w:cs="仿宋_GB2312" w:eastAsia="仿宋_GB2312"/>
                <w:sz w:val="20"/>
                <w:color w:val="000000"/>
              </w:rPr>
              <w:t>相关佐证资料。</w:t>
            </w:r>
          </w:p>
          <w:p>
            <w:pPr>
              <w:pStyle w:val="null3"/>
              <w:jc w:val="both"/>
            </w:pPr>
            <w:r>
              <w:rPr>
                <w:rFonts w:ascii="仿宋_GB2312" w:hAnsi="仿宋_GB2312" w:cs="仿宋_GB2312" w:eastAsia="仿宋_GB2312"/>
                <w:sz w:val="21"/>
                <w:b/>
                <w:color w:val="000000"/>
              </w:rPr>
              <w:t>说明：本文中</w:t>
            </w:r>
            <w:r>
              <w:rPr>
                <w:rFonts w:ascii="仿宋_GB2312" w:hAnsi="仿宋_GB2312" w:cs="仿宋_GB2312" w:eastAsia="仿宋_GB2312"/>
                <w:sz w:val="21"/>
                <w:b/>
                <w:color w:val="000000"/>
              </w:rPr>
              <w:t>“合同履行期限”=“交工</w:t>
            </w:r>
            <w:r>
              <w:rPr>
                <w:rFonts w:ascii="仿宋_GB2312" w:hAnsi="仿宋_GB2312" w:cs="仿宋_GB2312" w:eastAsia="仿宋_GB2312"/>
                <w:sz w:val="21"/>
                <w:b/>
              </w:rPr>
              <w:t>期</w:t>
            </w:r>
            <w:r>
              <w:rPr>
                <w:rFonts w:ascii="仿宋_GB2312" w:hAnsi="仿宋_GB2312" w:cs="仿宋_GB2312" w:eastAsia="仿宋_GB2312"/>
                <w:sz w:val="21"/>
                <w:b/>
              </w:rPr>
              <w:t>/施工日期</w:t>
            </w:r>
            <w:r>
              <w:rPr>
                <w:rFonts w:ascii="仿宋_GB2312" w:hAnsi="仿宋_GB2312" w:cs="仿宋_GB2312" w:eastAsia="仿宋_GB2312"/>
                <w:sz w:val="21"/>
                <w:b/>
                <w:color w:val="000000"/>
              </w:rPr>
              <w:t>”</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质量：按照《城市道路照明工程施工及验收规程》标准及项目所在省相关质量评定标准，质量等级为合格，质量合格率达到100%。</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供应商磋商须知补充条款详见附件第九章“补充说明”（二）线下纸质文件编制、提交：为方便查阅、评审和采购资料备案留存，要求供应商须提交线下纸质响应文件，具体要求如下：①线上文件编制完成定稿后，供应商应及时将其完整下载并打印（须有本项目水印），装订成册。线上线下文件内容不一致或未按要求提交纸质响应文件造成的后果自负。②装订：按资质、商务、技术等顺序装订成一册，并编制目录。（可分上中下或第一、二、...册等多册，以胶装或线装等非活页形式装订）。③数量：两套。④提交时间、地点：在响应文件线上提交时间截止后半小时内，由供应商授权人提交至代理机构（地点：西安市沣惠路南段艺腾国际商务大厦10楼第1会议室）。④线下与线上文件不一致以线上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承接工程施工的供应商全部为符合政策要求的中小企业。</w:t>
            </w:r>
          </w:p>
        </w:tc>
        <w:tc>
          <w:tcPr>
            <w:tcW w:type="dxa" w:w="1661"/>
          </w:tcPr>
          <w:p>
            <w:pPr>
              <w:pStyle w:val="null3"/>
            </w:pPr>
            <w:r>
              <w:rPr>
                <w:rFonts w:ascii="仿宋_GB2312" w:hAnsi="仿宋_GB2312" w:cs="仿宋_GB2312" w:eastAsia="仿宋_GB2312"/>
              </w:rPr>
              <w:t>中小企业声明函.docx 监狱企业的证明.docx 残疾人福利性单位声明函.docx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法定代表人（或负责人）资格证明</w:t>
            </w:r>
          </w:p>
        </w:tc>
        <w:tc>
          <w:tcPr>
            <w:tcW w:type="dxa" w:w="3322"/>
          </w:tcPr>
          <w:p>
            <w:pPr>
              <w:pStyle w:val="null3"/>
            </w:pPr>
            <w:r>
              <w:rPr>
                <w:rFonts w:ascii="仿宋_GB2312" w:hAnsi="仿宋_GB2312" w:cs="仿宋_GB2312" w:eastAsia="仿宋_GB2312"/>
              </w:rPr>
              <w:t>提供法定代表人（或负责人）资格证明；</w:t>
            </w:r>
          </w:p>
        </w:tc>
        <w:tc>
          <w:tcPr>
            <w:tcW w:type="dxa" w:w="1661"/>
          </w:tcPr>
          <w:p>
            <w:pPr>
              <w:pStyle w:val="null3"/>
            </w:pPr>
            <w:r>
              <w:rPr>
                <w:rFonts w:ascii="仿宋_GB2312" w:hAnsi="仿宋_GB2312" w:cs="仿宋_GB2312" w:eastAsia="仿宋_GB2312"/>
              </w:rPr>
              <w:t>法定代表人或负责人资格证明.docx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营业执照或等同</w:t>
            </w:r>
          </w:p>
        </w:tc>
        <w:tc>
          <w:tcPr>
            <w:tcW w:type="dxa" w:w="3322"/>
          </w:tcPr>
          <w:p>
            <w:pPr>
              <w:pStyle w:val="null3"/>
            </w:pPr>
            <w:r>
              <w:rPr>
                <w:rFonts w:ascii="仿宋_GB2312" w:hAnsi="仿宋_GB2312" w:cs="仿宋_GB2312" w:eastAsia="仿宋_GB2312"/>
              </w:rPr>
              <w:t>国内合法注册，具有独立承担民事责任能力的法人或其他组织（分公司提供总公司合法有效授权）；</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供应商应提供健全的财务会计制度和良好的商业信誉的证明</w:t>
            </w:r>
          </w:p>
        </w:tc>
        <w:tc>
          <w:tcPr>
            <w:tcW w:type="dxa" w:w="3322"/>
          </w:tcPr>
          <w:p>
            <w:pPr>
              <w:pStyle w:val="null3"/>
            </w:pPr>
            <w:r>
              <w:rPr>
                <w:rFonts w:ascii="仿宋_GB2312" w:hAnsi="仿宋_GB2312" w:cs="仿宋_GB2312" w:eastAsia="仿宋_GB2312"/>
              </w:rPr>
              <w:t>提供供应商2025年的财务报告或针对本项目开具的银行资信证明；</w:t>
            </w:r>
          </w:p>
        </w:tc>
        <w:tc>
          <w:tcPr>
            <w:tcW w:type="dxa" w:w="1661"/>
          </w:tcPr>
          <w:p>
            <w:pPr>
              <w:pStyle w:val="null3"/>
            </w:pPr>
            <w:r>
              <w:rPr>
                <w:rFonts w:ascii="仿宋_GB2312" w:hAnsi="仿宋_GB2312" w:cs="仿宋_GB2312" w:eastAsia="仿宋_GB2312"/>
              </w:rPr>
              <w:t>财务报表或资信证明.docx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依法缴税及缴纳社保的证明</w:t>
            </w:r>
          </w:p>
        </w:tc>
        <w:tc>
          <w:tcPr>
            <w:tcW w:type="dxa" w:w="3322"/>
          </w:tcPr>
          <w:p>
            <w:pPr>
              <w:pStyle w:val="null3"/>
            </w:pPr>
            <w:r>
              <w:rPr>
                <w:rFonts w:ascii="仿宋_GB2312" w:hAnsi="仿宋_GB2312" w:cs="仿宋_GB2312" w:eastAsia="仿宋_GB2312"/>
              </w:rPr>
              <w:t>提供供应商2026年1月至今任意一个月完税及缴纳社保凭证（须含养老），时间以税款/社保所属日期为准，凭证应有税务机关或代收机关的公章或业务专用章，依法免缴提供有效证明。至响应截止时间成立不足一月的，提供供应商依法缴纳税收及社保的证明或承诺；</w:t>
            </w:r>
          </w:p>
        </w:tc>
        <w:tc>
          <w:tcPr>
            <w:tcW w:type="dxa" w:w="1661"/>
          </w:tcPr>
          <w:p>
            <w:pPr>
              <w:pStyle w:val="null3"/>
            </w:pPr>
            <w:r>
              <w:rPr>
                <w:rFonts w:ascii="仿宋_GB2312" w:hAnsi="仿宋_GB2312" w:cs="仿宋_GB2312" w:eastAsia="仿宋_GB2312"/>
              </w:rPr>
              <w:t>完税及社保缴纳凭证.docx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供应商须具备建设行政主管部门颁发的市政公用工程施工总承包三级（含以上）或机电工程专业承包二级（含以上）资质，并具有合格有效的安全生产许可证；</w:t>
            </w:r>
          </w:p>
        </w:tc>
        <w:tc>
          <w:tcPr>
            <w:tcW w:type="dxa" w:w="1661"/>
          </w:tcPr>
          <w:p>
            <w:pPr>
              <w:pStyle w:val="null3"/>
            </w:pPr>
            <w:r>
              <w:rPr>
                <w:rFonts w:ascii="仿宋_GB2312" w:hAnsi="仿宋_GB2312" w:cs="仿宋_GB2312" w:eastAsia="仿宋_GB2312"/>
              </w:rPr>
              <w:t>公司专业资质及安全生产许可证.docx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拟派项目经理须具备市政公用工程或机电工程专业的注册建造师资格，具有有效的安全生产考核B级证书,在本单位注册且无在建项目（提供承诺书）；</w:t>
            </w:r>
          </w:p>
        </w:tc>
        <w:tc>
          <w:tcPr>
            <w:tcW w:type="dxa" w:w="1661"/>
          </w:tcPr>
          <w:p>
            <w:pPr>
              <w:pStyle w:val="null3"/>
            </w:pPr>
            <w:r>
              <w:rPr>
                <w:rFonts w:ascii="仿宋_GB2312" w:hAnsi="仿宋_GB2312" w:cs="仿宋_GB2312" w:eastAsia="仿宋_GB2312"/>
              </w:rPr>
              <w:t>项目经理资质.docx 安全生产考核证书.docx 项目经理无在建项目承诺书.docx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以评审现场查询结果为准）</w:t>
            </w:r>
          </w:p>
        </w:tc>
        <w:tc>
          <w:tcPr>
            <w:tcW w:type="dxa" w:w="1661"/>
          </w:tcPr>
          <w:p>
            <w:pPr>
              <w:pStyle w:val="null3"/>
            </w:pPr>
            <w:r>
              <w:rPr>
                <w:rFonts w:ascii="仿宋_GB2312" w:hAnsi="仿宋_GB2312" w:cs="仿宋_GB2312" w:eastAsia="仿宋_GB2312"/>
              </w:rPr>
              <w:t>信用截图.docx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无违法违规行为声明</w:t>
            </w:r>
          </w:p>
        </w:tc>
        <w:tc>
          <w:tcPr>
            <w:tcW w:type="dxa" w:w="3322"/>
          </w:tcPr>
          <w:p>
            <w:pPr>
              <w:pStyle w:val="null3"/>
            </w:pPr>
            <w:r>
              <w:rPr>
                <w:rFonts w:ascii="仿宋_GB2312" w:hAnsi="仿宋_GB2312" w:cs="仿宋_GB2312" w:eastAsia="仿宋_GB2312"/>
              </w:rPr>
              <w:t>供应商参加本政府采购活动前三年内（2023年8月至提交首次响应文件截止时间止）在经营活动中无重大违法违规记录、无重大行政处罚、无重大安全事故的书面声明；</w:t>
            </w:r>
          </w:p>
        </w:tc>
        <w:tc>
          <w:tcPr>
            <w:tcW w:type="dxa" w:w="1661"/>
          </w:tcPr>
          <w:p>
            <w:pPr>
              <w:pStyle w:val="null3"/>
            </w:pPr>
            <w:r>
              <w:rPr>
                <w:rFonts w:ascii="仿宋_GB2312" w:hAnsi="仿宋_GB2312" w:cs="仿宋_GB2312" w:eastAsia="仿宋_GB2312"/>
              </w:rPr>
              <w:t>无重大违法违规等记录的声明.docx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缴纳响应保证金</w:t>
            </w:r>
          </w:p>
        </w:tc>
        <w:tc>
          <w:tcPr>
            <w:tcW w:type="dxa" w:w="3322"/>
          </w:tcPr>
          <w:p>
            <w:pPr>
              <w:pStyle w:val="null3"/>
            </w:pPr>
            <w:r>
              <w:rPr>
                <w:rFonts w:ascii="仿宋_GB2312" w:hAnsi="仿宋_GB2312" w:cs="仿宋_GB2312" w:eastAsia="仿宋_GB2312"/>
              </w:rPr>
              <w:t>提供响应保证金缴纳凭证或响应保函；</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禁止响应情形</w:t>
            </w:r>
          </w:p>
        </w:tc>
        <w:tc>
          <w:tcPr>
            <w:tcW w:type="dxa" w:w="3322"/>
          </w:tcPr>
          <w:p>
            <w:pPr>
              <w:pStyle w:val="null3"/>
            </w:pPr>
            <w:r>
              <w:rPr>
                <w:rFonts w:ascii="仿宋_GB2312" w:hAnsi="仿宋_GB2312" w:cs="仿宋_GB2312" w:eastAsia="仿宋_GB2312"/>
              </w:rPr>
              <w:t>禁止响应情形：①法定代表人或负责人为同一人或存在直接控股、管理关系的不同单位，不得同时参加本项目磋商；②与采购人存在利害关系的单位不得参加本项目磋商；③与本项目监理单位存在利害关系的单位不得参加本项目磋商；④法律法规规定的其他禁止磋商响应情形；</w:t>
            </w:r>
          </w:p>
        </w:tc>
        <w:tc>
          <w:tcPr>
            <w:tcW w:type="dxa" w:w="1661"/>
          </w:tcPr>
          <w:p>
            <w:pPr>
              <w:pStyle w:val="null3"/>
            </w:pPr>
            <w:r>
              <w:rPr>
                <w:rFonts w:ascii="仿宋_GB2312" w:hAnsi="仿宋_GB2312" w:cs="仿宋_GB2312" w:eastAsia="仿宋_GB2312"/>
              </w:rPr>
              <w:t>法定代表人或负责人关联关系声明.docx 禁止响应情形承诺书.docx 供应商关联关系声明.docx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非联合体响应</w:t>
            </w:r>
          </w:p>
        </w:tc>
        <w:tc>
          <w:tcPr>
            <w:tcW w:type="dxa" w:w="3322"/>
          </w:tcPr>
          <w:p>
            <w:pPr>
              <w:pStyle w:val="null3"/>
            </w:pPr>
            <w:r>
              <w:rPr>
                <w:rFonts w:ascii="仿宋_GB2312" w:hAnsi="仿宋_GB2312" w:cs="仿宋_GB2312" w:eastAsia="仿宋_GB2312"/>
              </w:rPr>
              <w:t>提供非联合体响应声明。</w:t>
            </w:r>
          </w:p>
        </w:tc>
        <w:tc>
          <w:tcPr>
            <w:tcW w:type="dxa" w:w="1661"/>
          </w:tcPr>
          <w:p>
            <w:pPr>
              <w:pStyle w:val="null3"/>
            </w:pPr>
            <w:r>
              <w:rPr>
                <w:rFonts w:ascii="仿宋_GB2312" w:hAnsi="仿宋_GB2312" w:cs="仿宋_GB2312" w:eastAsia="仿宋_GB2312"/>
              </w:rPr>
              <w:t>非联合体响应声明.docx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在评审过程中，磋商小组认为供应商报价明显低于其他实质性响应的供应商报价，有可能影响产品质量或者不能诚信履约的，磋商小组应当要求其在合理的时间内提供成本构成书面说明，并提交相关成本证明材料。书面说明应当按照国家财务会计制度的规定要求，逐项就供应商提供的货物、工程和服务的主营业务成本（应根据投标人企业类型予以区别）、税金及附加、销售费用、管理费用、财务费用等成本构成事项详细陈述。 2.投标人提交的相关说明和证明材料，应当加盖供应商（法定名称）电子印章，在评标委员会要求的时间内通过项目电子化交易系统进行提交，否则提交的相关证明材料无效。供应商不能证明其投标（响应）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响应文件签字、盖章，满足磋商文件要求</w:t>
            </w:r>
          </w:p>
        </w:tc>
        <w:tc>
          <w:tcPr>
            <w:tcW w:type="dxa" w:w="1661"/>
          </w:tcPr>
          <w:p>
            <w:pPr>
              <w:pStyle w:val="null3"/>
            </w:pPr>
            <w:r>
              <w:rPr>
                <w:rFonts w:ascii="仿宋_GB2312" w:hAnsi="仿宋_GB2312" w:cs="仿宋_GB2312" w:eastAsia="仿宋_GB2312"/>
              </w:rPr>
              <w:t>响应文件封面 已标价工程量清单.docx 报价函 标的清单 商务应答表.docx 响应函 报价承诺.docx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磋商首次报价</w:t>
            </w:r>
          </w:p>
        </w:tc>
        <w:tc>
          <w:tcPr>
            <w:tcW w:type="dxa" w:w="3322"/>
          </w:tcPr>
          <w:p>
            <w:pPr>
              <w:pStyle w:val="null3"/>
            </w:pPr>
            <w:r>
              <w:rPr>
                <w:rFonts w:ascii="仿宋_GB2312" w:hAnsi="仿宋_GB2312" w:cs="仿宋_GB2312" w:eastAsia="仿宋_GB2312"/>
              </w:rPr>
              <w:t>唯一/无选择性且未超过项目最高限价，且报价承诺实质性响应。</w:t>
            </w:r>
          </w:p>
        </w:tc>
        <w:tc>
          <w:tcPr>
            <w:tcW w:type="dxa" w:w="1661"/>
          </w:tcPr>
          <w:p>
            <w:pPr>
              <w:pStyle w:val="null3"/>
            </w:pPr>
            <w:r>
              <w:rPr>
                <w:rFonts w:ascii="仿宋_GB2312" w:hAnsi="仿宋_GB2312" w:cs="仿宋_GB2312" w:eastAsia="仿宋_GB2312"/>
              </w:rPr>
              <w:t>报价函 标的清单 报价承诺.docx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工程量清单范围、数量及计价</w:t>
            </w:r>
          </w:p>
        </w:tc>
        <w:tc>
          <w:tcPr>
            <w:tcW w:type="dxa" w:w="3322"/>
          </w:tcPr>
          <w:p>
            <w:pPr>
              <w:pStyle w:val="null3"/>
            </w:pPr>
            <w:r>
              <w:rPr>
                <w:rFonts w:ascii="仿宋_GB2312" w:hAnsi="仿宋_GB2312" w:cs="仿宋_GB2312" w:eastAsia="仿宋_GB2312"/>
              </w:rPr>
              <w:t>清单范围和数量完整、准确、计价合规；无漏项、无改动。</w:t>
            </w:r>
          </w:p>
        </w:tc>
        <w:tc>
          <w:tcPr>
            <w:tcW w:type="dxa" w:w="1661"/>
          </w:tcPr>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合同履行期限（交工期/施工日期）</w:t>
            </w:r>
          </w:p>
        </w:tc>
        <w:tc>
          <w:tcPr>
            <w:tcW w:type="dxa" w:w="3322"/>
          </w:tcPr>
          <w:p>
            <w:pPr>
              <w:pStyle w:val="null3"/>
            </w:pPr>
            <w:r>
              <w:rPr>
                <w:rFonts w:ascii="仿宋_GB2312" w:hAnsi="仿宋_GB2312" w:cs="仿宋_GB2312" w:eastAsia="仿宋_GB2312"/>
              </w:rPr>
              <w:t>自合同签订生效之日起20天内竣工并合格交付。</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按照现行国家、省、市相关标准执行。</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按照《城市道路照明工程施工及验收规程》标准及项目所在省相关质量评定标准，质量等级为合格，质量合格率达到100%。</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从提交首次响应文件截止之日起，不少于120天。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w:t>
            </w:r>
          </w:p>
        </w:tc>
        <w:tc>
          <w:tcPr>
            <w:tcW w:type="dxa" w:w="3322"/>
          </w:tcPr>
          <w:p>
            <w:pPr>
              <w:pStyle w:val="null3"/>
            </w:pPr>
            <w:r>
              <w:rPr>
                <w:rFonts w:ascii="仿宋_GB2312" w:hAnsi="仿宋_GB2312" w:cs="仿宋_GB2312" w:eastAsia="仿宋_GB2312"/>
              </w:rPr>
              <w:t>合同签订生效后，施工单位进场开始施工，达到付款条件起30日内，采购人向施工单位支付合同总金额的30%(预付款，含安全文明施工措施费);竣工履约验收合格后，达到付款条件起30日内，支付至合同总金额的97%；待本项目缺陷责任期结束无质量问题，达到付款条件起30日内，支付合同总金额的3%。</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实质性响应拟定合同条款要求。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知识产权</w:t>
            </w:r>
          </w:p>
        </w:tc>
        <w:tc>
          <w:tcPr>
            <w:tcW w:type="dxa" w:w="3322"/>
          </w:tcPr>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2、供应商将在采购项目实施过程中采用自有或者第三方知识成果的，采购项目涉及采购标的的知识产权相关事宜由采购人结合项目实际自主确认或协商约定，具体如下：完全满足磋商文件及合同要求。 3、如采用供应商所不拥有的知识产权，则在报价中必须包括合法使用该知识产权的相关费用。 4、构成本磋商文件的各组成部分，未经采购人书面同意，供应商不得擅自复印或用于非本磋商项目所需的其他目的。</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工程地点</w:t>
            </w:r>
          </w:p>
        </w:tc>
        <w:tc>
          <w:tcPr>
            <w:tcW w:type="dxa" w:w="3322"/>
          </w:tcPr>
          <w:p>
            <w:pPr>
              <w:pStyle w:val="null3"/>
            </w:pPr>
            <w:r>
              <w:rPr>
                <w:rFonts w:ascii="仿宋_GB2312" w:hAnsi="仿宋_GB2312" w:cs="仿宋_GB2312" w:eastAsia="仿宋_GB2312"/>
              </w:rPr>
              <w:t>蒲城县尧山镇</w:t>
            </w:r>
          </w:p>
        </w:tc>
        <w:tc>
          <w:tcPr>
            <w:tcW w:type="dxa" w:w="1661"/>
          </w:tcPr>
          <w:p>
            <w:pPr>
              <w:pStyle w:val="null3"/>
            </w:pPr>
            <w:r>
              <w:rPr>
                <w:rFonts w:ascii="仿宋_GB2312" w:hAnsi="仿宋_GB2312" w:cs="仿宋_GB2312" w:eastAsia="仿宋_GB2312"/>
              </w:rPr>
              <w:t>商务应答表.docx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①施工方案及劳动力计划表；②关键技术要点分析；③施工进度计划及技术保障措施。 2.赋分规则： 每项最高得2分，每1个缺陷扣0.5分。缺陷是指：①部分或全部标题与方案关联度差，主题不突出；②正文内容与标题切合度不强，③方案内容繁杂、逻辑混乱、抄袭/堆砌；④落地实操预估效果不明显。 【建议：①磋商单位技术方案正文前编制方案目录+页码，以方便提高评审效率，未提供或提供的不准确，不利后果自负。②评审不以响应文件页数、厚度作为依据，对于大量复制通用教材或编制与本方案无针对性的内容，可能会影响方案评分。以上建议对所有技术方案评审均适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施工进度计划及技术保障措施.docx</w:t>
            </w:r>
          </w:p>
          <w:p>
            <w:pPr>
              <w:pStyle w:val="null3"/>
            </w:pPr>
            <w:r>
              <w:rPr>
                <w:rFonts w:ascii="仿宋_GB2312" w:hAnsi="仿宋_GB2312" w:cs="仿宋_GB2312" w:eastAsia="仿宋_GB2312"/>
              </w:rPr>
              <w:t>劳动力计划表.docx</w:t>
            </w:r>
          </w:p>
          <w:p>
            <w:pPr>
              <w:pStyle w:val="null3"/>
            </w:pPr>
            <w:r>
              <w:rPr>
                <w:rFonts w:ascii="仿宋_GB2312" w:hAnsi="仿宋_GB2312" w:cs="仿宋_GB2312" w:eastAsia="仿宋_GB2312"/>
              </w:rPr>
              <w:t>关键技术要点分析.docx</w:t>
            </w:r>
          </w:p>
        </w:tc>
      </w:tr>
      <w:tr>
        <w:tc>
          <w:tcPr>
            <w:tcW w:type="dxa" w:w="831"/>
            <w:vMerge/>
          </w:tcPr>
          <w:p/>
        </w:tc>
        <w:tc>
          <w:tcPr>
            <w:tcW w:type="dxa" w:w="1661"/>
          </w:tcPr>
          <w:p>
            <w:pPr>
              <w:pStyle w:val="null3"/>
            </w:pPr>
            <w:r>
              <w:rPr>
                <w:rFonts w:ascii="仿宋_GB2312" w:hAnsi="仿宋_GB2312" w:cs="仿宋_GB2312" w:eastAsia="仿宋_GB2312"/>
              </w:rPr>
              <w:t>安全、文明、环保管理</w:t>
            </w:r>
          </w:p>
        </w:tc>
        <w:tc>
          <w:tcPr>
            <w:tcW w:type="dxa" w:w="2492"/>
          </w:tcPr>
          <w:p>
            <w:pPr>
              <w:pStyle w:val="null3"/>
            </w:pPr>
            <w:r>
              <w:rPr>
                <w:rFonts w:ascii="仿宋_GB2312" w:hAnsi="仿宋_GB2312" w:cs="仿宋_GB2312" w:eastAsia="仿宋_GB2312"/>
              </w:rPr>
              <w:t>1.评审内容： ①安全、文明生产教育及管理制度；②安全、文明施工管理措施；③ 现场环境保护措施。 2.赋分规则： 每项最高得2分，每1个缺陷扣0.5分。缺陷是指：①部分或全部标题与方案关联度差，主题不突出；②正文内容与标题切合度不强，③方案内容繁杂、逻辑混乱、抄袭/堆砌；④落地实操预估效果不明显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安全文明环保管理方案.docx</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1.评审内容：①工程质量目标管理体系；②质量检验制度；③质量控制措施。 2.赋分规则： 每项最高得2分，每1个缺陷扣0.5分。缺陷是指：①部分或全部标题与方案关联度差，主题不突出；②正文内容与标题切合度不强，③方案内容繁杂、逻辑混乱、抄袭/堆砌；④落地实操预估效果不明显。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质量控制方案.docx</w:t>
            </w:r>
          </w:p>
        </w:tc>
      </w:tr>
      <w:tr>
        <w:tc>
          <w:tcPr>
            <w:tcW w:type="dxa" w:w="831"/>
            <w:vMerge/>
          </w:tcPr>
          <w:p/>
        </w:tc>
        <w:tc>
          <w:tcPr>
            <w:tcW w:type="dxa" w:w="1661"/>
          </w:tcPr>
          <w:p>
            <w:pPr>
              <w:pStyle w:val="null3"/>
            </w:pPr>
            <w:r>
              <w:rPr>
                <w:rFonts w:ascii="仿宋_GB2312" w:hAnsi="仿宋_GB2312" w:cs="仿宋_GB2312" w:eastAsia="仿宋_GB2312"/>
              </w:rPr>
              <w:t>施工过程应急处置</w:t>
            </w:r>
          </w:p>
        </w:tc>
        <w:tc>
          <w:tcPr>
            <w:tcW w:type="dxa" w:w="2492"/>
          </w:tcPr>
          <w:p>
            <w:pPr>
              <w:pStyle w:val="null3"/>
            </w:pPr>
            <w:r>
              <w:rPr>
                <w:rFonts w:ascii="仿宋_GB2312" w:hAnsi="仿宋_GB2312" w:cs="仿宋_GB2312" w:eastAsia="仿宋_GB2312"/>
              </w:rPr>
              <w:t>1.评审内容： ①可能影响施工质量的紧急、重大事故预测分析；②对应事故的处置措施。 2.赋分规则： 每项最高得2分，每1个缺陷扣0.5分。缺陷是指：①部分或全部标题与方案关联度差，主题不突出；②正文内容与标题切合度不强，③方案内容繁杂、逻辑混乱、抄袭/堆砌；④落地实操预估效果不明显。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施工过程应急处置方案.docx</w:t>
            </w:r>
          </w:p>
        </w:tc>
      </w:tr>
      <w:tr>
        <w:tc>
          <w:tcPr>
            <w:tcW w:type="dxa" w:w="831"/>
            <w:vMerge/>
          </w:tcPr>
          <w:p/>
        </w:tc>
        <w:tc>
          <w:tcPr>
            <w:tcW w:type="dxa" w:w="1661"/>
          </w:tcPr>
          <w:p>
            <w:pPr>
              <w:pStyle w:val="null3"/>
            </w:pPr>
            <w:r>
              <w:rPr>
                <w:rFonts w:ascii="仿宋_GB2312" w:hAnsi="仿宋_GB2312" w:cs="仿宋_GB2312" w:eastAsia="仿宋_GB2312"/>
              </w:rPr>
              <w:t>安装调试</w:t>
            </w:r>
          </w:p>
        </w:tc>
        <w:tc>
          <w:tcPr>
            <w:tcW w:type="dxa" w:w="2492"/>
          </w:tcPr>
          <w:p>
            <w:pPr>
              <w:pStyle w:val="null3"/>
            </w:pPr>
            <w:r>
              <w:rPr>
                <w:rFonts w:ascii="仿宋_GB2312" w:hAnsi="仿宋_GB2312" w:cs="仿宋_GB2312" w:eastAsia="仿宋_GB2312"/>
              </w:rPr>
              <w:t>1.评审内容： ①安装施工计划；②安装施工进度安排及保障措施；③安装调试技术方案。 2.赋分规则： 每项最高得3分，有1个缺陷扣1分。缺陷是指： 每项最高得3分，有1个缺陷扣1分。缺陷是指：①部分或全部标题与方案关联度差，主题不突出；②方案内容与标题切合度不强，或内容逻辑混乱、繁杂、抄袭/堆砌；③落地实操预估效果不明显。</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安装调试方案.docx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①日常质量保修承诺；②售后应急响应方案；③维修方案；④定期回访与巡检；⑤备品备件保障措施。 2.赋分规则：每项最高得2分，每1个缺陷扣0.5分。缺陷是指：①部分或全部标题与方案关联度差，主题不突出；②正文内容与标题切合度不强，③方案内容繁杂、逻辑混乱、抄袭/堆砌；④落地实操预估效果不明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合法来源</w:t>
            </w:r>
          </w:p>
        </w:tc>
        <w:tc>
          <w:tcPr>
            <w:tcW w:type="dxa" w:w="2492"/>
          </w:tcPr>
          <w:p>
            <w:pPr>
              <w:pStyle w:val="null3"/>
            </w:pPr>
            <w:r>
              <w:rPr>
                <w:rFonts w:ascii="仿宋_GB2312" w:hAnsi="仿宋_GB2312" w:cs="仿宋_GB2312" w:eastAsia="仿宋_GB2312"/>
              </w:rPr>
              <w:t>提供太阳能路灯合法来源渠道证明：不仅限厂家授权、经销商协议、供应商购买/预定凭证等能说明合法来源渠道的相关证明，提供有效证明得1分，否则不得分。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主要材料信息表及来源证明.docx</w:t>
            </w:r>
          </w:p>
        </w:tc>
      </w:tr>
      <w:tr>
        <w:tc>
          <w:tcPr>
            <w:tcW w:type="dxa" w:w="831"/>
            <w:vMerge/>
          </w:tcPr>
          <w:p/>
        </w:tc>
        <w:tc>
          <w:tcPr>
            <w:tcW w:type="dxa" w:w="1661"/>
          </w:tcPr>
          <w:p>
            <w:pPr>
              <w:pStyle w:val="null3"/>
            </w:pPr>
            <w:r>
              <w:rPr>
                <w:rFonts w:ascii="仿宋_GB2312" w:hAnsi="仿宋_GB2312" w:cs="仿宋_GB2312" w:eastAsia="仿宋_GB2312"/>
              </w:rPr>
              <w:t>节能产品</w:t>
            </w:r>
          </w:p>
        </w:tc>
        <w:tc>
          <w:tcPr>
            <w:tcW w:type="dxa" w:w="2492"/>
          </w:tcPr>
          <w:p>
            <w:pPr>
              <w:pStyle w:val="null3"/>
            </w:pPr>
            <w:r>
              <w:rPr>
                <w:rFonts w:ascii="仿宋_GB2312" w:hAnsi="仿宋_GB2312" w:cs="仿宋_GB2312" w:eastAsia="仿宋_GB2312"/>
              </w:rPr>
              <w:t>提供强制采购承诺书、优先采购承诺书，有效每份得0.5分，共1分。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强制采购承诺书.docx</w:t>
            </w:r>
          </w:p>
          <w:p>
            <w:pPr>
              <w:pStyle w:val="null3"/>
            </w:pPr>
            <w:r>
              <w:rPr>
                <w:rFonts w:ascii="仿宋_GB2312" w:hAnsi="仿宋_GB2312" w:cs="仿宋_GB2312" w:eastAsia="仿宋_GB2312"/>
              </w:rPr>
              <w:t>优先采购承诺书.docx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1.评审内容： 提供能满足项目所需的人员配置清单，不仅限①技术负责人②施工员③质量员④材料员⑤资料员⑥安全员等。（清单包含姓名、年龄、性别、岗位、职责、相关工作年限、身份证、专业技术特长等信息；） 2.赋分规则： ①团队人员信息、岗位齐全且至少6人得6分，每少1人扣1分，6分扣完为止。②技术负责人具备相关技术资格证书得2分。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项目团队配置及佐证.docx</w:t>
            </w:r>
          </w:p>
        </w:tc>
      </w:tr>
      <w:tr>
        <w:tc>
          <w:tcPr>
            <w:tcW w:type="dxa" w:w="831"/>
            <w:vMerge/>
          </w:tcPr>
          <w:p/>
        </w:tc>
        <w:tc>
          <w:tcPr>
            <w:tcW w:type="dxa" w:w="1661"/>
          </w:tcPr>
          <w:p>
            <w:pPr>
              <w:pStyle w:val="null3"/>
            </w:pPr>
            <w:r>
              <w:rPr>
                <w:rFonts w:ascii="仿宋_GB2312" w:hAnsi="仿宋_GB2312" w:cs="仿宋_GB2312" w:eastAsia="仿宋_GB2312"/>
              </w:rPr>
              <w:t>主要施工设备、仪器投入</w:t>
            </w:r>
          </w:p>
        </w:tc>
        <w:tc>
          <w:tcPr>
            <w:tcW w:type="dxa" w:w="2492"/>
          </w:tcPr>
          <w:p>
            <w:pPr>
              <w:pStyle w:val="null3"/>
            </w:pPr>
            <w:r>
              <w:rPr>
                <w:rFonts w:ascii="仿宋_GB2312" w:hAnsi="仿宋_GB2312" w:cs="仿宋_GB2312" w:eastAsia="仿宋_GB2312"/>
              </w:rPr>
              <w:t>依据供应商拟投入施工设备及仪器清单，对登高/起重、测量检测、电工及拆装、安全防护、运输存储、切割修剪等六类所需设备进行赋分：每类（至少提供两种主要设备/工具）得0.5分，否则该类不得分。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仪器投入清单.docx</w:t>
            </w:r>
          </w:p>
          <w:p>
            <w:pPr>
              <w:pStyle w:val="null3"/>
            </w:pPr>
            <w:r>
              <w:rPr>
                <w:rFonts w:ascii="仿宋_GB2312" w:hAnsi="仿宋_GB2312" w:cs="仿宋_GB2312" w:eastAsia="仿宋_GB2312"/>
              </w:rPr>
              <w:t>主要施工设备.docx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8月至今类似业绩证明，1份得3分，最高6分。未提供或不符合要求不得分。时间以合同落款时间为准，合同至少须包含甲乙双方名称、合同内容清单、双方签字盖章及签订时间等信息，缺项或模糊无法辨别则无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业绩合同.docx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 1）磋商基准价=最低的磋商最后报价，得满分40分； 2）报价得分=磋商基准价/磋商最后报价×40。 3）四舍五入，取小数点后两位，不计负分。 【磋商报价若为异常低价且供应商不能有效证明其成本合理性的，属于无效响应，不再进入后续评审。】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详见附件：法定代表人或负责人资格证明.docx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详见附件：财务报表或资信证明.docx</w:t>
      </w:r>
    </w:p>
    <w:p>
      <w:pPr>
        <w:pStyle w:val="null3"/>
        <w:ind w:firstLine="960"/>
      </w:pPr>
      <w:r>
        <w:rPr>
          <w:rFonts w:ascii="仿宋_GB2312" w:hAnsi="仿宋_GB2312" w:cs="仿宋_GB2312" w:eastAsia="仿宋_GB2312"/>
        </w:rPr>
        <w:t>详见附件：完税及社保缴纳凭证.docx</w:t>
      </w:r>
    </w:p>
    <w:p>
      <w:pPr>
        <w:pStyle w:val="null3"/>
        <w:ind w:firstLine="960"/>
      </w:pPr>
      <w:r>
        <w:rPr>
          <w:rFonts w:ascii="仿宋_GB2312" w:hAnsi="仿宋_GB2312" w:cs="仿宋_GB2312" w:eastAsia="仿宋_GB2312"/>
        </w:rPr>
        <w:t>详见附件：项目经理资质.docx</w:t>
      </w:r>
    </w:p>
    <w:p>
      <w:pPr>
        <w:pStyle w:val="null3"/>
        <w:ind w:firstLine="960"/>
      </w:pPr>
      <w:r>
        <w:rPr>
          <w:rFonts w:ascii="仿宋_GB2312" w:hAnsi="仿宋_GB2312" w:cs="仿宋_GB2312" w:eastAsia="仿宋_GB2312"/>
        </w:rPr>
        <w:t>详见附件：安全生产考核证书.docx</w:t>
      </w:r>
    </w:p>
    <w:p>
      <w:pPr>
        <w:pStyle w:val="null3"/>
        <w:ind w:firstLine="960"/>
      </w:pPr>
      <w:r>
        <w:rPr>
          <w:rFonts w:ascii="仿宋_GB2312" w:hAnsi="仿宋_GB2312" w:cs="仿宋_GB2312" w:eastAsia="仿宋_GB2312"/>
        </w:rPr>
        <w:t>详见附件：项目经理无在建项目承诺书.docx</w:t>
      </w:r>
    </w:p>
    <w:p>
      <w:pPr>
        <w:pStyle w:val="null3"/>
        <w:ind w:firstLine="960"/>
      </w:pPr>
      <w:r>
        <w:rPr>
          <w:rFonts w:ascii="仿宋_GB2312" w:hAnsi="仿宋_GB2312" w:cs="仿宋_GB2312" w:eastAsia="仿宋_GB2312"/>
        </w:rPr>
        <w:t>详见附件：信用截图.docx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详见附件：无重大违法违规等记录的声明.docx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详见附件：法定代表人或负责人关联关系声明.docx</w:t>
      </w:r>
    </w:p>
    <w:p>
      <w:pPr>
        <w:pStyle w:val="null3"/>
        <w:ind w:firstLine="960"/>
      </w:pPr>
      <w:r>
        <w:rPr>
          <w:rFonts w:ascii="仿宋_GB2312" w:hAnsi="仿宋_GB2312" w:cs="仿宋_GB2312" w:eastAsia="仿宋_GB2312"/>
        </w:rPr>
        <w:t>详见附件：禁止响应情形承诺书.docx</w:t>
      </w:r>
    </w:p>
    <w:p>
      <w:pPr>
        <w:pStyle w:val="null3"/>
        <w:ind w:firstLine="960"/>
      </w:pPr>
      <w:r>
        <w:rPr>
          <w:rFonts w:ascii="仿宋_GB2312" w:hAnsi="仿宋_GB2312" w:cs="仿宋_GB2312" w:eastAsia="仿宋_GB2312"/>
        </w:rPr>
        <w:t>详见附件：非联合体响应声明.docx</w:t>
      </w:r>
    </w:p>
    <w:p>
      <w:pPr>
        <w:pStyle w:val="null3"/>
        <w:ind w:firstLine="960"/>
      </w:pPr>
      <w:r>
        <w:rPr>
          <w:rFonts w:ascii="仿宋_GB2312" w:hAnsi="仿宋_GB2312" w:cs="仿宋_GB2312" w:eastAsia="仿宋_GB2312"/>
        </w:rPr>
        <w:t>详见附件：残疾人福利性单位声明函.docx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详见附件：监狱企业的证明.docx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详见附件：报价承诺.docx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详见附件：施工进度计划及技术保障措施.docx</w:t>
      </w:r>
    </w:p>
    <w:p>
      <w:pPr>
        <w:pStyle w:val="null3"/>
        <w:ind w:firstLine="960"/>
      </w:pPr>
      <w:r>
        <w:rPr>
          <w:rFonts w:ascii="仿宋_GB2312" w:hAnsi="仿宋_GB2312" w:cs="仿宋_GB2312" w:eastAsia="仿宋_GB2312"/>
        </w:rPr>
        <w:t>详见附件：安全文明环保管理方案.docx</w:t>
      </w:r>
    </w:p>
    <w:p>
      <w:pPr>
        <w:pStyle w:val="null3"/>
        <w:ind w:firstLine="960"/>
      </w:pPr>
      <w:r>
        <w:rPr>
          <w:rFonts w:ascii="仿宋_GB2312" w:hAnsi="仿宋_GB2312" w:cs="仿宋_GB2312" w:eastAsia="仿宋_GB2312"/>
        </w:rPr>
        <w:t>详见附件：质量控制方案.docx</w:t>
      </w:r>
    </w:p>
    <w:p>
      <w:pPr>
        <w:pStyle w:val="null3"/>
        <w:ind w:firstLine="960"/>
      </w:pPr>
      <w:r>
        <w:rPr>
          <w:rFonts w:ascii="仿宋_GB2312" w:hAnsi="仿宋_GB2312" w:cs="仿宋_GB2312" w:eastAsia="仿宋_GB2312"/>
        </w:rPr>
        <w:t>详见附件：安装调试方案.docx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详见附件：主要材料信息表及来源证明.docx</w:t>
      </w:r>
    </w:p>
    <w:p>
      <w:pPr>
        <w:pStyle w:val="null3"/>
        <w:ind w:firstLine="960"/>
      </w:pPr>
      <w:r>
        <w:rPr>
          <w:rFonts w:ascii="仿宋_GB2312" w:hAnsi="仿宋_GB2312" w:cs="仿宋_GB2312" w:eastAsia="仿宋_GB2312"/>
        </w:rPr>
        <w:t>详见附件：强制采购承诺书.docx</w:t>
      </w:r>
    </w:p>
    <w:p>
      <w:pPr>
        <w:pStyle w:val="null3"/>
        <w:ind w:firstLine="960"/>
      </w:pPr>
      <w:r>
        <w:rPr>
          <w:rFonts w:ascii="仿宋_GB2312" w:hAnsi="仿宋_GB2312" w:cs="仿宋_GB2312" w:eastAsia="仿宋_GB2312"/>
        </w:rPr>
        <w:t>详见附件：优先采购承诺书.docx</w:t>
      </w:r>
    </w:p>
    <w:p>
      <w:pPr>
        <w:pStyle w:val="null3"/>
        <w:ind w:firstLine="960"/>
      </w:pPr>
      <w:r>
        <w:rPr>
          <w:rFonts w:ascii="仿宋_GB2312" w:hAnsi="仿宋_GB2312" w:cs="仿宋_GB2312" w:eastAsia="仿宋_GB2312"/>
        </w:rPr>
        <w:t>详见附件：项目团队配置及佐证.docx</w:t>
      </w:r>
    </w:p>
    <w:p>
      <w:pPr>
        <w:pStyle w:val="null3"/>
        <w:ind w:firstLine="960"/>
      </w:pPr>
      <w:r>
        <w:rPr>
          <w:rFonts w:ascii="仿宋_GB2312" w:hAnsi="仿宋_GB2312" w:cs="仿宋_GB2312" w:eastAsia="仿宋_GB2312"/>
        </w:rPr>
        <w:t>详见附件：劳动力计划表.docx</w:t>
      </w:r>
    </w:p>
    <w:p>
      <w:pPr>
        <w:pStyle w:val="null3"/>
        <w:ind w:firstLine="960"/>
      </w:pPr>
      <w:r>
        <w:rPr>
          <w:rFonts w:ascii="仿宋_GB2312" w:hAnsi="仿宋_GB2312" w:cs="仿宋_GB2312" w:eastAsia="仿宋_GB2312"/>
        </w:rPr>
        <w:t>详见附件：关键技术要点分析.docx</w:t>
      </w:r>
    </w:p>
    <w:p>
      <w:pPr>
        <w:pStyle w:val="null3"/>
        <w:ind w:firstLine="960"/>
      </w:pPr>
      <w:r>
        <w:rPr>
          <w:rFonts w:ascii="仿宋_GB2312" w:hAnsi="仿宋_GB2312" w:cs="仿宋_GB2312" w:eastAsia="仿宋_GB2312"/>
        </w:rPr>
        <w:t>详见附件：仪器投入清单.docx</w:t>
      </w:r>
    </w:p>
    <w:p>
      <w:pPr>
        <w:pStyle w:val="null3"/>
        <w:ind w:firstLine="960"/>
      </w:pPr>
      <w:r>
        <w:rPr>
          <w:rFonts w:ascii="仿宋_GB2312" w:hAnsi="仿宋_GB2312" w:cs="仿宋_GB2312" w:eastAsia="仿宋_GB2312"/>
        </w:rPr>
        <w:t>详见附件：施工过程应急处置方案.docx</w:t>
      </w:r>
    </w:p>
    <w:p>
      <w:pPr>
        <w:pStyle w:val="null3"/>
        <w:ind w:firstLine="960"/>
      </w:pPr>
      <w:r>
        <w:rPr>
          <w:rFonts w:ascii="仿宋_GB2312" w:hAnsi="仿宋_GB2312" w:cs="仿宋_GB2312" w:eastAsia="仿宋_GB2312"/>
        </w:rPr>
        <w:t>详见附件：业绩合同.docx</w:t>
      </w:r>
    </w:p>
    <w:p>
      <w:pPr>
        <w:pStyle w:val="null3"/>
        <w:ind w:firstLine="960"/>
      </w:pPr>
      <w:r>
        <w:rPr>
          <w:rFonts w:ascii="仿宋_GB2312" w:hAnsi="仿宋_GB2312" w:cs="仿宋_GB2312" w:eastAsia="仿宋_GB2312"/>
        </w:rPr>
        <w:t>详见附件：公司专业资质及安全生产许可证.docx</w:t>
      </w:r>
    </w:p>
    <w:p>
      <w:pPr>
        <w:pStyle w:val="null3"/>
        <w:ind w:firstLine="960"/>
      </w:pPr>
      <w:r>
        <w:rPr>
          <w:rFonts w:ascii="仿宋_GB2312" w:hAnsi="仿宋_GB2312" w:cs="仿宋_GB2312" w:eastAsia="仿宋_GB2312"/>
        </w:rPr>
        <w:t>详见附件：主要施工设备.docx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