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1A072">
      <w:pPr>
        <w:pStyle w:val="2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trike/>
          <w:dstrike w:val="0"/>
          <w:color w:val="0000FF"/>
          <w:spacing w:val="11"/>
          <w:kern w:val="2"/>
          <w:sz w:val="32"/>
          <w:szCs w:val="32"/>
          <w:highlight w:val="red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  <w:t>已标价工程量清单</w:t>
      </w:r>
    </w:p>
    <w:p w14:paraId="7BB7C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1.已标价工程量清单应按工程量清单报价相关要求进行填报；</w:t>
      </w:r>
    </w:p>
    <w:p w14:paraId="68E94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2.已标价工程量清单原件扫描成 PDF 格式，以附件形式上传，作为响应文件的组成部分。</w:t>
      </w:r>
    </w:p>
    <w:p w14:paraId="7426E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3.报价应包含完整履约所发生的可预见和不可预见的一切费用，若未明确列出，均视为已包含在总报价中（要求明确响应的内容除外）。</w:t>
      </w:r>
    </w:p>
    <w:p w14:paraId="52FFC44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54CF5"/>
    <w:rsid w:val="2815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2026-09-03T02:33:00Z</dcterms:created>
  <dc:creator>左左</dc:creator>
  <cp:lastModifiedBy>左左</cp:lastModifiedBy>
  <dcterms:modified xsi:type="dcterms:W3CDTF">2026-09-03T02:33:59Z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27459AC8971E46F88C215C82571C747A_11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