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240" w:lineRule="auto"/>
        <w:jc w:val="center"/>
        <w:rPr>
          <w:rFonts w:ascii="仿宋" w:eastAsia="仿宋"/>
          <w:b/>
          <w:color w:val="auto"/>
          <w:highlight w:val="none"/>
        </w:rPr>
      </w:pPr>
      <w:bookmarkStart w:id="0" w:name="_GoBack"/>
      <w:bookmarkEnd w:id="0"/>
      <w:r>
        <w:rPr>
          <w:rFonts w:hint="eastAsia" w:ascii="仿宋" w:eastAsia="仿宋"/>
          <w:b/>
          <w:color w:val="auto"/>
          <w:highlight w:val="none"/>
        </w:rPr>
        <w:t>合同文本</w:t>
      </w:r>
    </w:p>
    <w:p>
      <w:pPr>
        <w:spacing w:line="240" w:lineRule="atLeast"/>
        <w:jc w:val="center"/>
        <w:rPr>
          <w:rFonts w:ascii="仿宋" w:hAnsi="仿宋" w:eastAsia="仿宋" w:cs="宋体"/>
          <w:b/>
          <w:bCs/>
          <w:color w:val="auto"/>
          <w:sz w:val="21"/>
          <w:szCs w:val="21"/>
          <w:highlight w:val="none"/>
        </w:rPr>
      </w:pPr>
      <w:r>
        <w:rPr>
          <w:rFonts w:hint="eastAsia" w:ascii="仿宋" w:hAnsi="仿宋" w:eastAsia="仿宋" w:cs="宋体"/>
          <w:b/>
          <w:bCs/>
          <w:color w:val="auto"/>
          <w:sz w:val="21"/>
          <w:szCs w:val="21"/>
          <w:highlight w:val="none"/>
        </w:rPr>
        <w:t>（</w:t>
      </w:r>
      <w:r>
        <w:rPr>
          <w:rFonts w:hint="eastAsia" w:ascii="仿宋" w:hAnsi="仿宋" w:eastAsia="仿宋" w:cs="宋体"/>
          <w:color w:val="auto"/>
          <w:sz w:val="21"/>
          <w:szCs w:val="21"/>
          <w:highlight w:val="none"/>
        </w:rPr>
        <w:t>本格式条款供双方签订合同参考，采购人可根据项目的实际情况增减条款和内容</w:t>
      </w:r>
      <w:r>
        <w:rPr>
          <w:rFonts w:hint="eastAsia" w:ascii="仿宋" w:hAnsi="仿宋" w:eastAsia="仿宋" w:cs="宋体"/>
          <w:b/>
          <w:bCs/>
          <w:color w:val="auto"/>
          <w:sz w:val="21"/>
          <w:szCs w:val="21"/>
          <w:highlight w:val="none"/>
        </w:rPr>
        <w:t>）</w:t>
      </w:r>
    </w:p>
    <w:p>
      <w:pPr>
        <w:spacing w:line="720" w:lineRule="auto"/>
        <w:jc w:val="center"/>
        <w:rPr>
          <w:rFonts w:ascii="仿宋" w:hAnsi="仿宋" w:eastAsia="仿宋"/>
          <w:b/>
          <w:color w:val="auto"/>
          <w:sz w:val="52"/>
          <w:szCs w:val="52"/>
          <w:highlight w:val="none"/>
        </w:rPr>
      </w:pPr>
    </w:p>
    <w:p>
      <w:pPr>
        <w:spacing w:line="360" w:lineRule="auto"/>
        <w:jc w:val="center"/>
        <w:rPr>
          <w:rFonts w:hint="eastAsia" w:ascii="仿宋" w:hAnsi="仿宋" w:eastAsia="仿宋" w:cs="Times New Roman"/>
          <w:b/>
          <w:color w:val="auto"/>
          <w:sz w:val="48"/>
          <w:szCs w:val="48"/>
          <w:highlight w:val="none"/>
          <w:lang w:val="en-US" w:eastAsia="zh-CN"/>
        </w:rPr>
      </w:pPr>
    </w:p>
    <w:p>
      <w:pPr>
        <w:spacing w:line="360" w:lineRule="auto"/>
        <w:jc w:val="center"/>
        <w:rPr>
          <w:rFonts w:hint="eastAsia" w:ascii="仿宋" w:hAnsi="仿宋" w:eastAsia="仿宋" w:cs="Times New Roman"/>
          <w:b/>
          <w:color w:val="auto"/>
          <w:sz w:val="48"/>
          <w:szCs w:val="48"/>
          <w:highlight w:val="none"/>
        </w:rPr>
      </w:pPr>
      <w:r>
        <w:rPr>
          <w:rFonts w:hint="eastAsia" w:ascii="仿宋" w:hAnsi="仿宋" w:eastAsia="仿宋" w:cs="Times New Roman"/>
          <w:b/>
          <w:color w:val="auto"/>
          <w:sz w:val="48"/>
          <w:szCs w:val="48"/>
          <w:highlight w:val="none"/>
          <w:lang w:val="en-US" w:eastAsia="zh-CN"/>
        </w:rPr>
        <w:t>细柳街道办事处2026年城市道路保洁、公厕管理及绿化养护项目</w:t>
      </w:r>
    </w:p>
    <w:p>
      <w:pPr>
        <w:jc w:val="center"/>
        <w:outlineLvl w:val="9"/>
        <w:rPr>
          <w:rFonts w:hint="eastAsia" w:ascii="宋体" w:hAnsi="宋体" w:eastAsia="宋体" w:cs="宋体"/>
          <w:b/>
          <w:color w:val="auto"/>
          <w:sz w:val="32"/>
          <w:szCs w:val="32"/>
          <w:highlight w:val="none"/>
        </w:rPr>
      </w:pPr>
    </w:p>
    <w:p>
      <w:pPr>
        <w:jc w:val="center"/>
        <w:outlineLvl w:val="9"/>
        <w:rPr>
          <w:rFonts w:hint="eastAsia" w:ascii="宋体" w:hAnsi="宋体" w:eastAsia="宋体" w:cs="宋体"/>
          <w:b/>
          <w:bCs/>
          <w:color w:val="auto"/>
          <w:sz w:val="30"/>
          <w:szCs w:val="30"/>
          <w:highlight w:val="none"/>
        </w:rPr>
      </w:pPr>
      <w:r>
        <w:rPr>
          <w:rFonts w:hint="eastAsia" w:ascii="宋体" w:hAnsi="宋体" w:eastAsia="宋体" w:cs="宋体"/>
          <w:b/>
          <w:color w:val="auto"/>
          <w:sz w:val="32"/>
          <w:szCs w:val="32"/>
          <w:highlight w:val="none"/>
        </w:rPr>
        <w:t>合同编号：</w:t>
      </w:r>
    </w:p>
    <w:p>
      <w:pPr>
        <w:rPr>
          <w:rFonts w:ascii="仿宋" w:hAnsi="仿宋" w:eastAsia="仿宋"/>
          <w:color w:val="auto"/>
          <w:highlight w:val="none"/>
        </w:rPr>
      </w:pPr>
    </w:p>
    <w:p>
      <w:pPr>
        <w:rPr>
          <w:rFonts w:ascii="仿宋" w:hAnsi="仿宋" w:eastAsia="仿宋"/>
          <w:color w:val="auto"/>
          <w:highlight w:val="none"/>
        </w:rPr>
      </w:pPr>
    </w:p>
    <w:p>
      <w:pPr>
        <w:rPr>
          <w:rFonts w:ascii="仿宋" w:hAnsi="仿宋" w:eastAsia="仿宋"/>
          <w:color w:val="auto"/>
          <w:highlight w:val="none"/>
        </w:rPr>
      </w:pPr>
    </w:p>
    <w:p>
      <w:pPr>
        <w:rPr>
          <w:rFonts w:ascii="仿宋" w:hAnsi="仿宋" w:eastAsia="仿宋"/>
          <w:color w:val="auto"/>
          <w:highlight w:val="none"/>
        </w:rPr>
      </w:pPr>
    </w:p>
    <w:p>
      <w:pPr>
        <w:rPr>
          <w:rFonts w:ascii="仿宋" w:hAnsi="仿宋" w:eastAsia="仿宋"/>
          <w:color w:val="auto"/>
          <w:highlight w:val="none"/>
        </w:rPr>
      </w:pPr>
    </w:p>
    <w:p>
      <w:pPr>
        <w:rPr>
          <w:rFonts w:ascii="仿宋" w:hAnsi="仿宋" w:eastAsia="仿宋"/>
          <w:color w:val="auto"/>
          <w:highlight w:val="none"/>
        </w:rPr>
      </w:pPr>
    </w:p>
    <w:p>
      <w:pPr>
        <w:rPr>
          <w:rFonts w:ascii="仿宋" w:hAnsi="仿宋" w:eastAsia="仿宋"/>
          <w:color w:val="auto"/>
          <w:highlight w:val="none"/>
        </w:rPr>
      </w:pPr>
    </w:p>
    <w:p>
      <w:pPr>
        <w:rPr>
          <w:rFonts w:ascii="仿宋" w:hAnsi="仿宋" w:eastAsia="仿宋"/>
          <w:color w:val="auto"/>
          <w:highlight w:val="none"/>
        </w:rPr>
      </w:pPr>
    </w:p>
    <w:p>
      <w:pPr>
        <w:rPr>
          <w:rFonts w:ascii="仿宋" w:hAnsi="仿宋" w:eastAsia="仿宋"/>
          <w:color w:val="auto"/>
          <w:highlight w:val="none"/>
        </w:rPr>
      </w:pPr>
    </w:p>
    <w:p>
      <w:pPr>
        <w:rPr>
          <w:rFonts w:ascii="仿宋" w:hAnsi="仿宋" w:eastAsia="仿宋"/>
          <w:color w:val="auto"/>
          <w:highlight w:val="none"/>
        </w:rPr>
      </w:pPr>
    </w:p>
    <w:p>
      <w:pPr>
        <w:rPr>
          <w:rFonts w:ascii="仿宋" w:hAnsi="仿宋" w:eastAsia="仿宋"/>
          <w:color w:val="auto"/>
          <w:highlight w:val="none"/>
        </w:rPr>
      </w:pPr>
    </w:p>
    <w:p>
      <w:pPr>
        <w:rPr>
          <w:rFonts w:ascii="仿宋" w:hAnsi="仿宋" w:eastAsia="仿宋"/>
          <w:color w:val="auto"/>
          <w:highlight w:val="none"/>
        </w:rPr>
      </w:pPr>
    </w:p>
    <w:p>
      <w:pPr>
        <w:rPr>
          <w:rFonts w:ascii="仿宋" w:hAnsi="仿宋" w:eastAsia="仿宋"/>
          <w:color w:val="auto"/>
          <w:highlight w:val="none"/>
        </w:rPr>
      </w:pPr>
    </w:p>
    <w:p>
      <w:pPr>
        <w:jc w:val="center"/>
        <w:rPr>
          <w:rFonts w:ascii="仿宋" w:hAnsi="仿宋" w:eastAsia="仿宋"/>
          <w:color w:val="auto"/>
          <w:highlight w:val="none"/>
        </w:rPr>
      </w:pPr>
    </w:p>
    <w:p>
      <w:pPr>
        <w:keepNext w:val="0"/>
        <w:keepLines w:val="0"/>
        <w:pageBreakBefore w:val="0"/>
        <w:widowControl w:val="0"/>
        <w:tabs>
          <w:tab w:val="left" w:leader="underscore" w:pos="5880"/>
        </w:tabs>
        <w:kinsoku/>
        <w:wordWrap/>
        <w:overflowPunct/>
        <w:topLinePunct w:val="0"/>
        <w:autoSpaceDE/>
        <w:autoSpaceDN/>
        <w:bidi w:val="0"/>
        <w:adjustRightInd/>
        <w:snapToGrid/>
        <w:spacing w:line="360" w:lineRule="auto"/>
        <w:jc w:val="center"/>
        <w:textAlignment w:val="auto"/>
        <w:outlineLvl w:val="9"/>
        <w:rPr>
          <w:rFonts w:hint="default" w:ascii="宋体" w:hAnsi="宋体" w:eastAsia="宋体" w:cs="宋体"/>
          <w:b/>
          <w:color w:val="auto"/>
          <w:spacing w:val="23"/>
          <w:sz w:val="32"/>
          <w:szCs w:val="32"/>
          <w:highlight w:val="none"/>
          <w:u w:val="single"/>
          <w:lang w:val="en-US" w:eastAsia="zh-CN"/>
        </w:rPr>
      </w:pPr>
      <w:r>
        <w:rPr>
          <w:rFonts w:hint="eastAsia" w:ascii="宋体" w:hAnsi="宋体" w:eastAsia="宋体" w:cs="宋体"/>
          <w:b/>
          <w:color w:val="auto"/>
          <w:spacing w:val="23"/>
          <w:sz w:val="32"/>
          <w:szCs w:val="32"/>
          <w:highlight w:val="none"/>
        </w:rPr>
        <w:t>甲方</w:t>
      </w:r>
      <w:r>
        <w:rPr>
          <w:rFonts w:hint="eastAsia" w:hAnsi="宋体" w:eastAsia="宋体" w:cs="宋体"/>
          <w:b/>
          <w:color w:val="auto"/>
          <w:spacing w:val="23"/>
          <w:sz w:val="32"/>
          <w:szCs w:val="32"/>
          <w:highlight w:val="none"/>
          <w:lang w:eastAsia="zh-CN"/>
        </w:rPr>
        <w:t>（委托人）</w:t>
      </w:r>
      <w:r>
        <w:rPr>
          <w:rFonts w:hint="eastAsia" w:ascii="宋体" w:hAnsi="宋体" w:eastAsia="宋体" w:cs="宋体"/>
          <w:b/>
          <w:color w:val="auto"/>
          <w:spacing w:val="23"/>
          <w:sz w:val="32"/>
          <w:szCs w:val="32"/>
          <w:highlight w:val="none"/>
        </w:rPr>
        <w:t>：</w:t>
      </w:r>
      <w:r>
        <w:rPr>
          <w:rFonts w:hint="eastAsia" w:ascii="宋体" w:hAnsi="宋体" w:cs="宋体"/>
          <w:b/>
          <w:color w:val="auto"/>
          <w:spacing w:val="23"/>
          <w:sz w:val="32"/>
          <w:szCs w:val="32"/>
          <w:highlight w:val="none"/>
          <w:u w:val="single"/>
          <w:lang w:val="en-US" w:eastAsia="zh-CN"/>
        </w:rPr>
        <w:t xml:space="preserve">    </w:t>
      </w:r>
    </w:p>
    <w:p>
      <w:pPr>
        <w:keepNext w:val="0"/>
        <w:keepLines w:val="0"/>
        <w:pageBreakBefore w:val="0"/>
        <w:widowControl w:val="0"/>
        <w:tabs>
          <w:tab w:val="left" w:leader="underscore" w:pos="5880"/>
        </w:tabs>
        <w:kinsoku/>
        <w:wordWrap/>
        <w:overflowPunct/>
        <w:topLinePunct w:val="0"/>
        <w:autoSpaceDE/>
        <w:autoSpaceDN/>
        <w:bidi w:val="0"/>
        <w:adjustRightInd/>
        <w:snapToGrid/>
        <w:spacing w:line="360" w:lineRule="auto"/>
        <w:jc w:val="center"/>
        <w:textAlignment w:val="auto"/>
        <w:outlineLvl w:val="9"/>
        <w:rPr>
          <w:rFonts w:hint="default" w:ascii="仿宋" w:hAnsi="仿宋" w:eastAsia="仿宋"/>
          <w:color w:val="auto"/>
          <w:sz w:val="30"/>
          <w:szCs w:val="30"/>
          <w:highlight w:val="none"/>
          <w:u w:val="single"/>
          <w:lang w:val="en-US"/>
        </w:rPr>
      </w:pPr>
      <w:r>
        <w:rPr>
          <w:rFonts w:hint="eastAsia" w:ascii="宋体" w:hAnsi="宋体" w:eastAsia="宋体" w:cs="宋体"/>
          <w:b/>
          <w:color w:val="auto"/>
          <w:spacing w:val="23"/>
          <w:sz w:val="32"/>
          <w:szCs w:val="32"/>
          <w:highlight w:val="none"/>
        </w:rPr>
        <w:fldChar w:fldCharType="begin"/>
      </w:r>
      <w:r>
        <w:rPr>
          <w:rFonts w:hint="eastAsia" w:ascii="宋体" w:hAnsi="宋体" w:eastAsia="宋体" w:cs="宋体"/>
          <w:b/>
          <w:color w:val="auto"/>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b/>
          <w:color w:val="auto"/>
          <w:spacing w:val="23"/>
          <w:sz w:val="32"/>
          <w:szCs w:val="32"/>
          <w:highlight w:val="none"/>
        </w:rPr>
        <w:fldChar w:fldCharType="separate"/>
      </w:r>
      <w:r>
        <w:rPr>
          <w:rFonts w:hint="eastAsia" w:ascii="宋体" w:hAnsi="宋体" w:eastAsia="宋体" w:cs="宋体"/>
          <w:b/>
          <w:color w:val="auto"/>
          <w:spacing w:val="23"/>
          <w:sz w:val="32"/>
          <w:szCs w:val="32"/>
          <w:highlight w:val="none"/>
        </w:rPr>
        <w:t>乙方</w:t>
      </w:r>
      <w:r>
        <w:rPr>
          <w:rFonts w:hint="eastAsia" w:ascii="宋体" w:hAnsi="宋体" w:eastAsia="宋体" w:cs="宋体"/>
          <w:b/>
          <w:color w:val="auto"/>
          <w:spacing w:val="23"/>
          <w:sz w:val="32"/>
          <w:szCs w:val="32"/>
          <w:highlight w:val="none"/>
        </w:rPr>
        <w:fldChar w:fldCharType="end"/>
      </w:r>
      <w:r>
        <w:rPr>
          <w:rFonts w:hint="eastAsia" w:hAnsi="宋体" w:eastAsia="宋体" w:cs="宋体"/>
          <w:b/>
          <w:color w:val="auto"/>
          <w:spacing w:val="23"/>
          <w:sz w:val="32"/>
          <w:szCs w:val="32"/>
          <w:highlight w:val="none"/>
          <w:lang w:eastAsia="zh-CN"/>
        </w:rPr>
        <w:t>（受托人）</w:t>
      </w:r>
      <w:r>
        <w:rPr>
          <w:rFonts w:hint="eastAsia" w:ascii="宋体" w:hAnsi="宋体" w:eastAsia="宋体" w:cs="宋体"/>
          <w:b/>
          <w:color w:val="auto"/>
          <w:spacing w:val="23"/>
          <w:sz w:val="32"/>
          <w:szCs w:val="32"/>
          <w:highlight w:val="none"/>
        </w:rPr>
        <w:t>：</w:t>
      </w:r>
      <w:r>
        <w:rPr>
          <w:rFonts w:hint="eastAsia" w:ascii="宋体" w:hAnsi="宋体" w:cs="宋体"/>
          <w:color w:val="auto"/>
          <w:spacing w:val="23"/>
          <w:sz w:val="28"/>
          <w:szCs w:val="28"/>
          <w:highlight w:val="none"/>
          <w:u w:val="single"/>
          <w:lang w:val="en-US" w:eastAsia="zh-CN"/>
        </w:rPr>
        <w:t xml:space="preserve">    </w:t>
      </w:r>
    </w:p>
    <w:p>
      <w:pPr>
        <w:spacing w:before="1" w:line="437" w:lineRule="auto"/>
        <w:ind w:firstLine="602" w:firstLineChars="200"/>
        <w:jc w:val="center"/>
        <w:rPr>
          <w:rFonts w:hint="eastAsia" w:ascii="仿宋" w:hAnsi="仿宋" w:eastAsia="仿宋"/>
          <w:b/>
          <w:color w:val="auto"/>
          <w:sz w:val="30"/>
          <w:szCs w:val="30"/>
          <w:highlight w:val="none"/>
        </w:rPr>
      </w:pPr>
    </w:p>
    <w:p>
      <w:pPr>
        <w:spacing w:before="1" w:line="437" w:lineRule="auto"/>
        <w:ind w:firstLine="602" w:firstLineChars="200"/>
        <w:jc w:val="center"/>
        <w:rPr>
          <w:rFonts w:hint="eastAsia" w:ascii="仿宋" w:hAnsi="仿宋" w:eastAsia="仿宋"/>
          <w:b/>
          <w:color w:val="auto"/>
          <w:sz w:val="30"/>
          <w:szCs w:val="30"/>
          <w:highlight w:val="none"/>
        </w:rPr>
      </w:pPr>
      <w:r>
        <w:rPr>
          <w:rFonts w:hint="eastAsia" w:ascii="仿宋" w:hAnsi="仿宋" w:eastAsia="仿宋"/>
          <w:b/>
          <w:color w:val="auto"/>
          <w:sz w:val="30"/>
          <w:szCs w:val="30"/>
          <w:highlight w:val="none"/>
        </w:rPr>
        <w:t>合同签订日期：202</w:t>
      </w:r>
      <w:r>
        <w:rPr>
          <w:rFonts w:hint="eastAsia" w:ascii="仿宋" w:hAnsi="仿宋" w:eastAsia="仿宋"/>
          <w:b/>
          <w:color w:val="auto"/>
          <w:sz w:val="30"/>
          <w:szCs w:val="30"/>
          <w:highlight w:val="none"/>
          <w:lang w:val="en-US" w:eastAsia="zh-CN"/>
        </w:rPr>
        <w:t>6</w:t>
      </w:r>
      <w:r>
        <w:rPr>
          <w:rFonts w:hint="eastAsia" w:ascii="仿宋" w:hAnsi="仿宋" w:eastAsia="仿宋"/>
          <w:b/>
          <w:color w:val="auto"/>
          <w:sz w:val="30"/>
          <w:szCs w:val="30"/>
          <w:highlight w:val="none"/>
        </w:rPr>
        <w:t>年  月   日</w:t>
      </w:r>
    </w:p>
    <w:p>
      <w:pPr>
        <w:rPr>
          <w:rFonts w:hint="eastAsia" w:ascii="仿宋" w:hAnsi="仿宋" w:eastAsia="仿宋"/>
          <w:b/>
          <w:color w:val="auto"/>
          <w:sz w:val="30"/>
          <w:szCs w:val="30"/>
          <w:highlight w:val="none"/>
        </w:rPr>
      </w:pPr>
      <w:r>
        <w:rPr>
          <w:rFonts w:hint="eastAsia" w:ascii="仿宋" w:hAnsi="仿宋" w:eastAsia="仿宋"/>
          <w:b/>
          <w:color w:val="auto"/>
          <w:sz w:val="30"/>
          <w:szCs w:val="30"/>
          <w:highlight w:val="none"/>
        </w:rPr>
        <w:br w:type="page"/>
      </w:r>
    </w:p>
    <w:p>
      <w:pPr>
        <w:spacing w:beforeLines="100" w:afterLines="100" w:line="480" w:lineRule="exact"/>
        <w:jc w:val="center"/>
        <w:rPr>
          <w:rFonts w:hint="eastAsia" w:ascii="仿宋" w:hAnsi="仿宋" w:eastAsia="仿宋" w:cs="仿宋_GB2312"/>
          <w:b/>
          <w:color w:val="auto"/>
          <w:sz w:val="44"/>
          <w:szCs w:val="44"/>
          <w:highlight w:val="none"/>
        </w:rPr>
      </w:pPr>
      <w:r>
        <w:rPr>
          <w:rFonts w:hint="eastAsia" w:ascii="仿宋" w:hAnsi="仿宋" w:eastAsia="仿宋" w:cs="仿宋_GB2312"/>
          <w:b/>
          <w:color w:val="auto"/>
          <w:sz w:val="44"/>
          <w:szCs w:val="44"/>
          <w:highlight w:val="none"/>
          <w:lang w:eastAsia="zh-CN"/>
        </w:rPr>
        <w:t>细柳街道办事处2026年城市道路保洁、公厕管理及绿化养护项目</w:t>
      </w:r>
      <w:r>
        <w:rPr>
          <w:rFonts w:hint="eastAsia" w:ascii="仿宋" w:hAnsi="仿宋" w:eastAsia="仿宋" w:cs="仿宋_GB2312"/>
          <w:b/>
          <w:color w:val="auto"/>
          <w:sz w:val="44"/>
          <w:szCs w:val="44"/>
          <w:highlight w:val="none"/>
        </w:rPr>
        <w:t>合同</w:t>
      </w:r>
    </w:p>
    <w:p>
      <w:pPr>
        <w:pStyle w:val="18"/>
        <w:rPr>
          <w:color w:val="auto"/>
          <w:highlight w:val="none"/>
        </w:rPr>
      </w:pPr>
    </w:p>
    <w:p>
      <w:pPr>
        <w:pStyle w:val="8"/>
        <w:keepNext w:val="0"/>
        <w:keepLines w:val="0"/>
        <w:pageBreakBefore w:val="0"/>
        <w:kinsoku/>
        <w:wordWrap/>
        <w:overflowPunct/>
        <w:topLinePunct w:val="0"/>
        <w:autoSpaceDE/>
        <w:autoSpaceDN/>
        <w:bidi w:val="0"/>
        <w:adjustRightInd/>
        <w:spacing w:before="0" w:beforeLines="0" w:beforeAutospacing="0" w:after="0" w:afterLines="0" w:afterAutospacing="0" w:line="360" w:lineRule="auto"/>
        <w:jc w:val="both"/>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甲方</w:t>
      </w:r>
      <w:r>
        <w:rPr>
          <w:rFonts w:hint="eastAsia" w:ascii="仿宋" w:hAnsi="仿宋" w:eastAsia="仿宋" w:cs="仿宋"/>
          <w:color w:val="auto"/>
          <w:sz w:val="20"/>
          <w:szCs w:val="20"/>
          <w:highlight w:val="none"/>
          <w:lang w:eastAsia="zh-CN"/>
        </w:rPr>
        <w:t>（委托人）</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u w:val="single"/>
        </w:rPr>
        <w:t xml:space="preserve">                               </w:t>
      </w:r>
    </w:p>
    <w:p>
      <w:pPr>
        <w:pStyle w:val="8"/>
        <w:keepNext w:val="0"/>
        <w:keepLines w:val="0"/>
        <w:pageBreakBefore w:val="0"/>
        <w:kinsoku/>
        <w:wordWrap/>
        <w:overflowPunct/>
        <w:topLinePunct w:val="0"/>
        <w:autoSpaceDE/>
        <w:autoSpaceDN/>
        <w:bidi w:val="0"/>
        <w:adjustRightInd/>
        <w:spacing w:before="0" w:beforeLines="0" w:beforeAutospacing="0" w:after="0" w:afterLines="0" w:afterAutospacing="0" w:line="360" w:lineRule="auto"/>
        <w:jc w:val="both"/>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乙方</w:t>
      </w:r>
      <w:r>
        <w:rPr>
          <w:rFonts w:hint="eastAsia" w:ascii="仿宋" w:hAnsi="仿宋" w:eastAsia="仿宋" w:cs="仿宋"/>
          <w:color w:val="auto"/>
          <w:sz w:val="20"/>
          <w:szCs w:val="20"/>
          <w:highlight w:val="none"/>
          <w:lang w:eastAsia="zh-CN"/>
        </w:rPr>
        <w:t>（受托人）</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u w:val="single"/>
        </w:rPr>
        <w:t xml:space="preserve">                               </w:t>
      </w:r>
    </w:p>
    <w:p>
      <w:pPr>
        <w:pStyle w:val="8"/>
        <w:keepNext w:val="0"/>
        <w:keepLines w:val="0"/>
        <w:pageBreakBefore w:val="0"/>
        <w:kinsoku/>
        <w:wordWrap/>
        <w:overflowPunct/>
        <w:topLinePunct w:val="0"/>
        <w:autoSpaceDE/>
        <w:autoSpaceDN/>
        <w:bidi w:val="0"/>
        <w:adjustRightInd/>
        <w:spacing w:before="0" w:beforeLines="0" w:beforeAutospacing="0" w:after="0" w:afterLines="0" w:afterAutospacing="0" w:line="360" w:lineRule="auto"/>
        <w:ind w:firstLine="400" w:firstLineChars="200"/>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根据《中华人民共和国民法典</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中华人民共和国政府采购法》与项目行业有关的法律法规，以及本项目</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lang w:eastAsia="zh-CN"/>
        </w:rPr>
        <w:t>（项目名称）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（项目编号：</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）相关采购要求的规定，合同双方经协商达成一致，确立本合同。</w:t>
      </w:r>
    </w:p>
    <w:p>
      <w:pPr>
        <w:pStyle w:val="6"/>
        <w:keepNext w:val="0"/>
        <w:keepLines w:val="0"/>
        <w:pageBreakBefore w:val="0"/>
        <w:kinsoku/>
        <w:wordWrap/>
        <w:overflowPunct/>
        <w:topLinePunct w:val="0"/>
        <w:autoSpaceDE/>
        <w:autoSpaceDN/>
        <w:bidi w:val="0"/>
        <w:adjustRightInd/>
        <w:spacing w:line="360" w:lineRule="auto"/>
        <w:jc w:val="both"/>
        <w:textAlignment w:val="auto"/>
        <w:outlineLvl w:val="9"/>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一、承包范围：</w:t>
      </w:r>
    </w:p>
    <w:p>
      <w:pPr>
        <w:keepNext w:val="0"/>
        <w:keepLines w:val="0"/>
        <w:pageBreakBefore w:val="0"/>
        <w:kinsoku/>
        <w:wordWrap/>
        <w:overflowPunct/>
        <w:topLinePunct w:val="0"/>
        <w:autoSpaceDE/>
        <w:autoSpaceDN/>
        <w:bidi w:val="0"/>
        <w:adjustRightInd/>
        <w:spacing w:line="360" w:lineRule="auto"/>
        <w:ind w:firstLine="420" w:firstLineChars="0"/>
        <w:textAlignment w:val="auto"/>
        <w:outlineLvl w:val="9"/>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bidi="ar-SA"/>
        </w:rPr>
        <w:t>（1）细柳街办辖区市政道路共计104条，共计清扫保洁面积4535950.554㎡；</w:t>
      </w:r>
    </w:p>
    <w:p>
      <w:pPr>
        <w:keepNext w:val="0"/>
        <w:keepLines w:val="0"/>
        <w:pageBreakBefore w:val="0"/>
        <w:kinsoku/>
        <w:wordWrap/>
        <w:overflowPunct/>
        <w:topLinePunct w:val="0"/>
        <w:autoSpaceDE/>
        <w:autoSpaceDN/>
        <w:bidi w:val="0"/>
        <w:adjustRightInd/>
        <w:spacing w:line="360" w:lineRule="auto"/>
        <w:ind w:firstLine="420" w:firstLineChars="0"/>
        <w:textAlignment w:val="auto"/>
        <w:outlineLvl w:val="9"/>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bidi="ar-SA"/>
        </w:rPr>
        <w:t>（2）细柳街办辖区共计79条养护道路，绿化养护面积总计1345218.6㎡，其中，一级道路151957.12㎡，二级道路1193261.48㎡；</w:t>
      </w:r>
    </w:p>
    <w:p>
      <w:pPr>
        <w:keepNext w:val="0"/>
        <w:keepLines w:val="0"/>
        <w:pageBreakBefore w:val="0"/>
        <w:kinsoku/>
        <w:wordWrap/>
        <w:overflowPunct/>
        <w:topLinePunct w:val="0"/>
        <w:autoSpaceDE/>
        <w:autoSpaceDN/>
        <w:bidi w:val="0"/>
        <w:adjustRightInd/>
        <w:spacing w:line="360" w:lineRule="auto"/>
        <w:ind w:firstLine="420" w:firstLineChars="0"/>
        <w:textAlignment w:val="auto"/>
        <w:outlineLvl w:val="9"/>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bidi="ar-SA"/>
        </w:rPr>
        <w:t>（3）公厕63座（土建43座、移动20座）；</w:t>
      </w:r>
    </w:p>
    <w:p>
      <w:pPr>
        <w:keepNext w:val="0"/>
        <w:keepLines w:val="0"/>
        <w:pageBreakBefore w:val="0"/>
        <w:kinsoku/>
        <w:wordWrap/>
        <w:overflowPunct/>
        <w:topLinePunct w:val="0"/>
        <w:autoSpaceDE/>
        <w:autoSpaceDN/>
        <w:bidi w:val="0"/>
        <w:adjustRightInd/>
        <w:spacing w:line="360" w:lineRule="auto"/>
        <w:ind w:firstLine="420" w:firstLineChars="0"/>
        <w:textAlignment w:val="auto"/>
        <w:outlineLvl w:val="9"/>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bidi="ar-SA"/>
        </w:rPr>
        <w:t>（4）甲方指定各生活垃圾收集点位生活垃圾清运。</w:t>
      </w:r>
    </w:p>
    <w:p>
      <w:pPr>
        <w:spacing w:line="360" w:lineRule="auto"/>
        <w:jc w:val="left"/>
        <w:rPr>
          <w:rFonts w:hint="eastAsia" w:ascii="仿宋" w:hAnsi="仿宋" w:eastAsia="仿宋" w:cs="仿宋"/>
          <w:b/>
          <w:bCs/>
          <w:color w:val="auto"/>
          <w:kern w:val="2"/>
          <w:sz w:val="20"/>
          <w:szCs w:val="20"/>
          <w:highlight w:val="none"/>
          <w:lang w:val="en-US" w:eastAsia="zh-CN" w:bidi="ar-SA"/>
        </w:rPr>
      </w:pPr>
      <w:r>
        <w:rPr>
          <w:rFonts w:hint="eastAsia" w:ascii="仿宋" w:hAnsi="仿宋" w:eastAsia="仿宋" w:cs="仿宋"/>
          <w:b/>
          <w:bCs/>
          <w:color w:val="auto"/>
          <w:kern w:val="2"/>
          <w:sz w:val="20"/>
          <w:szCs w:val="20"/>
          <w:highlight w:val="none"/>
          <w:lang w:val="en-US" w:eastAsia="zh-CN" w:bidi="ar-SA"/>
        </w:rPr>
        <w:t>二、服务期限</w:t>
      </w:r>
    </w:p>
    <w:p>
      <w:pPr>
        <w:spacing w:line="360" w:lineRule="auto"/>
        <w:ind w:firstLine="435"/>
        <w:jc w:val="left"/>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一年。(起始日期以合同签订日期为准)</w:t>
      </w:r>
    </w:p>
    <w:p>
      <w:pPr>
        <w:keepNext w:val="0"/>
        <w:keepLines w:val="0"/>
        <w:pageBreakBefore w:val="0"/>
        <w:widowControl/>
        <w:kinsoku/>
        <w:wordWrap/>
        <w:overflowPunct/>
        <w:topLinePunct w:val="0"/>
        <w:autoSpaceDE/>
        <w:autoSpaceDN/>
        <w:bidi w:val="0"/>
        <w:adjustRightInd/>
        <w:spacing w:line="360" w:lineRule="auto"/>
        <w:ind w:right="-197" w:rightChars="-94"/>
        <w:jc w:val="left"/>
        <w:textAlignment w:val="auto"/>
        <w:outlineLvl w:val="9"/>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三、合同金额</w:t>
      </w:r>
      <w:r>
        <w:rPr>
          <w:rFonts w:hint="eastAsia" w:ascii="仿宋" w:hAnsi="仿宋" w:eastAsia="仿宋" w:cs="仿宋"/>
          <w:color w:val="auto"/>
          <w:kern w:val="0"/>
          <w:sz w:val="20"/>
          <w:szCs w:val="20"/>
          <w:highlight w:val="none"/>
        </w:rPr>
        <w:t>：人民币（大写）：</w:t>
      </w:r>
      <w:r>
        <w:rPr>
          <w:rFonts w:hint="eastAsia" w:ascii="仿宋" w:hAnsi="仿宋" w:eastAsia="仿宋" w:cs="仿宋"/>
          <w:color w:val="auto"/>
          <w:kern w:val="0"/>
          <w:sz w:val="20"/>
          <w:szCs w:val="20"/>
          <w:highlight w:val="none"/>
          <w:u w:val="single"/>
          <w:lang w:val="en-US" w:eastAsia="zh-CN"/>
        </w:rPr>
        <w:t xml:space="preserve">      </w:t>
      </w:r>
      <w:r>
        <w:rPr>
          <w:rFonts w:hint="eastAsia" w:ascii="仿宋" w:hAnsi="仿宋" w:eastAsia="仿宋" w:cs="仿宋"/>
          <w:color w:val="auto"/>
          <w:kern w:val="0"/>
          <w:sz w:val="20"/>
          <w:szCs w:val="20"/>
          <w:highlight w:val="none"/>
          <w:u w:val="single"/>
        </w:rPr>
        <w:t>元，</w:t>
      </w:r>
      <w:r>
        <w:rPr>
          <w:rFonts w:hint="eastAsia" w:ascii="仿宋" w:hAnsi="仿宋" w:eastAsia="仿宋" w:cs="仿宋"/>
          <w:color w:val="auto"/>
          <w:kern w:val="0"/>
          <w:sz w:val="20"/>
          <w:szCs w:val="20"/>
          <w:highlight w:val="none"/>
        </w:rPr>
        <w:t>（小写：</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u w:val="single"/>
          <w:lang w:val="en-US" w:eastAsia="zh-CN"/>
        </w:rPr>
        <w:t xml:space="preserve">  </w:t>
      </w:r>
      <w:r>
        <w:rPr>
          <w:rFonts w:hint="eastAsia" w:ascii="仿宋" w:hAnsi="仿宋" w:eastAsia="仿宋" w:cs="仿宋"/>
          <w:color w:val="auto"/>
          <w:kern w:val="0"/>
          <w:sz w:val="20"/>
          <w:szCs w:val="20"/>
          <w:highlight w:val="none"/>
          <w:u w:val="single"/>
        </w:rPr>
        <w:t>元</w:t>
      </w:r>
      <w:r>
        <w:rPr>
          <w:rFonts w:hint="eastAsia" w:ascii="仿宋" w:hAnsi="仿宋" w:eastAsia="仿宋" w:cs="仿宋"/>
          <w:color w:val="auto"/>
          <w:kern w:val="0"/>
          <w:sz w:val="20"/>
          <w:szCs w:val="20"/>
          <w:highlight w:val="none"/>
        </w:rPr>
        <w:t>）；</w:t>
      </w:r>
    </w:p>
    <w:p>
      <w:pPr>
        <w:keepNext w:val="0"/>
        <w:keepLines w:val="0"/>
        <w:pageBreakBefore w:val="0"/>
        <w:kinsoku/>
        <w:wordWrap/>
        <w:overflowPunct/>
        <w:topLinePunct w:val="0"/>
        <w:autoSpaceDE/>
        <w:autoSpaceDN/>
        <w:bidi w:val="0"/>
        <w:adjustRightInd/>
        <w:spacing w:line="360" w:lineRule="auto"/>
        <w:ind w:firstLine="420" w:firstLineChars="0"/>
        <w:textAlignment w:val="auto"/>
        <w:outlineLvl w:val="9"/>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bidi="ar-SA"/>
        </w:rPr>
        <w:t>（一）道路清扫保洁项目总费用</w:t>
      </w:r>
      <w:r>
        <w:rPr>
          <w:rFonts w:hint="eastAsia" w:ascii="仿宋" w:hAnsi="仿宋" w:eastAsia="仿宋" w:cs="仿宋"/>
          <w:color w:val="auto"/>
          <w:kern w:val="0"/>
          <w:sz w:val="20"/>
          <w:szCs w:val="20"/>
          <w:highlight w:val="none"/>
          <w:u w:val="single"/>
          <w:lang w:val="en-US" w:eastAsia="zh-CN" w:bidi="ar-SA"/>
        </w:rPr>
        <w:t xml:space="preserve">        </w:t>
      </w:r>
      <w:r>
        <w:rPr>
          <w:rFonts w:hint="eastAsia" w:ascii="仿宋" w:hAnsi="仿宋" w:eastAsia="仿宋" w:cs="仿宋"/>
          <w:color w:val="auto"/>
          <w:kern w:val="0"/>
          <w:sz w:val="20"/>
          <w:szCs w:val="20"/>
          <w:highlight w:val="none"/>
          <w:lang w:val="en-US" w:eastAsia="zh-CN" w:bidi="ar-SA"/>
        </w:rPr>
        <w:t>元/年，其中清扫保洁费用</w:t>
      </w:r>
      <w:r>
        <w:rPr>
          <w:rFonts w:hint="eastAsia" w:ascii="仿宋" w:hAnsi="仿宋" w:eastAsia="仿宋" w:cs="仿宋"/>
          <w:color w:val="auto"/>
          <w:kern w:val="0"/>
          <w:sz w:val="20"/>
          <w:szCs w:val="20"/>
          <w:highlight w:val="none"/>
          <w:u w:val="single"/>
          <w:lang w:val="en-US" w:eastAsia="zh-CN" w:bidi="ar-SA"/>
        </w:rPr>
        <w:t xml:space="preserve">        </w:t>
      </w:r>
      <w:r>
        <w:rPr>
          <w:rFonts w:hint="eastAsia" w:ascii="仿宋" w:hAnsi="仿宋" w:eastAsia="仿宋" w:cs="仿宋"/>
          <w:color w:val="auto"/>
          <w:kern w:val="0"/>
          <w:sz w:val="20"/>
          <w:szCs w:val="20"/>
          <w:highlight w:val="none"/>
          <w:lang w:val="en-US" w:eastAsia="zh-CN" w:bidi="ar-SA"/>
        </w:rPr>
        <w:t>元/年，清扫保洁车辆运行费用</w:t>
      </w:r>
      <w:r>
        <w:rPr>
          <w:rFonts w:hint="eastAsia" w:ascii="仿宋" w:hAnsi="仿宋" w:eastAsia="仿宋" w:cs="仿宋"/>
          <w:color w:val="auto"/>
          <w:kern w:val="0"/>
          <w:sz w:val="20"/>
          <w:szCs w:val="20"/>
          <w:highlight w:val="none"/>
          <w:u w:val="single"/>
          <w:lang w:val="en-US" w:eastAsia="zh-CN" w:bidi="ar-SA"/>
        </w:rPr>
        <w:t xml:space="preserve">          </w:t>
      </w:r>
      <w:r>
        <w:rPr>
          <w:rFonts w:hint="eastAsia" w:ascii="仿宋" w:hAnsi="仿宋" w:eastAsia="仿宋" w:cs="仿宋"/>
          <w:color w:val="auto"/>
          <w:kern w:val="0"/>
          <w:sz w:val="20"/>
          <w:szCs w:val="20"/>
          <w:highlight w:val="none"/>
          <w:lang w:val="en-US" w:eastAsia="zh-CN" w:bidi="ar-SA"/>
        </w:rPr>
        <w:t>元/年，农村以及建城区各垃圾点位生活垃圾清运</w:t>
      </w:r>
      <w:r>
        <w:rPr>
          <w:rFonts w:hint="eastAsia" w:ascii="仿宋" w:hAnsi="仿宋" w:eastAsia="仿宋" w:cs="仿宋"/>
          <w:color w:val="auto"/>
          <w:kern w:val="0"/>
          <w:sz w:val="20"/>
          <w:szCs w:val="20"/>
          <w:highlight w:val="none"/>
          <w:u w:val="single"/>
          <w:lang w:val="en-US" w:eastAsia="zh-CN" w:bidi="ar-SA"/>
        </w:rPr>
        <w:t xml:space="preserve">      </w:t>
      </w:r>
      <w:r>
        <w:rPr>
          <w:rFonts w:hint="eastAsia" w:ascii="仿宋" w:hAnsi="仿宋" w:eastAsia="仿宋" w:cs="仿宋"/>
          <w:color w:val="auto"/>
          <w:kern w:val="0"/>
          <w:sz w:val="20"/>
          <w:szCs w:val="20"/>
          <w:highlight w:val="none"/>
          <w:lang w:val="en-US" w:eastAsia="zh-CN" w:bidi="ar-SA"/>
        </w:rPr>
        <w:t>元/年，综合单价</w:t>
      </w:r>
      <w:r>
        <w:rPr>
          <w:rFonts w:hint="eastAsia" w:ascii="仿宋" w:hAnsi="仿宋" w:eastAsia="仿宋" w:cs="仿宋"/>
          <w:color w:val="auto"/>
          <w:kern w:val="0"/>
          <w:sz w:val="20"/>
          <w:szCs w:val="20"/>
          <w:highlight w:val="none"/>
          <w:u w:val="single"/>
          <w:lang w:val="en-US" w:eastAsia="zh-CN" w:bidi="ar-SA"/>
        </w:rPr>
        <w:t xml:space="preserve">        </w:t>
      </w:r>
      <w:r>
        <w:rPr>
          <w:rFonts w:hint="eastAsia" w:ascii="仿宋" w:hAnsi="仿宋" w:eastAsia="仿宋" w:cs="仿宋"/>
          <w:color w:val="auto"/>
          <w:kern w:val="0"/>
          <w:sz w:val="20"/>
          <w:szCs w:val="20"/>
          <w:highlight w:val="none"/>
          <w:lang w:val="en-US" w:eastAsia="zh-CN" w:bidi="ar-SA"/>
        </w:rPr>
        <w:t>元/㎡/年。</w:t>
      </w:r>
    </w:p>
    <w:p>
      <w:pPr>
        <w:keepNext w:val="0"/>
        <w:keepLines w:val="0"/>
        <w:pageBreakBefore w:val="0"/>
        <w:kinsoku/>
        <w:wordWrap/>
        <w:overflowPunct/>
        <w:topLinePunct w:val="0"/>
        <w:autoSpaceDE/>
        <w:autoSpaceDN/>
        <w:bidi w:val="0"/>
        <w:adjustRightInd/>
        <w:spacing w:line="360" w:lineRule="auto"/>
        <w:ind w:firstLine="420" w:firstLineChars="0"/>
        <w:textAlignment w:val="auto"/>
        <w:outlineLvl w:val="9"/>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bidi="ar-SA"/>
        </w:rPr>
        <w:t>[费用包含：人员费用（人员工资、社会劳动保险、人身意外保险、劳保福利、周末法定节假日费用、夏季降温费及高温补助费、冬季取暖及补助费）、配置劳动工器具及劳动保障（工服等）、配置保洁三轮车等清扫保洁工作相关各项费用；设备配置及运营维护（清扫保洁车辆加油、维修、水费、电费、保险、审车、耗材、带车作业造成的等一切运行费用成本费用)，加水点维修费用，司机工资及各项加班补贴费用、一切因安全事故产生的费用]</w:t>
      </w:r>
    </w:p>
    <w:p>
      <w:pPr>
        <w:keepNext w:val="0"/>
        <w:keepLines w:val="0"/>
        <w:pageBreakBefore w:val="0"/>
        <w:kinsoku/>
        <w:wordWrap/>
        <w:overflowPunct/>
        <w:topLinePunct w:val="0"/>
        <w:autoSpaceDE/>
        <w:autoSpaceDN/>
        <w:bidi w:val="0"/>
        <w:adjustRightInd/>
        <w:spacing w:line="360" w:lineRule="auto"/>
        <w:ind w:firstLine="420" w:firstLineChars="0"/>
        <w:textAlignment w:val="auto"/>
        <w:outlineLvl w:val="9"/>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bidi="ar-SA"/>
        </w:rPr>
        <w:t>根据市城管委办发【2019】13号文件规定，高新区道路清扫保洁员执行一类工资区最低工资标准为</w:t>
      </w:r>
      <w:r>
        <w:rPr>
          <w:rFonts w:hint="eastAsia" w:ascii="仿宋" w:hAnsi="仿宋" w:eastAsia="仿宋" w:cs="仿宋"/>
          <w:b w:val="0"/>
          <w:color w:val="auto"/>
          <w:kern w:val="2"/>
          <w:sz w:val="20"/>
          <w:szCs w:val="20"/>
          <w:highlight w:val="none"/>
          <w:lang w:val="en-US" w:eastAsia="zh-CN" w:bidi="ar-SA"/>
        </w:rPr>
        <w:t>2805</w:t>
      </w:r>
      <w:r>
        <w:rPr>
          <w:rFonts w:hint="eastAsia" w:ascii="仿宋" w:hAnsi="仿宋" w:eastAsia="仿宋" w:cs="仿宋"/>
          <w:color w:val="auto"/>
          <w:kern w:val="0"/>
          <w:sz w:val="20"/>
          <w:szCs w:val="20"/>
          <w:highlight w:val="none"/>
          <w:lang w:val="en-US" w:eastAsia="zh-CN" w:bidi="ar-SA"/>
        </w:rPr>
        <w:t>元/月；按照国家规定支付法定节假日工资</w:t>
      </w:r>
      <w:r>
        <w:rPr>
          <w:rFonts w:hint="eastAsia" w:ascii="仿宋" w:hAnsi="仿宋" w:eastAsia="仿宋" w:cs="仿宋"/>
          <w:b w:val="0"/>
          <w:color w:val="auto"/>
          <w:kern w:val="2"/>
          <w:sz w:val="20"/>
          <w:szCs w:val="20"/>
          <w:highlight w:val="none"/>
          <w:lang w:val="en-US" w:eastAsia="zh-CN" w:bidi="ar-SA"/>
        </w:rPr>
        <w:t>7445</w:t>
      </w:r>
      <w:r>
        <w:rPr>
          <w:rFonts w:hint="eastAsia" w:ascii="仿宋" w:hAnsi="仿宋" w:eastAsia="仿宋" w:cs="仿宋"/>
          <w:color w:val="auto"/>
          <w:kern w:val="0"/>
          <w:sz w:val="20"/>
          <w:szCs w:val="20"/>
          <w:highlight w:val="none"/>
          <w:lang w:val="en-US" w:eastAsia="zh-CN" w:bidi="ar-SA"/>
        </w:rPr>
        <w:t>元/人/年；</w:t>
      </w:r>
      <w:r>
        <w:rPr>
          <w:rFonts w:hint="eastAsia" w:ascii="仿宋" w:hAnsi="仿宋" w:eastAsia="仿宋" w:cs="仿宋"/>
          <w:b w:val="0"/>
          <w:color w:val="auto"/>
          <w:kern w:val="2"/>
          <w:sz w:val="20"/>
          <w:szCs w:val="20"/>
          <w:highlight w:val="none"/>
          <w:lang w:val="en-US" w:eastAsia="zh-CN" w:bidi="ar-SA"/>
        </w:rPr>
        <w:t>6</w:t>
      </w:r>
      <w:r>
        <w:rPr>
          <w:rFonts w:hint="eastAsia" w:ascii="仿宋" w:hAnsi="仿宋" w:eastAsia="仿宋" w:cs="仿宋"/>
          <w:color w:val="auto"/>
          <w:kern w:val="0"/>
          <w:sz w:val="20"/>
          <w:szCs w:val="20"/>
          <w:highlight w:val="none"/>
          <w:lang w:val="en-US" w:eastAsia="zh-CN" w:bidi="ar-SA"/>
        </w:rPr>
        <w:t>月</w:t>
      </w:r>
      <w:r>
        <w:rPr>
          <w:rFonts w:hint="eastAsia" w:ascii="仿宋" w:hAnsi="仿宋" w:eastAsia="仿宋" w:cs="仿宋"/>
          <w:b w:val="0"/>
          <w:color w:val="auto"/>
          <w:kern w:val="2"/>
          <w:sz w:val="20"/>
          <w:szCs w:val="20"/>
          <w:highlight w:val="none"/>
          <w:lang w:val="en-US" w:eastAsia="zh-CN" w:bidi="ar-SA"/>
        </w:rPr>
        <w:t>15</w:t>
      </w:r>
      <w:r>
        <w:rPr>
          <w:rFonts w:hint="eastAsia" w:ascii="仿宋" w:hAnsi="仿宋" w:eastAsia="仿宋" w:cs="仿宋"/>
          <w:color w:val="auto"/>
          <w:kern w:val="0"/>
          <w:sz w:val="20"/>
          <w:szCs w:val="20"/>
          <w:highlight w:val="none"/>
          <w:lang w:val="en-US" w:eastAsia="zh-CN" w:bidi="ar-SA"/>
        </w:rPr>
        <w:t>日至</w:t>
      </w:r>
      <w:r>
        <w:rPr>
          <w:rFonts w:hint="eastAsia" w:ascii="仿宋" w:hAnsi="仿宋" w:eastAsia="仿宋" w:cs="仿宋"/>
          <w:b w:val="0"/>
          <w:color w:val="auto"/>
          <w:kern w:val="2"/>
          <w:sz w:val="20"/>
          <w:szCs w:val="20"/>
          <w:highlight w:val="none"/>
          <w:lang w:val="en-US" w:eastAsia="zh-CN" w:bidi="ar-SA"/>
        </w:rPr>
        <w:t>9</w:t>
      </w:r>
      <w:r>
        <w:rPr>
          <w:rFonts w:hint="eastAsia" w:ascii="仿宋" w:hAnsi="仿宋" w:eastAsia="仿宋" w:cs="仿宋"/>
          <w:color w:val="auto"/>
          <w:kern w:val="0"/>
          <w:sz w:val="20"/>
          <w:szCs w:val="20"/>
          <w:highlight w:val="none"/>
          <w:lang w:val="en-US" w:eastAsia="zh-CN" w:bidi="ar-SA"/>
        </w:rPr>
        <w:t>月</w:t>
      </w:r>
      <w:r>
        <w:rPr>
          <w:rFonts w:hint="eastAsia" w:ascii="仿宋" w:hAnsi="仿宋" w:eastAsia="仿宋" w:cs="仿宋"/>
          <w:b w:val="0"/>
          <w:color w:val="auto"/>
          <w:kern w:val="2"/>
          <w:sz w:val="20"/>
          <w:szCs w:val="20"/>
          <w:highlight w:val="none"/>
          <w:lang w:val="en-US" w:eastAsia="zh-CN" w:bidi="ar-SA"/>
        </w:rPr>
        <w:t>15</w:t>
      </w:r>
      <w:r>
        <w:rPr>
          <w:rFonts w:hint="eastAsia" w:ascii="仿宋" w:hAnsi="仿宋" w:eastAsia="仿宋" w:cs="仿宋"/>
          <w:color w:val="auto"/>
          <w:kern w:val="0"/>
          <w:sz w:val="20"/>
          <w:szCs w:val="20"/>
          <w:highlight w:val="none"/>
          <w:lang w:val="en-US" w:eastAsia="zh-CN" w:bidi="ar-SA"/>
        </w:rPr>
        <w:t>日发放防暑降温费</w:t>
      </w:r>
      <w:r>
        <w:rPr>
          <w:rFonts w:hint="eastAsia" w:ascii="仿宋" w:hAnsi="仿宋" w:eastAsia="仿宋" w:cs="仿宋"/>
          <w:b w:val="0"/>
          <w:color w:val="auto"/>
          <w:kern w:val="2"/>
          <w:sz w:val="20"/>
          <w:szCs w:val="20"/>
          <w:highlight w:val="none"/>
          <w:lang w:val="en-US" w:eastAsia="zh-CN" w:bidi="ar-SA"/>
        </w:rPr>
        <w:t>15</w:t>
      </w:r>
      <w:r>
        <w:rPr>
          <w:rFonts w:hint="eastAsia" w:ascii="仿宋" w:hAnsi="仿宋" w:eastAsia="仿宋" w:cs="仿宋"/>
          <w:color w:val="auto"/>
          <w:kern w:val="0"/>
          <w:sz w:val="20"/>
          <w:szCs w:val="20"/>
          <w:highlight w:val="none"/>
          <w:lang w:val="en-US" w:eastAsia="zh-CN" w:bidi="ar-SA"/>
        </w:rPr>
        <w:t>元/人/天；</w:t>
      </w:r>
      <w:r>
        <w:rPr>
          <w:rFonts w:hint="eastAsia" w:ascii="仿宋" w:hAnsi="仿宋" w:eastAsia="仿宋" w:cs="仿宋"/>
          <w:b w:val="0"/>
          <w:color w:val="auto"/>
          <w:kern w:val="2"/>
          <w:sz w:val="20"/>
          <w:szCs w:val="20"/>
          <w:highlight w:val="none"/>
          <w:lang w:val="en-US" w:eastAsia="zh-CN" w:bidi="ar-SA"/>
        </w:rPr>
        <w:t>6</w:t>
      </w:r>
      <w:r>
        <w:rPr>
          <w:rFonts w:hint="eastAsia" w:ascii="仿宋" w:hAnsi="仿宋" w:eastAsia="仿宋" w:cs="仿宋"/>
          <w:color w:val="auto"/>
          <w:kern w:val="0"/>
          <w:sz w:val="20"/>
          <w:szCs w:val="20"/>
          <w:highlight w:val="none"/>
          <w:lang w:val="en-US" w:eastAsia="zh-CN" w:bidi="ar-SA"/>
        </w:rPr>
        <w:t>月</w:t>
      </w:r>
      <w:r>
        <w:rPr>
          <w:rFonts w:hint="eastAsia" w:ascii="仿宋" w:hAnsi="仿宋" w:eastAsia="仿宋" w:cs="仿宋"/>
          <w:b w:val="0"/>
          <w:color w:val="auto"/>
          <w:kern w:val="2"/>
          <w:sz w:val="20"/>
          <w:szCs w:val="20"/>
          <w:highlight w:val="none"/>
          <w:lang w:val="en-US" w:eastAsia="zh-CN" w:bidi="ar-SA"/>
        </w:rPr>
        <w:t>1</w:t>
      </w:r>
      <w:r>
        <w:rPr>
          <w:rFonts w:hint="eastAsia" w:ascii="仿宋" w:hAnsi="仿宋" w:eastAsia="仿宋" w:cs="仿宋"/>
          <w:color w:val="auto"/>
          <w:kern w:val="0"/>
          <w:sz w:val="20"/>
          <w:szCs w:val="20"/>
          <w:highlight w:val="none"/>
          <w:lang w:val="en-US" w:eastAsia="zh-CN" w:bidi="ar-SA"/>
        </w:rPr>
        <w:t>日至</w:t>
      </w:r>
      <w:r>
        <w:rPr>
          <w:rFonts w:hint="eastAsia" w:ascii="仿宋" w:hAnsi="仿宋" w:eastAsia="仿宋" w:cs="仿宋"/>
          <w:b w:val="0"/>
          <w:color w:val="auto"/>
          <w:kern w:val="2"/>
          <w:sz w:val="20"/>
          <w:szCs w:val="20"/>
          <w:highlight w:val="none"/>
          <w:lang w:val="en-US" w:eastAsia="zh-CN" w:bidi="ar-SA"/>
        </w:rPr>
        <w:t>9</w:t>
      </w:r>
      <w:r>
        <w:rPr>
          <w:rFonts w:hint="eastAsia" w:ascii="仿宋" w:hAnsi="仿宋" w:eastAsia="仿宋" w:cs="仿宋"/>
          <w:color w:val="auto"/>
          <w:kern w:val="0"/>
          <w:sz w:val="20"/>
          <w:szCs w:val="20"/>
          <w:highlight w:val="none"/>
          <w:lang w:val="en-US" w:eastAsia="zh-CN" w:bidi="ar-SA"/>
        </w:rPr>
        <w:t>月</w:t>
      </w:r>
      <w:r>
        <w:rPr>
          <w:rFonts w:hint="eastAsia" w:ascii="仿宋" w:hAnsi="仿宋" w:eastAsia="仿宋" w:cs="仿宋"/>
          <w:b w:val="0"/>
          <w:color w:val="auto"/>
          <w:kern w:val="2"/>
          <w:sz w:val="20"/>
          <w:szCs w:val="20"/>
          <w:highlight w:val="none"/>
          <w:lang w:val="en-US" w:eastAsia="zh-CN" w:bidi="ar-SA"/>
        </w:rPr>
        <w:t>30</w:t>
      </w:r>
      <w:r>
        <w:rPr>
          <w:rFonts w:hint="eastAsia" w:ascii="仿宋" w:hAnsi="仿宋" w:eastAsia="仿宋" w:cs="仿宋"/>
          <w:color w:val="auto"/>
          <w:kern w:val="0"/>
          <w:sz w:val="20"/>
          <w:szCs w:val="20"/>
          <w:highlight w:val="none"/>
          <w:lang w:val="en-US" w:eastAsia="zh-CN" w:bidi="ar-SA"/>
        </w:rPr>
        <w:t>日</w:t>
      </w:r>
      <w:r>
        <w:rPr>
          <w:rFonts w:hint="eastAsia" w:ascii="仿宋" w:hAnsi="仿宋" w:eastAsia="仿宋" w:cs="仿宋"/>
          <w:b w:val="0"/>
          <w:color w:val="auto"/>
          <w:kern w:val="2"/>
          <w:sz w:val="20"/>
          <w:szCs w:val="20"/>
          <w:highlight w:val="none"/>
          <w:lang w:val="en-US" w:eastAsia="zh-CN" w:bidi="ar-SA"/>
        </w:rPr>
        <w:t>35</w:t>
      </w:r>
      <w:r>
        <w:rPr>
          <w:rFonts w:hint="eastAsia" w:ascii="仿宋" w:hAnsi="仿宋" w:eastAsia="仿宋" w:cs="仿宋"/>
          <w:color w:val="auto"/>
          <w:kern w:val="0"/>
          <w:sz w:val="20"/>
          <w:szCs w:val="20"/>
          <w:highlight w:val="none"/>
          <w:lang w:val="en-US" w:eastAsia="zh-CN" w:bidi="ar-SA"/>
        </w:rPr>
        <w:t>℃以上高温天气发放高温津贴</w:t>
      </w:r>
      <w:r>
        <w:rPr>
          <w:rFonts w:hint="eastAsia" w:ascii="仿宋" w:hAnsi="仿宋" w:eastAsia="仿宋" w:cs="仿宋"/>
          <w:b w:val="0"/>
          <w:color w:val="auto"/>
          <w:kern w:val="2"/>
          <w:sz w:val="20"/>
          <w:szCs w:val="20"/>
          <w:highlight w:val="none"/>
          <w:lang w:val="en-US" w:eastAsia="zh-CN" w:bidi="ar-SA"/>
        </w:rPr>
        <w:t>25</w:t>
      </w:r>
      <w:r>
        <w:rPr>
          <w:rFonts w:hint="eastAsia" w:ascii="仿宋" w:hAnsi="仿宋" w:eastAsia="仿宋" w:cs="仿宋"/>
          <w:color w:val="auto"/>
          <w:kern w:val="0"/>
          <w:sz w:val="20"/>
          <w:szCs w:val="20"/>
          <w:highlight w:val="none"/>
          <w:lang w:val="en-US" w:eastAsia="zh-CN" w:bidi="ar-SA"/>
        </w:rPr>
        <w:t>元/人/天；</w:t>
      </w:r>
      <w:r>
        <w:rPr>
          <w:rFonts w:hint="eastAsia" w:ascii="仿宋" w:hAnsi="仿宋" w:eastAsia="仿宋" w:cs="仿宋"/>
          <w:b w:val="0"/>
          <w:color w:val="auto"/>
          <w:kern w:val="2"/>
          <w:sz w:val="20"/>
          <w:szCs w:val="20"/>
          <w:highlight w:val="none"/>
          <w:lang w:val="en-US" w:eastAsia="zh-CN" w:bidi="ar-SA"/>
        </w:rPr>
        <w:t>11</w:t>
      </w:r>
      <w:r>
        <w:rPr>
          <w:rFonts w:hint="eastAsia" w:ascii="仿宋" w:hAnsi="仿宋" w:eastAsia="仿宋" w:cs="仿宋"/>
          <w:color w:val="auto"/>
          <w:kern w:val="0"/>
          <w:sz w:val="20"/>
          <w:szCs w:val="20"/>
          <w:highlight w:val="none"/>
          <w:lang w:val="en-US" w:eastAsia="zh-CN" w:bidi="ar-SA"/>
        </w:rPr>
        <w:t>月</w:t>
      </w:r>
      <w:r>
        <w:rPr>
          <w:rFonts w:hint="eastAsia" w:ascii="仿宋" w:hAnsi="仿宋" w:eastAsia="仿宋" w:cs="仿宋"/>
          <w:b w:val="0"/>
          <w:color w:val="auto"/>
          <w:kern w:val="2"/>
          <w:sz w:val="20"/>
          <w:szCs w:val="20"/>
          <w:highlight w:val="none"/>
          <w:lang w:val="en-US" w:eastAsia="zh-CN" w:bidi="ar-SA"/>
        </w:rPr>
        <w:t>15</w:t>
      </w:r>
      <w:r>
        <w:rPr>
          <w:rFonts w:hint="eastAsia" w:ascii="仿宋" w:hAnsi="仿宋" w:eastAsia="仿宋" w:cs="仿宋"/>
          <w:color w:val="auto"/>
          <w:kern w:val="0"/>
          <w:sz w:val="20"/>
          <w:szCs w:val="20"/>
          <w:highlight w:val="none"/>
          <w:lang w:val="en-US" w:eastAsia="zh-CN" w:bidi="ar-SA"/>
        </w:rPr>
        <w:t>日至</w:t>
      </w:r>
      <w:r>
        <w:rPr>
          <w:rFonts w:hint="eastAsia" w:ascii="仿宋" w:hAnsi="仿宋" w:eastAsia="仿宋" w:cs="仿宋"/>
          <w:b w:val="0"/>
          <w:color w:val="auto"/>
          <w:kern w:val="2"/>
          <w:sz w:val="20"/>
          <w:szCs w:val="20"/>
          <w:highlight w:val="none"/>
          <w:lang w:val="en-US" w:eastAsia="zh-CN" w:bidi="ar-SA"/>
        </w:rPr>
        <w:t>3</w:t>
      </w:r>
      <w:r>
        <w:rPr>
          <w:rFonts w:hint="eastAsia" w:ascii="仿宋" w:hAnsi="仿宋" w:eastAsia="仿宋" w:cs="仿宋"/>
          <w:color w:val="auto"/>
          <w:kern w:val="0"/>
          <w:sz w:val="20"/>
          <w:szCs w:val="20"/>
          <w:highlight w:val="none"/>
          <w:lang w:val="en-US" w:eastAsia="zh-CN" w:bidi="ar-SA"/>
        </w:rPr>
        <w:t>月</w:t>
      </w:r>
      <w:r>
        <w:rPr>
          <w:rFonts w:hint="eastAsia" w:ascii="仿宋" w:hAnsi="仿宋" w:eastAsia="仿宋" w:cs="仿宋"/>
          <w:b w:val="0"/>
          <w:color w:val="auto"/>
          <w:kern w:val="2"/>
          <w:sz w:val="20"/>
          <w:szCs w:val="20"/>
          <w:highlight w:val="none"/>
          <w:lang w:val="en-US" w:eastAsia="zh-CN" w:bidi="ar-SA"/>
        </w:rPr>
        <w:t>15</w:t>
      </w:r>
      <w:r>
        <w:rPr>
          <w:rFonts w:hint="eastAsia" w:ascii="仿宋" w:hAnsi="仿宋" w:eastAsia="仿宋" w:cs="仿宋"/>
          <w:color w:val="auto"/>
          <w:kern w:val="0"/>
          <w:sz w:val="20"/>
          <w:szCs w:val="20"/>
          <w:highlight w:val="none"/>
          <w:lang w:val="en-US" w:eastAsia="zh-CN" w:bidi="ar-SA"/>
        </w:rPr>
        <w:t>日发放取暖费</w:t>
      </w:r>
      <w:r>
        <w:rPr>
          <w:rFonts w:hint="eastAsia" w:ascii="仿宋" w:hAnsi="仿宋" w:eastAsia="仿宋" w:cs="仿宋"/>
          <w:b w:val="0"/>
          <w:color w:val="auto"/>
          <w:kern w:val="2"/>
          <w:sz w:val="20"/>
          <w:szCs w:val="20"/>
          <w:highlight w:val="none"/>
          <w:lang w:val="en-US" w:eastAsia="zh-CN" w:bidi="ar-SA"/>
        </w:rPr>
        <w:t>900</w:t>
      </w:r>
      <w:r>
        <w:rPr>
          <w:rFonts w:hint="eastAsia" w:ascii="仿宋" w:hAnsi="仿宋" w:eastAsia="仿宋" w:cs="仿宋"/>
          <w:color w:val="auto"/>
          <w:kern w:val="0"/>
          <w:sz w:val="20"/>
          <w:szCs w:val="20"/>
          <w:highlight w:val="none"/>
          <w:lang w:val="en-US" w:eastAsia="zh-CN" w:bidi="ar-SA"/>
        </w:rPr>
        <w:t>元/人/年。</w:t>
      </w:r>
    </w:p>
    <w:p>
      <w:pPr>
        <w:keepNext w:val="0"/>
        <w:keepLines w:val="0"/>
        <w:pageBreakBefore w:val="0"/>
        <w:kinsoku/>
        <w:wordWrap/>
        <w:overflowPunct/>
        <w:topLinePunct w:val="0"/>
        <w:autoSpaceDE/>
        <w:autoSpaceDN/>
        <w:bidi w:val="0"/>
        <w:adjustRightInd/>
        <w:spacing w:line="360" w:lineRule="auto"/>
        <w:ind w:firstLine="420" w:firstLineChars="0"/>
        <w:textAlignment w:val="auto"/>
        <w:outlineLvl w:val="9"/>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bidi="ar-SA"/>
        </w:rPr>
        <w:t>（二）公厕管理项目总费用</w:t>
      </w:r>
      <w:r>
        <w:rPr>
          <w:rFonts w:hint="eastAsia" w:ascii="仿宋" w:hAnsi="仿宋" w:eastAsia="仿宋" w:cs="仿宋"/>
          <w:color w:val="auto"/>
          <w:kern w:val="0"/>
          <w:sz w:val="20"/>
          <w:szCs w:val="20"/>
          <w:highlight w:val="none"/>
          <w:u w:val="single"/>
          <w:lang w:val="en-US" w:eastAsia="zh-CN" w:bidi="ar-SA"/>
        </w:rPr>
        <w:t xml:space="preserve">        </w:t>
      </w:r>
      <w:r>
        <w:rPr>
          <w:rFonts w:hint="eastAsia" w:ascii="仿宋" w:hAnsi="仿宋" w:eastAsia="仿宋" w:cs="仿宋"/>
          <w:color w:val="auto"/>
          <w:kern w:val="0"/>
          <w:sz w:val="20"/>
          <w:szCs w:val="20"/>
          <w:highlight w:val="none"/>
          <w:lang w:val="en-US" w:eastAsia="zh-CN" w:bidi="ar-SA"/>
        </w:rPr>
        <w:t>元/年，养护单价限价</w:t>
      </w:r>
      <w:r>
        <w:rPr>
          <w:rFonts w:hint="eastAsia" w:ascii="仿宋" w:hAnsi="仿宋" w:eastAsia="仿宋" w:cs="仿宋"/>
          <w:color w:val="auto"/>
          <w:kern w:val="0"/>
          <w:sz w:val="20"/>
          <w:szCs w:val="20"/>
          <w:highlight w:val="none"/>
          <w:u w:val="single"/>
          <w:lang w:val="en-US" w:eastAsia="zh-CN" w:bidi="ar-SA"/>
        </w:rPr>
        <w:t xml:space="preserve">     </w:t>
      </w:r>
      <w:r>
        <w:rPr>
          <w:rFonts w:hint="eastAsia" w:ascii="仿宋" w:hAnsi="仿宋" w:eastAsia="仿宋" w:cs="仿宋"/>
          <w:color w:val="auto"/>
          <w:kern w:val="0"/>
          <w:sz w:val="20"/>
          <w:szCs w:val="20"/>
          <w:highlight w:val="none"/>
          <w:lang w:val="en-US" w:eastAsia="zh-CN" w:bidi="ar-SA"/>
        </w:rPr>
        <w:t>元/座/年。</w:t>
      </w:r>
    </w:p>
    <w:p>
      <w:pPr>
        <w:keepNext w:val="0"/>
        <w:keepLines w:val="0"/>
        <w:pageBreakBefore w:val="0"/>
        <w:kinsoku/>
        <w:wordWrap/>
        <w:overflowPunct/>
        <w:topLinePunct w:val="0"/>
        <w:autoSpaceDE/>
        <w:autoSpaceDN/>
        <w:bidi w:val="0"/>
        <w:adjustRightInd/>
        <w:spacing w:line="360" w:lineRule="auto"/>
        <w:ind w:firstLine="420" w:firstLineChars="0"/>
        <w:textAlignment w:val="auto"/>
        <w:outlineLvl w:val="9"/>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bidi="ar-SA"/>
        </w:rPr>
        <w:t>[费用包含：公厕</w:t>
      </w:r>
      <w:r>
        <w:rPr>
          <w:rFonts w:hint="eastAsia" w:ascii="仿宋" w:hAnsi="仿宋" w:eastAsia="仿宋" w:cs="仿宋"/>
          <w:b w:val="0"/>
          <w:color w:val="auto"/>
          <w:kern w:val="2"/>
          <w:sz w:val="20"/>
          <w:szCs w:val="20"/>
          <w:highlight w:val="none"/>
          <w:lang w:val="en-US" w:eastAsia="zh-CN" w:bidi="ar-SA"/>
        </w:rPr>
        <w:t>63</w:t>
      </w:r>
      <w:r>
        <w:rPr>
          <w:rFonts w:hint="eastAsia" w:ascii="仿宋" w:hAnsi="仿宋" w:eastAsia="仿宋" w:cs="仿宋"/>
          <w:color w:val="auto"/>
          <w:kern w:val="0"/>
          <w:sz w:val="20"/>
          <w:szCs w:val="20"/>
          <w:highlight w:val="none"/>
          <w:lang w:val="en-US" w:eastAsia="zh-CN" w:bidi="ar-SA"/>
        </w:rPr>
        <w:t>座，公厕管理员</w:t>
      </w:r>
      <w:r>
        <w:rPr>
          <w:rFonts w:hint="eastAsia" w:ascii="仿宋" w:hAnsi="仿宋" w:eastAsia="仿宋" w:cs="仿宋"/>
          <w:b w:val="0"/>
          <w:color w:val="auto"/>
          <w:kern w:val="2"/>
          <w:sz w:val="20"/>
          <w:szCs w:val="20"/>
          <w:highlight w:val="none"/>
          <w:lang w:val="en-US" w:eastAsia="zh-CN" w:bidi="ar-SA"/>
        </w:rPr>
        <w:t>63</w:t>
      </w:r>
      <w:r>
        <w:rPr>
          <w:rFonts w:hint="eastAsia" w:ascii="仿宋" w:hAnsi="仿宋" w:eastAsia="仿宋" w:cs="仿宋"/>
          <w:color w:val="auto"/>
          <w:kern w:val="0"/>
          <w:sz w:val="20"/>
          <w:szCs w:val="20"/>
          <w:highlight w:val="none"/>
          <w:lang w:val="en-US" w:eastAsia="zh-CN" w:bidi="ar-SA"/>
        </w:rPr>
        <w:t>人（包含工资、社会劳动保险、人身意外保险、劳保福利、周末法定节假日费用、夏季降温费及高温补助费、冬季取暖及补助费）、劳动工器具及劳动保障购置相关各项费用、公厕开放相关水电费缴纳（含灯箱使用等）、开放相关使用消耗品购买（洗手液、厕纸等）、小型维修（漏水、堵塞、门窗、顶棚、地面、墙壁、隔断板、大便池、小便池、各类洁器具、排风、灭蝇等设施设备损坏）、大型维修（水路、电路、供水、下水、供电、线缆维修更换）、常用设施养护等]</w:t>
      </w:r>
    </w:p>
    <w:p>
      <w:pPr>
        <w:keepNext w:val="0"/>
        <w:keepLines w:val="0"/>
        <w:pageBreakBefore w:val="0"/>
        <w:kinsoku/>
        <w:wordWrap/>
        <w:overflowPunct/>
        <w:topLinePunct w:val="0"/>
        <w:autoSpaceDE/>
        <w:autoSpaceDN/>
        <w:bidi w:val="0"/>
        <w:adjustRightInd/>
        <w:spacing w:line="360" w:lineRule="auto"/>
        <w:ind w:firstLine="420" w:firstLineChars="0"/>
        <w:textAlignment w:val="auto"/>
        <w:outlineLvl w:val="9"/>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bidi="ar-SA"/>
        </w:rPr>
        <w:t>（三）绿化养护总费用</w:t>
      </w:r>
      <w:r>
        <w:rPr>
          <w:rFonts w:hint="eastAsia" w:ascii="仿宋" w:hAnsi="仿宋" w:eastAsia="仿宋" w:cs="仿宋"/>
          <w:color w:val="auto"/>
          <w:kern w:val="0"/>
          <w:sz w:val="20"/>
          <w:szCs w:val="20"/>
          <w:highlight w:val="none"/>
          <w:u w:val="single"/>
          <w:lang w:val="en-US" w:eastAsia="zh-CN" w:bidi="ar-SA"/>
        </w:rPr>
        <w:t xml:space="preserve">     </w:t>
      </w:r>
      <w:r>
        <w:rPr>
          <w:rFonts w:hint="eastAsia" w:ascii="仿宋" w:hAnsi="仿宋" w:eastAsia="仿宋" w:cs="仿宋"/>
          <w:color w:val="auto"/>
          <w:kern w:val="0"/>
          <w:sz w:val="20"/>
          <w:szCs w:val="20"/>
          <w:highlight w:val="none"/>
          <w:lang w:val="en-US" w:eastAsia="zh-CN" w:bidi="ar-SA"/>
        </w:rPr>
        <w:t>元/年，其中：一级道路绿化养护</w:t>
      </w:r>
      <w:r>
        <w:rPr>
          <w:rFonts w:hint="eastAsia" w:ascii="仿宋" w:hAnsi="仿宋" w:eastAsia="仿宋" w:cs="仿宋"/>
          <w:color w:val="auto"/>
          <w:kern w:val="0"/>
          <w:sz w:val="20"/>
          <w:szCs w:val="20"/>
          <w:highlight w:val="none"/>
          <w:u w:val="single"/>
          <w:lang w:val="en-US" w:eastAsia="zh-CN" w:bidi="ar-SA"/>
        </w:rPr>
        <w:t xml:space="preserve">      </w:t>
      </w:r>
      <w:r>
        <w:rPr>
          <w:rFonts w:hint="eastAsia" w:ascii="仿宋" w:hAnsi="仿宋" w:eastAsia="仿宋" w:cs="仿宋"/>
          <w:color w:val="auto"/>
          <w:kern w:val="0"/>
          <w:sz w:val="20"/>
          <w:szCs w:val="20"/>
          <w:highlight w:val="none"/>
          <w:lang w:val="en-US" w:eastAsia="zh-CN" w:bidi="ar-SA"/>
        </w:rPr>
        <w:t>元/年，即</w:t>
      </w:r>
      <w:r>
        <w:rPr>
          <w:rFonts w:hint="eastAsia" w:ascii="仿宋" w:hAnsi="仿宋" w:eastAsia="仿宋" w:cs="仿宋"/>
          <w:color w:val="auto"/>
          <w:kern w:val="0"/>
          <w:sz w:val="20"/>
          <w:szCs w:val="20"/>
          <w:highlight w:val="none"/>
          <w:u w:val="single"/>
          <w:lang w:val="en-US" w:eastAsia="zh-CN" w:bidi="ar-SA"/>
        </w:rPr>
        <w:t xml:space="preserve">      </w:t>
      </w:r>
      <w:r>
        <w:rPr>
          <w:rFonts w:hint="eastAsia" w:ascii="仿宋" w:hAnsi="仿宋" w:eastAsia="仿宋" w:cs="仿宋"/>
          <w:color w:val="auto"/>
          <w:kern w:val="0"/>
          <w:sz w:val="20"/>
          <w:szCs w:val="20"/>
          <w:highlight w:val="none"/>
          <w:lang w:val="en-US" w:eastAsia="zh-CN" w:bidi="ar-SA"/>
        </w:rPr>
        <w:t>元/㎡/年；二级道路绿化养护</w:t>
      </w:r>
      <w:r>
        <w:rPr>
          <w:rFonts w:hint="eastAsia" w:ascii="仿宋" w:hAnsi="仿宋" w:eastAsia="仿宋" w:cs="仿宋"/>
          <w:color w:val="auto"/>
          <w:kern w:val="0"/>
          <w:sz w:val="20"/>
          <w:szCs w:val="20"/>
          <w:highlight w:val="none"/>
          <w:u w:val="single"/>
          <w:lang w:val="en-US" w:eastAsia="zh-CN" w:bidi="ar-SA"/>
        </w:rPr>
        <w:t xml:space="preserve">        </w:t>
      </w:r>
      <w:r>
        <w:rPr>
          <w:rFonts w:hint="eastAsia" w:ascii="仿宋" w:hAnsi="仿宋" w:eastAsia="仿宋" w:cs="仿宋"/>
          <w:color w:val="auto"/>
          <w:kern w:val="0"/>
          <w:sz w:val="20"/>
          <w:szCs w:val="20"/>
          <w:highlight w:val="none"/>
          <w:lang w:val="en-US" w:eastAsia="zh-CN" w:bidi="ar-SA"/>
        </w:rPr>
        <w:t>元/年，即</w:t>
      </w:r>
      <w:r>
        <w:rPr>
          <w:rFonts w:hint="eastAsia" w:ascii="仿宋" w:hAnsi="仿宋" w:eastAsia="仿宋" w:cs="仿宋"/>
          <w:color w:val="auto"/>
          <w:kern w:val="0"/>
          <w:sz w:val="20"/>
          <w:szCs w:val="20"/>
          <w:highlight w:val="none"/>
          <w:u w:val="single"/>
          <w:lang w:val="en-US" w:eastAsia="zh-CN" w:bidi="ar-SA"/>
        </w:rPr>
        <w:t xml:space="preserve">        </w:t>
      </w:r>
      <w:r>
        <w:rPr>
          <w:rFonts w:hint="eastAsia" w:ascii="仿宋" w:hAnsi="仿宋" w:eastAsia="仿宋" w:cs="仿宋"/>
          <w:color w:val="auto"/>
          <w:kern w:val="0"/>
          <w:sz w:val="20"/>
          <w:szCs w:val="20"/>
          <w:highlight w:val="none"/>
          <w:lang w:val="en-US" w:eastAsia="zh-CN" w:bidi="ar-SA"/>
        </w:rPr>
        <w:t>元/㎡/年。</w:t>
      </w:r>
    </w:p>
    <w:p>
      <w:pPr>
        <w:keepNext w:val="0"/>
        <w:keepLines w:val="0"/>
        <w:pageBreakBefore w:val="0"/>
        <w:kinsoku/>
        <w:wordWrap/>
        <w:overflowPunct/>
        <w:topLinePunct w:val="0"/>
        <w:autoSpaceDE/>
        <w:autoSpaceDN/>
        <w:bidi w:val="0"/>
        <w:adjustRightInd/>
        <w:spacing w:line="360" w:lineRule="auto"/>
        <w:ind w:firstLine="420" w:firstLineChars="0"/>
        <w:textAlignment w:val="auto"/>
        <w:outlineLvl w:val="9"/>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bidi="ar-SA"/>
        </w:rPr>
        <w:t>（包含：绿化养护人员工资、周末及法定节假日加班费、夏季高温取降温费、冬季取暖费、社会劳动保险、人身意外保险、劳保费、置装费、劳动工器具购置费用、绿化用水费、车辆及机械油料费、设施设备养护维修费、农药化肥养护用品费、绿化垃圾清运费、树木保险）。</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val="0"/>
          <w:color w:val="auto"/>
          <w:kern w:val="2"/>
          <w:sz w:val="20"/>
          <w:szCs w:val="20"/>
          <w:highlight w:val="none"/>
          <w:lang w:val="en-US" w:eastAsia="zh-CN" w:bidi="ar-SA"/>
        </w:rPr>
      </w:pPr>
      <w:r>
        <w:rPr>
          <w:rFonts w:hint="eastAsia" w:ascii="仿宋" w:hAnsi="仿宋" w:eastAsia="仿宋" w:cs="仿宋"/>
          <w:b/>
          <w:bCs/>
          <w:color w:val="auto"/>
          <w:kern w:val="2"/>
          <w:sz w:val="20"/>
          <w:szCs w:val="20"/>
          <w:highlight w:val="none"/>
          <w:lang w:val="en-US" w:eastAsia="zh-CN" w:bidi="ar-SA"/>
        </w:rPr>
        <w:t>四、</w:t>
      </w:r>
      <w:r>
        <w:rPr>
          <w:rFonts w:hint="eastAsia" w:ascii="仿宋" w:hAnsi="仿宋" w:eastAsia="仿宋" w:cs="仿宋"/>
          <w:b/>
          <w:bCs w:val="0"/>
          <w:color w:val="auto"/>
          <w:kern w:val="2"/>
          <w:sz w:val="20"/>
          <w:szCs w:val="20"/>
          <w:highlight w:val="none"/>
          <w:lang w:val="en-US" w:eastAsia="zh-CN" w:bidi="ar-SA"/>
        </w:rPr>
        <w:t>主要指标要求</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b w:val="0"/>
          <w:color w:val="auto"/>
          <w:kern w:val="2"/>
          <w:sz w:val="20"/>
          <w:szCs w:val="20"/>
          <w:highlight w:val="none"/>
          <w:lang w:val="en-US" w:eastAsia="zh-CN" w:bidi="ar-SA"/>
        </w:rPr>
      </w:pPr>
      <w:r>
        <w:rPr>
          <w:rFonts w:hint="eastAsia" w:ascii="仿宋" w:hAnsi="仿宋" w:eastAsia="仿宋" w:cs="仿宋"/>
          <w:b w:val="0"/>
          <w:color w:val="auto"/>
          <w:kern w:val="2"/>
          <w:sz w:val="20"/>
          <w:szCs w:val="20"/>
          <w:highlight w:val="none"/>
          <w:lang w:val="en-US" w:eastAsia="zh-CN" w:bidi="ar-SA"/>
        </w:rPr>
        <w:t>1、承包区域核定清扫保洁员252人，清扫保洁车辆驾驶员65人，公厕管理员63人，农村以及建城区各垃圾点位生活垃圾清运车辆驾驶员7人，垃圾装卸工14人。</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b w:val="0"/>
          <w:color w:val="auto"/>
          <w:kern w:val="2"/>
          <w:sz w:val="20"/>
          <w:szCs w:val="20"/>
          <w:highlight w:val="none"/>
          <w:lang w:val="en-US" w:eastAsia="zh-CN" w:bidi="ar-SA"/>
        </w:rPr>
      </w:pPr>
      <w:r>
        <w:rPr>
          <w:rFonts w:hint="eastAsia" w:ascii="仿宋" w:hAnsi="仿宋" w:eastAsia="仿宋" w:cs="仿宋"/>
          <w:b w:val="0"/>
          <w:color w:val="auto"/>
          <w:kern w:val="2"/>
          <w:sz w:val="20"/>
          <w:szCs w:val="20"/>
          <w:highlight w:val="none"/>
          <w:lang w:val="en-US" w:eastAsia="zh-CN" w:bidi="ar-SA"/>
        </w:rPr>
        <w:t>2、承包区域核定绿化工70人、绿化处理驾驶员6人、绿化技术员5人、安全员2人、区域负责人2人。</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b w:val="0"/>
          <w:color w:val="auto"/>
          <w:kern w:val="2"/>
          <w:sz w:val="20"/>
          <w:szCs w:val="20"/>
          <w:highlight w:val="none"/>
          <w:lang w:val="en-US" w:eastAsia="zh-CN" w:bidi="ar-SA"/>
        </w:rPr>
      </w:pPr>
      <w:r>
        <w:rPr>
          <w:rFonts w:hint="eastAsia" w:ascii="仿宋" w:hAnsi="仿宋" w:eastAsia="仿宋" w:cs="仿宋"/>
          <w:b w:val="0"/>
          <w:color w:val="auto"/>
          <w:kern w:val="2"/>
          <w:sz w:val="20"/>
          <w:szCs w:val="20"/>
          <w:highlight w:val="none"/>
          <w:lang w:val="en-US" w:eastAsia="zh-CN" w:bidi="ar-SA"/>
        </w:rPr>
        <w:t>3、乙方需提供市容环卫大中型清扫保洁作业车辆30辆（其中清洗车辆19辆，洗扫车辆11辆），垃圾车辆7辆，除雪车辆4辆，手扶除雪车30辆。</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b w:val="0"/>
          <w:color w:val="auto"/>
          <w:kern w:val="2"/>
          <w:sz w:val="20"/>
          <w:szCs w:val="20"/>
          <w:highlight w:val="none"/>
          <w:lang w:val="en-US" w:eastAsia="zh-CN" w:bidi="ar-SA"/>
        </w:rPr>
      </w:pPr>
      <w:r>
        <w:rPr>
          <w:rFonts w:hint="eastAsia" w:ascii="仿宋" w:hAnsi="仿宋" w:eastAsia="仿宋" w:cs="仿宋"/>
          <w:b w:val="0"/>
          <w:color w:val="auto"/>
          <w:kern w:val="2"/>
          <w:sz w:val="20"/>
          <w:szCs w:val="20"/>
          <w:highlight w:val="none"/>
          <w:lang w:val="en-US" w:eastAsia="zh-CN" w:bidi="ar-SA"/>
        </w:rPr>
        <w:t>4、提供不少于10人的专职管理团队，自备所有车辆的停放场地，维修场所，人员办公场所，管理所需车辆、项目运行所必备的仓库及常用物资储备等。</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b w:val="0"/>
          <w:color w:val="auto"/>
          <w:kern w:val="2"/>
          <w:sz w:val="20"/>
          <w:szCs w:val="20"/>
          <w:highlight w:val="none"/>
          <w:lang w:val="en-US" w:eastAsia="zh-CN" w:bidi="ar-SA"/>
        </w:rPr>
      </w:pPr>
      <w:r>
        <w:rPr>
          <w:rFonts w:hint="eastAsia" w:ascii="仿宋" w:hAnsi="仿宋" w:eastAsia="仿宋" w:cs="仿宋"/>
          <w:b w:val="0"/>
          <w:color w:val="auto"/>
          <w:kern w:val="2"/>
          <w:sz w:val="20"/>
          <w:szCs w:val="20"/>
          <w:highlight w:val="none"/>
          <w:lang w:val="en-US" w:eastAsia="zh-CN" w:bidi="ar-SA"/>
        </w:rPr>
        <w:t>5、本次采购预分1个标进行：清扫保洁面积为4535950.554平方米；公厕63座；农村以及建城区各垃圾点位生活垃圾清运；绿化养护面积总计1345218.6㎡，其中一级道路151957.12㎡，二级道路1193261.48㎡，清扫保洁明细及公厕养护明细祥见附件2、附件3、附件4。</w:t>
      </w:r>
    </w:p>
    <w:p>
      <w:pPr>
        <w:keepNext w:val="0"/>
        <w:keepLines w:val="0"/>
        <w:pageBreakBefore w:val="0"/>
        <w:kinsoku/>
        <w:wordWrap/>
        <w:overflowPunct/>
        <w:topLinePunct w:val="0"/>
        <w:autoSpaceDE/>
        <w:autoSpaceDN/>
        <w:bidi w:val="0"/>
        <w:adjustRightInd/>
        <w:spacing w:line="360" w:lineRule="auto"/>
        <w:textAlignment w:val="auto"/>
        <w:outlineLvl w:val="9"/>
        <w:rPr>
          <w:rFonts w:hint="eastAsia" w:ascii="仿宋" w:hAnsi="仿宋" w:eastAsia="仿宋" w:cs="仿宋"/>
          <w:b/>
          <w:bCs/>
          <w:color w:val="auto"/>
          <w:kern w:val="2"/>
          <w:sz w:val="20"/>
          <w:szCs w:val="20"/>
          <w:highlight w:val="none"/>
          <w:lang w:val="en-US" w:eastAsia="zh-CN" w:bidi="ar-SA"/>
        </w:rPr>
      </w:pPr>
      <w:r>
        <w:rPr>
          <w:rFonts w:hint="eastAsia" w:ascii="仿宋" w:hAnsi="仿宋" w:eastAsia="仿宋" w:cs="仿宋"/>
          <w:b/>
          <w:bCs/>
          <w:color w:val="auto"/>
          <w:kern w:val="2"/>
          <w:sz w:val="20"/>
          <w:szCs w:val="20"/>
          <w:highlight w:val="none"/>
          <w:lang w:val="en-US" w:eastAsia="zh-CN" w:bidi="ar-SA"/>
        </w:rPr>
        <w:t>五、市容作业要求：</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1.承包区域内所有市政道路红线内（含人行道、快慢行车道、绿化带等）的清扫、保洁、洒水、冲洗工作。</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2.承包区域内所有市政道路红线内清扫保洁产生的垃圾及甲方指定的各生活垃圾收集点生活垃圾清运（无主大件垃圾、杂物、建筑垃圾除外）。</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3.承包区域可视范围内的道路隔车带、公共绿地、树坑的环卫保洁、垃圾收集及野广告清理工作。</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4.承包区域内果皮箱、保洁工具箱、灭烟柱的保洁清洗及周边垃圾收集，道路可视范围内零星散落生活垃圾的收集，路牌、灯杆等市政设施的保洁、野广告清除等工作。</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5.区域内冬季清雪除冰及后续清运处理工作。</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6.清除因不可抗力造成的垃圾抛洒、暴雨洪水造成的积水垃圾等（包括交通事故）。</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7.区域内63座公共卫生间的管理工作，包含看护、保洁、小型维修养护、清污、水电费缴纳。</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8.数字化城管等相关投诉的处理。</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9.贯彻落实高新区“公厕管理”“精细化管理和大气污染”等工作的相关要求。</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10、承包区域内浇水、施肥、修剪、整形、除杂草、苗木补植、病虫害防治、病媒防治、松土、高台土清理（按照规定落土低于道牙10cm）、绿地植物冲洗、绿地清掏（清掏符合治污减霾要求）、绿化养护作业产生的垃圾清理。</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11.承包区域内公共设施的维护与保养。</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12、数字化城管、路长制相关工作、河长制相关工作、治污减霾相关工作、病媒防治工作，数字化投诉、12345市民热线投诉的处理等。</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13.采取相应养护措施维护现有绿化苗木长势良好，并保障区域内道路绿化区域不出现缺株断垄、死苗留置、黄土裸露等现象。</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14.冬季清除积雪积冰工作，夏季抗旱防汛工作，冬季落叶清掏、落土、修剪、冬灌工作。</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15.清除整理因不可抗力造成的倒树、断枝等（包括交通事故）。</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16.甲方安排的其它工作。</w:t>
      </w:r>
    </w:p>
    <w:p>
      <w:pPr>
        <w:keepNext w:val="0"/>
        <w:keepLines w:val="0"/>
        <w:pageBreakBefore w:val="0"/>
        <w:kinsoku/>
        <w:wordWrap/>
        <w:overflowPunct/>
        <w:topLinePunct w:val="0"/>
        <w:autoSpaceDE/>
        <w:autoSpaceDN/>
        <w:bidi w:val="0"/>
        <w:adjustRightInd/>
        <w:spacing w:line="360" w:lineRule="auto"/>
        <w:textAlignment w:val="auto"/>
        <w:outlineLvl w:val="9"/>
        <w:rPr>
          <w:rFonts w:hint="eastAsia" w:ascii="仿宋" w:hAnsi="仿宋" w:eastAsia="仿宋" w:cs="仿宋"/>
          <w:b/>
          <w:bCs/>
          <w:color w:val="auto"/>
          <w:kern w:val="2"/>
          <w:sz w:val="20"/>
          <w:szCs w:val="20"/>
          <w:highlight w:val="none"/>
          <w:lang w:val="en-US" w:eastAsia="zh-CN" w:bidi="ar-SA"/>
        </w:rPr>
      </w:pPr>
      <w:r>
        <w:rPr>
          <w:rFonts w:hint="eastAsia" w:ascii="仿宋" w:hAnsi="仿宋" w:eastAsia="仿宋" w:cs="仿宋"/>
          <w:b/>
          <w:bCs/>
          <w:color w:val="auto"/>
          <w:kern w:val="2"/>
          <w:sz w:val="20"/>
          <w:szCs w:val="20"/>
          <w:highlight w:val="none"/>
          <w:lang w:val="en-US" w:eastAsia="zh-CN" w:bidi="ar-SA"/>
        </w:rPr>
        <w:t>六、甲方的权利和义务</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甲方委派专门人员对乙方及服务人员的工作每日进行监督、检查和指导，对存在问题列入限时督办整改。有权向乙方要求调换不适合在甲方工作的服务人员，更换三次以上的，甲方有权解除合同，并支付更换服务人员实际工作天数的服务费。因乙方工作失职造成甲方财产损失，甲方有权要求乙方赔偿。</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2.甲方有权要求乙方服务人员遵守甲方的规章制度，并对甲方相关信息资料进行保密。</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3.甲方对乙方提出的安全问题应及时、认真研究解决，采取必要的改进和防范措施。</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4.甲方对乙方服务人员履行职责的行为予以支持、配合，尊重和保障服务人员的合法权益。</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5.甲方有权对乙方配备的服务人员进行审核，乙方如更换服务人员，应征得甲方同意后更换。</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6.甲方应按合同约定及时向乙方支付服务费用。</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7.甲方有权根据省、市上级相关规定，及时修订道路清扫保洁、公厕管理及绿化养护考核标准，按道路等级考核结算项目服务费用。</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8.甲方不预付服务费，乙方承包道路保洁、公厕管理及绿化养护劳务期间所产生的费用由乙方承担。甲方对中标单位的工作质量进行监督检查，并按照《西安高新区道路保洁质量标准及考核办法》（见附件5）《西安高新区车辆管理办法及考核细则》（见附件5）、《西安高新区“公厕管理”保洁质量标准》（见附件5）、《西安高新区绿化养护管理标准》（附件6）对乙方进行考核。</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9.如遇重大接待、卫生检查及应急预案的紧急启动，甲方有权调用车辆，并监督乙方对甲方资产的使用情况。</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10.甲方为提升高新区市容环境整体形象，有权要求乙方以统一标准自行采购保洁工人，绿化养护工人及其他人员的工作服装（含：春秋两套、夏季两套、冬季防寒服（棉大衣）一套、雨衣一套、反光背心、红袖章），根据承包单位核定人数制作，由承包方承担费用，在签订承包合同前配置完毕，甲方采取不定期方式进行监督考核。</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11.核定因市政施工、交通事故及不可抗力造成的环卫设施设备、绿化苗木及园林小品、园林设施设备的损失并予以补充。</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12.乙方连续三次以上对督办整改问题不予执行或执行不力，且警告无效者，甲方有权终止本合同。</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13.甲方有权对本合同涉及附件根据实际情况变化进行补充修订。</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14.为乙方提供《西安高新区道路保洁质量标准》《西安高新区市容环境道路清扫保洁应急预案》《西安高新区绿化养护管理标准》等技术管理文件，提供专业技术支持。</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15.甲方对设施设备的使用有权监督，以保证按规定操作，乙方没有按照要求操作的，甲方有权书面通知乙方限其改正，并根据考核结果按照具体情形每次扣除当月保洁费用的1%—5%.</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16.审核乙方上报的管理方案、应急方案、安全文明管理办法等规章制度是否合理可行，提供技术指导和修改意见。</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17.甲方有权对乙方环卫、绿化工人的工资、福利、保险、工具的发放和配备进行监督和检查。</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18.甲方根据实际情况可以分派乙方临时任务，乙方应按照甲方的要求保质保量完成工作。</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19.甲方对乙方的工作质量进行监督检查，并按照相关附件要求对乙方进行考核。</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20.甲方绿化部管理人员指导核实乙方的养护管理措施，每日监督检查绿化养护质量，对存在问题列入督办整改。</w:t>
      </w:r>
    </w:p>
    <w:p>
      <w:pPr>
        <w:keepNext w:val="0"/>
        <w:keepLines w:val="0"/>
        <w:pageBreakBefore w:val="0"/>
        <w:kinsoku/>
        <w:wordWrap/>
        <w:overflowPunct/>
        <w:topLinePunct w:val="0"/>
        <w:autoSpaceDE/>
        <w:autoSpaceDN/>
        <w:bidi w:val="0"/>
        <w:adjustRightInd/>
        <w:spacing w:line="360" w:lineRule="auto"/>
        <w:textAlignment w:val="auto"/>
        <w:outlineLvl w:val="9"/>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七、乙方的权利和义务</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乙方应按合同配备足额服务人员，负责合同范围内的城市道路保洁、公厕管理及绿化养护工作，确保细柳街道办事处2026年城市道路保洁、公厕管理及绿化养护项目的安全稳定，保证文明、高效的履行服务职责，负责对乙方服务人员的教育、培训和管理以及人员调整和休假安排。乙方应在服务人员中确定一名项目负责人，项目负责人负责与甲方的联系沟通。</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乙方项目负责人：</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lang w:val="en-US" w:eastAsia="zh-CN"/>
        </w:rPr>
        <w:tab/>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val="en-US" w:eastAsia="zh-CN"/>
        </w:rPr>
        <w:t>联系电话：</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lang w:val="en-US" w:eastAsia="zh-CN"/>
        </w:rPr>
        <w:tab/>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2、乙方在签订承包合同前须自行购买足够数量的新型高效机械作业设备。以上资产的所有权为乙方所有，日常产生的更换、维修、人员费用由乙方承担。</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3、乙方可以决定公司的机构设置、人事任免和专业技术人员的聘任，依照有关规定奖惩、招用职工和辞退违纪职工。</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4、制定内部分配制度，在符合法律规定的范围内自选工资形式，自定工资标准且不得低于所在市和管辖区规定最低标准。</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5、未经甲方同意，乙方不得擅自变更本保洁、公厕、绿化在投标文件中认定的承包范围。</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6、乙方对签订合同区域必须自行保洁养护，不得转让、拆分、改变；如出现转让、拆分等情况，甲方有权立即终止承包合同。</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7、为确保保洁质量，乙方应组织一支技术骨干队伍，建立严格的质量管理体系，操作规范，成效突出。</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8、负责对保洁工人、公厕管理员及绿化养护人员进行安全教育，岗前培训，提供安全作业的切实措施，并承担相应的安全责任及费用。</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9、服从甲方制定的保洁、绿化管理标准和考核评分办法等相关规定。</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10、配合甲方完成高新区重大检查审核工作。</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11、合法从事承包经营，响应政策号召及西安市和高新区相关领导部门的管理规定。</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12、建立体系齐全的内部管理机制体制及管理架构，报甲方审核后严格执行，保障高水平管理效能。</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13、制定切实可行的管理方案、应急方案、安全文明管理办法等规章制度，报甲方审核后严格执行。</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14、制定符合实际工作需要、科学合理可行的清扫保洁、绿化养护方案，设置管理及清扫保洁、绿化养护网格，人员配置明确，报甲方审核后严格执行。</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15、乙方应加强对保洁人员、绿化人员的管理，一切劳资纠纷隐患，必须主动积极协调处理，不得推诿，绝不允许发生员工上访事件。</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16、承担所属公司员工的工资(不低于西安市城市管理局规定的最低工资)及与承包经营直接相关的成本费用。</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17、必须依照国家有关规定，按期如数缴纳应缴纳各种税费和统筹基金。</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18、制定具体规章制度，实施合理措施，定期组织员工、专业司机学习业务、安全知识和交通法规，进行业务培训、安全教育，严格要求员工安全作业操作，保证员工及国家财产的安全并形成材料定期上报甲方。</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19、乙方应严格遵守甲方规定的车辆管理制度，如甲方在考核中发现乙方在网格化作业范围外用车、用油，倒卖水、油发生，违规作业，将依据甲方车辆考核细则条款扣除乙方相应月承包费用，情节严重移送公安机关处理。</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20、乙方采取两班制进行道路保洁。日常人员出勤不得低于定编人员总数的95%,节假日人员出勤不得低于定编人员总数的80%(遇重大接待检查除外)。乙方为甲方提供保洁员工花名册及身份证明和人员分布图，遇有人员变动应及时变更。甲方根据乙方提供保洁员工花名册不定时、不定点进行人员核查。如日常人员出勤低于定编人员的95%,将按市城市管理局最新标准扣去差额百分比的人员工资费用；如节假日人员出勤低于定编人员的80%,将按市城市管理局最新标准扣去差额百分比的环卫人员双倍或三倍工资费用。</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21、乙方每日6:30前完成道路普扫工作，未完成道路普扫、道路漏扫、垃圾收集不及时和其他空挡时间出现保洁不到位情况，甲方在取证后直接给予通报问责。</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22、如遇意外情况发生，应立即保护现场、救治伤员、并拨打保险公司报案电话和报警电话，并上报甲方。</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23、作为独立法人的公司全部负责处理工作过程中的各类安全事故，并承担相应的责任和费用。</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24、享有承包收益，承担承包亏损；承担交通事故由保险公司赔偿后的差额费用。</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25、乙方必须为员工购买人身意外伤害保险。</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26、严格遵守并执行甲方的质量标准和考核办法，服从甲方对环境卫生、绿化养护质量的检查监督，切实采取有效措施保证清扫保洁、绿化养护质量符合甲方考核标准。</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27、按期完成本合同规定的工作内容和各项临时任务。有义务配合甲方遇重大接待、卫生检查、及应急预案的紧急启动时车辆、人员的集中调配。</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28、备有物资仓库，生产物资需满足日常作业需求和突发事件应急需求储备；物资仓库需满足相关规定和标准，杜绝安全隐患。</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29、乙方保洁工器具须按规定存入保洁工具箱，严禁将工器具乱堆乱放。</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30、乙方不得在道路、绿化带内私自摆放垃圾桶、设置临时垃圾点，垃圾随产随清。</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31、本项目拟派项目负责人不得随意更换，乙方如需更换需经甲方同意。如甲方在合同履行过程中对项目负责人不满意，通知乙方更换后，乙方需在5日内更换。</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32、乙方配备的环卫车辆及设备以保障承包单位项目实施方案的机械化程度及清扫保洁效果。</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33、积极响应、贯彻落实高新区“公厕管理”、“精细化管理和大气污染”等工作的相关要求。</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34、乙方在日常巡检中发现问题须自行及时处理，并形成自检日报，以备甲方检查。</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35、乙方须配备三支应急队伍，每支应急队伍不少于10名精干人员，配备相应应急车辆和应急工具，处理应急事件，应急预案启动时，甲方有权调派使用，处理非本项目整改问题的相关费用另行计算，不包含在本项目承包费用中。</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36、接受甲方的管理、监督、检查和考核，对甲方发出的整改通知，应及时按甲方的要求进行整改。乙方无正当理由拒绝整改时，甲方可以另行委托他人予以整改，所发生的费用由乙方承担。</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37、为确保精细化管理水平，乙方须配备符合交通部门规定的中小型垃圾清运车辆，按照西安市生活垃圾分类“三统一”工作要求，垃圾分类设施以及宣传材料采购，分类收运承包服务范围生活垃圾，服务范围区域垃圾日产日清。</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38、乙方必须遵循安全作业和文明作业的规定，在履行本合同的过程中，采取严格的安全防范措施。对于清扫、保洁过程中发生的一切人身伤亡事故及其他损害，由乙方自行承担所有责任。</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39、乙方必须加强对所管辖区域的道路保洁、公厕管理及绿化养护工作进行日常巡视检查，及时解决处理所存在的问题，并形成管理闭环。</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40、乙方应向甲方提供保洁员花名册和网格化管理图，车辆、司机花名册、建立一车一档。乙方向甲方提供保洁人员、车辆的考核机制，遇有人员变化时应及时变更信息，并向甲方提供备案。</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41、因细柳辖区农村垃圾收集及末端处理需要，乙方需为甲方提供4辆25吨垃圾压缩车供甲方使用，4辆车的一切运行费用由甲方承担。</w:t>
      </w:r>
    </w:p>
    <w:p>
      <w:pPr>
        <w:keepNext w:val="0"/>
        <w:keepLines w:val="0"/>
        <w:pageBreakBefore w:val="0"/>
        <w:kinsoku/>
        <w:wordWrap/>
        <w:overflowPunct/>
        <w:topLinePunct w:val="0"/>
        <w:autoSpaceDE/>
        <w:autoSpaceDN/>
        <w:bidi w:val="0"/>
        <w:adjustRightInd/>
        <w:spacing w:line="360" w:lineRule="auto"/>
        <w:textAlignment w:val="auto"/>
        <w:outlineLvl w:val="9"/>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八、合同变更与终止</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1、合同期间任何一方不得随意终止合同。</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2、本合同规定的履行期限届满，合同自动终止。</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3、因双方机构撤并、职能调整等原因，确需终止合同的，双方可协商终止合同。</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4、如遇特殊情况，甲方未完成合同到期后的下一轮招标程序，则合同顺延至甲方确定新的中标单位，延期费用参照本合同执行。</w:t>
      </w:r>
    </w:p>
    <w:p>
      <w:pPr>
        <w:keepNext w:val="0"/>
        <w:keepLines w:val="0"/>
        <w:pageBreakBefore w:val="0"/>
        <w:kinsoku/>
        <w:wordWrap/>
        <w:overflowPunct/>
        <w:topLinePunct w:val="0"/>
        <w:autoSpaceDE/>
        <w:autoSpaceDN/>
        <w:bidi w:val="0"/>
        <w:adjustRightInd/>
        <w:spacing w:line="360" w:lineRule="auto"/>
        <w:textAlignment w:val="auto"/>
        <w:outlineLvl w:val="9"/>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九、争议解决</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双方本着友好合作的态度,对合同履行过程中发生的纠纷应及时协商解决，协商不成的，向乙方所在地有管辖权的人民法院诉讼解决。</w:t>
      </w:r>
    </w:p>
    <w:p>
      <w:pPr>
        <w:keepNext w:val="0"/>
        <w:keepLines w:val="0"/>
        <w:pageBreakBefore w:val="0"/>
        <w:kinsoku/>
        <w:wordWrap/>
        <w:overflowPunct/>
        <w:topLinePunct w:val="0"/>
        <w:autoSpaceDE/>
        <w:autoSpaceDN/>
        <w:bidi w:val="0"/>
        <w:adjustRightInd/>
        <w:spacing w:line="360" w:lineRule="auto"/>
        <w:textAlignment w:val="auto"/>
        <w:outlineLvl w:val="9"/>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十、监督和管理</w:t>
      </w:r>
    </w:p>
    <w:p>
      <w:pPr>
        <w:keepNext w:val="0"/>
        <w:keepLines w:val="0"/>
        <w:pageBreakBefore w:val="0"/>
        <w:kinsoku/>
        <w:wordWrap/>
        <w:overflowPunct/>
        <w:topLinePunct w:val="0"/>
        <w:autoSpaceDE/>
        <w:autoSpaceDN/>
        <w:bidi w:val="0"/>
        <w:adjustRightIn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甲乙双方均应自觉配合有关监督管理部门对合同履行情况的监督检查，如实反映情况，提供有关资料；否则，将对有关单位、当事人按照有关规定予以处罚。</w:t>
      </w:r>
    </w:p>
    <w:p>
      <w:pPr>
        <w:keepNext w:val="0"/>
        <w:keepLines w:val="0"/>
        <w:pageBreakBefore w:val="0"/>
        <w:kinsoku/>
        <w:wordWrap/>
        <w:overflowPunct/>
        <w:topLinePunct w:val="0"/>
        <w:autoSpaceDE/>
        <w:autoSpaceDN/>
        <w:bidi w:val="0"/>
        <w:adjustRightInd/>
        <w:spacing w:line="360" w:lineRule="auto"/>
        <w:textAlignment w:val="auto"/>
        <w:outlineLvl w:val="9"/>
        <w:rPr>
          <w:rFonts w:hint="eastAsia" w:ascii="仿宋" w:hAnsi="仿宋" w:eastAsia="仿宋" w:cs="仿宋"/>
          <w:b/>
          <w:bCs/>
          <w:color w:val="auto"/>
          <w:kern w:val="2"/>
          <w:sz w:val="20"/>
          <w:szCs w:val="20"/>
          <w:highlight w:val="none"/>
          <w:lang w:val="en-US" w:eastAsia="zh-CN" w:bidi="ar-SA"/>
        </w:rPr>
      </w:pPr>
      <w:r>
        <w:rPr>
          <w:rFonts w:hint="eastAsia" w:ascii="仿宋" w:hAnsi="仿宋" w:eastAsia="仿宋" w:cs="仿宋"/>
          <w:b/>
          <w:bCs/>
          <w:color w:val="auto"/>
          <w:kern w:val="2"/>
          <w:sz w:val="20"/>
          <w:szCs w:val="20"/>
          <w:highlight w:val="none"/>
          <w:lang w:val="en-US" w:eastAsia="zh-CN" w:bidi="ar-SA"/>
        </w:rPr>
        <w:t>十一、承包费用的结算依据和付款办法：</w:t>
      </w:r>
    </w:p>
    <w:p>
      <w:pPr>
        <w:keepNext w:val="0"/>
        <w:keepLines w:val="0"/>
        <w:pageBreakBefore w:val="0"/>
        <w:kinsoku/>
        <w:wordWrap/>
        <w:overflowPunct/>
        <w:topLinePunct w:val="0"/>
        <w:autoSpaceDE/>
        <w:autoSpaceDN/>
        <w:bidi w:val="0"/>
        <w:adjustRightInd/>
        <w:spacing w:line="360" w:lineRule="auto"/>
        <w:ind w:firstLine="420" w:firstLineChars="0"/>
        <w:jc w:val="left"/>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1、结算依据：道路清扫保洁、公厕管理及绿化养护的质量标准及工作程序、督办考核作为当月付款结算的依据。</w:t>
      </w:r>
    </w:p>
    <w:p>
      <w:pPr>
        <w:keepNext w:val="0"/>
        <w:keepLines w:val="0"/>
        <w:pageBreakBefore w:val="0"/>
        <w:kinsoku/>
        <w:wordWrap/>
        <w:overflowPunct/>
        <w:topLinePunct w:val="0"/>
        <w:autoSpaceDE/>
        <w:autoSpaceDN/>
        <w:bidi w:val="0"/>
        <w:adjustRightInd/>
        <w:spacing w:line="360" w:lineRule="auto"/>
        <w:ind w:firstLine="420" w:firstLineChars="0"/>
        <w:jc w:val="left"/>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2、养护费组成：</w:t>
      </w:r>
    </w:p>
    <w:p>
      <w:pPr>
        <w:keepNext w:val="0"/>
        <w:keepLines w:val="0"/>
        <w:pageBreakBefore w:val="0"/>
        <w:kinsoku/>
        <w:wordWrap/>
        <w:overflowPunct/>
        <w:topLinePunct w:val="0"/>
        <w:autoSpaceDE/>
        <w:autoSpaceDN/>
        <w:bidi w:val="0"/>
        <w:adjustRightInd/>
        <w:spacing w:line="360" w:lineRule="auto"/>
        <w:ind w:firstLine="420" w:firstLineChars="0"/>
        <w:jc w:val="left"/>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人员工资：市容环卫一线人员工资按照省市文件要求，按时足额拨付至环卫工人专用账户。人工工资需要预付的部分在上月企业服务费扣除。因人员调整导致人员工资总额变化的，可根据实际情况对专用账户实际金额进行微调。</w:t>
      </w:r>
    </w:p>
    <w:p>
      <w:pPr>
        <w:keepNext w:val="0"/>
        <w:keepLines w:val="0"/>
        <w:pageBreakBefore w:val="0"/>
        <w:kinsoku/>
        <w:wordWrap/>
        <w:overflowPunct/>
        <w:topLinePunct w:val="0"/>
        <w:autoSpaceDE/>
        <w:autoSpaceDN/>
        <w:bidi w:val="0"/>
        <w:adjustRightInd/>
        <w:spacing w:line="360" w:lineRule="auto"/>
        <w:ind w:firstLine="420" w:firstLineChars="0"/>
        <w:jc w:val="left"/>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企业服务费：(保洁单价*当月实际保洁面积-考核扣款)+(公厕维护单价*当月实际养护数量-考核扣款)+(绿化养护单价*当月实际养护面积-考核扣款)-环卫工人工资。</w:t>
      </w:r>
    </w:p>
    <w:p>
      <w:pPr>
        <w:keepNext w:val="0"/>
        <w:keepLines w:val="0"/>
        <w:pageBreakBefore w:val="0"/>
        <w:kinsoku/>
        <w:wordWrap/>
        <w:overflowPunct/>
        <w:topLinePunct w:val="0"/>
        <w:autoSpaceDE/>
        <w:autoSpaceDN/>
        <w:bidi w:val="0"/>
        <w:adjustRightInd/>
        <w:spacing w:line="360" w:lineRule="auto"/>
        <w:ind w:firstLine="420" w:firstLineChars="0"/>
        <w:jc w:val="left"/>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3、结算方式：合同款按月分人员工资和企业服务费两种类别支付，当月承包费用考核完毕后，次月办理支付手续。</w:t>
      </w:r>
    </w:p>
    <w:p>
      <w:pPr>
        <w:pStyle w:val="4"/>
        <w:keepNext w:val="0"/>
        <w:keepLines w:val="0"/>
        <w:pageBreakBefore w:val="0"/>
        <w:kinsoku/>
        <w:wordWrap/>
        <w:overflowPunct/>
        <w:topLinePunct w:val="0"/>
        <w:autoSpaceDE/>
        <w:autoSpaceDN/>
        <w:bidi w:val="0"/>
        <w:adjustRightInd/>
        <w:spacing w:line="360" w:lineRule="auto"/>
        <w:ind w:left="0" w:leftChars="0" w:firstLine="0" w:firstLineChars="0"/>
        <w:jc w:val="left"/>
        <w:textAlignment w:val="auto"/>
        <w:outlineLvl w:val="9"/>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十</w:t>
      </w:r>
      <w:r>
        <w:rPr>
          <w:rFonts w:hint="eastAsia" w:ascii="仿宋" w:hAnsi="仿宋" w:eastAsia="仿宋" w:cs="仿宋"/>
          <w:b/>
          <w:bCs/>
          <w:color w:val="auto"/>
          <w:sz w:val="20"/>
          <w:szCs w:val="20"/>
          <w:highlight w:val="none"/>
          <w:lang w:eastAsia="zh-CN"/>
        </w:rPr>
        <w:t>二</w:t>
      </w:r>
      <w:r>
        <w:rPr>
          <w:rFonts w:hint="eastAsia" w:ascii="仿宋" w:hAnsi="仿宋" w:eastAsia="仿宋" w:cs="仿宋"/>
          <w:b/>
          <w:bCs/>
          <w:color w:val="auto"/>
          <w:sz w:val="20"/>
          <w:szCs w:val="20"/>
          <w:highlight w:val="none"/>
        </w:rPr>
        <w:t>、附则</w:t>
      </w:r>
    </w:p>
    <w:p>
      <w:pPr>
        <w:pStyle w:val="4"/>
        <w:keepNext w:val="0"/>
        <w:keepLines w:val="0"/>
        <w:pageBreakBefore w:val="0"/>
        <w:kinsoku/>
        <w:wordWrap/>
        <w:overflowPunct/>
        <w:topLinePunct w:val="0"/>
        <w:autoSpaceDE/>
        <w:autoSpaceDN/>
        <w:bidi w:val="0"/>
        <w:adjustRightInd/>
        <w:spacing w:line="360" w:lineRule="auto"/>
        <w:ind w:left="0" w:leftChars="0" w:firstLine="420" w:firstLineChars="0"/>
        <w:jc w:val="left"/>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1、本次采购项目的招标文件、投标文件、中标通知书及澄清说明文件均为本合同的组成部分，甲、乙双方必须全面遵守，如有违反，应承担违约责任。</w:t>
      </w:r>
    </w:p>
    <w:p>
      <w:pPr>
        <w:pStyle w:val="4"/>
        <w:keepNext w:val="0"/>
        <w:keepLines w:val="0"/>
        <w:pageBreakBefore w:val="0"/>
        <w:kinsoku/>
        <w:wordWrap/>
        <w:overflowPunct/>
        <w:topLinePunct w:val="0"/>
        <w:autoSpaceDE/>
        <w:autoSpaceDN/>
        <w:bidi w:val="0"/>
        <w:adjustRightInd/>
        <w:spacing w:line="360" w:lineRule="auto"/>
        <w:ind w:left="0" w:leftChars="0" w:firstLine="420" w:firstLineChars="0"/>
        <w:jc w:val="left"/>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2、本合同一式捌份，甲方执肆份，乙方执肆份。</w:t>
      </w:r>
    </w:p>
    <w:p>
      <w:pPr>
        <w:pStyle w:val="4"/>
        <w:keepNext w:val="0"/>
        <w:keepLines w:val="0"/>
        <w:pageBreakBefore w:val="0"/>
        <w:kinsoku/>
        <w:wordWrap/>
        <w:overflowPunct/>
        <w:topLinePunct w:val="0"/>
        <w:autoSpaceDE/>
        <w:autoSpaceDN/>
        <w:bidi w:val="0"/>
        <w:adjustRightInd/>
        <w:spacing w:line="360" w:lineRule="auto"/>
        <w:ind w:left="0" w:leftChars="0" w:firstLine="420" w:firstLineChars="0"/>
        <w:jc w:val="left"/>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3、本合同自签字并盖章之日起生效。</w:t>
      </w:r>
    </w:p>
    <w:p>
      <w:pPr>
        <w:outlineLvl w:val="9"/>
        <w:rPr>
          <w:rFonts w:hint="eastAsia" w:ascii="仿宋" w:hAnsi="仿宋" w:eastAsia="仿宋" w:cs="仿宋"/>
          <w:color w:val="auto"/>
          <w:sz w:val="20"/>
          <w:szCs w:val="20"/>
          <w:highlight w:val="none"/>
        </w:rPr>
      </w:pPr>
    </w:p>
    <w:p>
      <w:pPr>
        <w:outlineLvl w:val="9"/>
        <w:rPr>
          <w:rFonts w:hint="eastAsia" w:ascii="仿宋" w:hAnsi="仿宋" w:eastAsia="仿宋" w:cs="仿宋"/>
          <w:color w:val="auto"/>
          <w:sz w:val="20"/>
          <w:szCs w:val="20"/>
          <w:highlight w:val="none"/>
        </w:rPr>
      </w:pPr>
    </w:p>
    <w:p>
      <w:pPr>
        <w:outlineLvl w:val="9"/>
        <w:rPr>
          <w:rFonts w:hint="eastAsia" w:ascii="仿宋" w:hAnsi="仿宋" w:eastAsia="仿宋" w:cs="仿宋"/>
          <w:color w:val="auto"/>
          <w:sz w:val="20"/>
          <w:szCs w:val="20"/>
          <w:highlight w:val="none"/>
        </w:rPr>
      </w:pPr>
    </w:p>
    <w:p>
      <w:pPr>
        <w:outlineLvl w:val="9"/>
        <w:rPr>
          <w:rFonts w:hint="eastAsia" w:ascii="仿宋" w:hAnsi="仿宋" w:eastAsia="仿宋" w:cs="仿宋"/>
          <w:color w:val="auto"/>
          <w:sz w:val="20"/>
          <w:szCs w:val="20"/>
          <w:highlight w:val="none"/>
        </w:rPr>
      </w:pPr>
    </w:p>
    <w:p>
      <w:pPr>
        <w:outlineLvl w:val="9"/>
        <w:rPr>
          <w:rFonts w:hint="eastAsia" w:ascii="仿宋" w:hAnsi="仿宋" w:eastAsia="仿宋" w:cs="仿宋"/>
          <w:color w:val="auto"/>
          <w:sz w:val="20"/>
          <w:szCs w:val="20"/>
          <w:highlight w:val="none"/>
        </w:rPr>
      </w:pPr>
    </w:p>
    <w:p>
      <w:pPr>
        <w:outlineLvl w:val="9"/>
        <w:rPr>
          <w:rFonts w:hint="eastAsia" w:ascii="仿宋" w:hAnsi="仿宋" w:eastAsia="仿宋" w:cs="仿宋"/>
          <w:color w:val="auto"/>
          <w:sz w:val="20"/>
          <w:szCs w:val="20"/>
          <w:highlight w:val="none"/>
        </w:rPr>
      </w:pPr>
    </w:p>
    <w:p>
      <w:pPr>
        <w:outlineLvl w:val="9"/>
        <w:rPr>
          <w:rFonts w:hint="eastAsia" w:ascii="仿宋" w:hAnsi="仿宋" w:eastAsia="仿宋" w:cs="仿宋"/>
          <w:color w:val="auto"/>
          <w:sz w:val="20"/>
          <w:szCs w:val="20"/>
          <w:highlight w:val="none"/>
        </w:rPr>
      </w:pPr>
    </w:p>
    <w:p>
      <w:pPr>
        <w:outlineLvl w:val="9"/>
        <w:rPr>
          <w:rFonts w:hint="eastAsia" w:ascii="仿宋" w:hAnsi="仿宋" w:eastAsia="仿宋" w:cs="仿宋"/>
          <w:color w:val="auto"/>
          <w:sz w:val="20"/>
          <w:szCs w:val="20"/>
          <w:highlight w:val="none"/>
        </w:rPr>
      </w:pPr>
    </w:p>
    <w:p>
      <w:pPr>
        <w:outlineLvl w:val="9"/>
        <w:rPr>
          <w:rFonts w:hint="eastAsia" w:ascii="仿宋" w:hAnsi="仿宋" w:eastAsia="仿宋" w:cs="仿宋"/>
          <w:color w:val="auto"/>
          <w:sz w:val="20"/>
          <w:szCs w:val="20"/>
          <w:highlight w:val="none"/>
        </w:rPr>
      </w:pPr>
    </w:p>
    <w:p>
      <w:pPr>
        <w:outlineLvl w:val="9"/>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 xml:space="preserve">甲方（盖章）：   </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乙方（盖章）：</w:t>
      </w:r>
    </w:p>
    <w:p>
      <w:pPr>
        <w:outlineLvl w:val="9"/>
        <w:rPr>
          <w:rFonts w:hint="eastAsia" w:ascii="仿宋" w:hAnsi="仿宋" w:eastAsia="仿宋" w:cs="仿宋"/>
          <w:color w:val="auto"/>
          <w:sz w:val="20"/>
          <w:szCs w:val="20"/>
          <w:highlight w:val="none"/>
        </w:rPr>
      </w:pPr>
    </w:p>
    <w:p>
      <w:pPr>
        <w:outlineLvl w:val="9"/>
        <w:rPr>
          <w:rFonts w:hint="eastAsia" w:ascii="仿宋" w:hAnsi="仿宋" w:eastAsia="仿宋" w:cs="仿宋"/>
          <w:color w:val="auto"/>
          <w:sz w:val="20"/>
          <w:szCs w:val="20"/>
          <w:highlight w:val="none"/>
        </w:rPr>
      </w:pPr>
    </w:p>
    <w:p>
      <w:pPr>
        <w:outlineLvl w:val="9"/>
        <w:rPr>
          <w:rFonts w:hint="eastAsia" w:ascii="仿宋" w:hAnsi="仿宋" w:eastAsia="仿宋" w:cs="仿宋"/>
          <w:color w:val="auto"/>
          <w:sz w:val="20"/>
          <w:szCs w:val="20"/>
          <w:highlight w:val="none"/>
        </w:rPr>
      </w:pPr>
    </w:p>
    <w:p>
      <w:pPr>
        <w:spacing w:line="360" w:lineRule="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rPr>
        <w:t>法人代表</w:t>
      </w:r>
      <w:r>
        <w:rPr>
          <w:rFonts w:hint="eastAsia" w:ascii="仿宋" w:hAnsi="仿宋" w:eastAsia="仿宋" w:cs="仿宋"/>
          <w:color w:val="auto"/>
          <w:sz w:val="20"/>
          <w:szCs w:val="20"/>
          <w:highlight w:val="none"/>
          <w:lang w:val="en-US" w:eastAsia="zh-CN"/>
        </w:rPr>
        <w:t xml:space="preserve">/授权委托人                </w:t>
      </w:r>
      <w:r>
        <w:rPr>
          <w:rFonts w:hint="eastAsia" w:ascii="仿宋" w:hAnsi="仿宋" w:eastAsia="仿宋" w:cs="仿宋"/>
          <w:color w:val="auto"/>
          <w:sz w:val="20"/>
          <w:szCs w:val="20"/>
          <w:highlight w:val="none"/>
        </w:rPr>
        <w:t>法人代表</w:t>
      </w:r>
      <w:r>
        <w:rPr>
          <w:rFonts w:hint="eastAsia" w:ascii="仿宋" w:hAnsi="仿宋" w:eastAsia="仿宋" w:cs="仿宋"/>
          <w:color w:val="auto"/>
          <w:sz w:val="20"/>
          <w:szCs w:val="20"/>
          <w:highlight w:val="none"/>
          <w:lang w:val="en-US" w:eastAsia="zh-CN"/>
        </w:rPr>
        <w:t>/授权委托人</w:t>
      </w:r>
    </w:p>
    <w:p>
      <w:pPr>
        <w:spacing w:line="360" w:lineRule="auto"/>
        <w:outlineLvl w:val="9"/>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（盖章</w:t>
      </w:r>
      <w:r>
        <w:rPr>
          <w:rFonts w:hint="eastAsia" w:ascii="仿宋" w:hAnsi="仿宋" w:eastAsia="仿宋" w:cs="仿宋"/>
          <w:color w:val="auto"/>
          <w:sz w:val="20"/>
          <w:szCs w:val="20"/>
          <w:highlight w:val="none"/>
          <w:lang w:val="en-US" w:eastAsia="zh-CN"/>
        </w:rPr>
        <w:t>/</w:t>
      </w:r>
      <w:r>
        <w:rPr>
          <w:rFonts w:hint="eastAsia" w:ascii="仿宋" w:hAnsi="仿宋" w:eastAsia="仿宋" w:cs="仿宋"/>
          <w:color w:val="auto"/>
          <w:sz w:val="20"/>
          <w:szCs w:val="20"/>
          <w:highlight w:val="none"/>
        </w:rPr>
        <w:t xml:space="preserve">签字）：   </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（盖章</w:t>
      </w:r>
      <w:r>
        <w:rPr>
          <w:rFonts w:hint="eastAsia" w:ascii="仿宋" w:hAnsi="仿宋" w:eastAsia="仿宋" w:cs="仿宋"/>
          <w:color w:val="auto"/>
          <w:sz w:val="20"/>
          <w:szCs w:val="20"/>
          <w:highlight w:val="none"/>
          <w:lang w:val="en-US" w:eastAsia="zh-CN"/>
        </w:rPr>
        <w:t>/</w:t>
      </w:r>
      <w:r>
        <w:rPr>
          <w:rFonts w:hint="eastAsia" w:ascii="仿宋" w:hAnsi="仿宋" w:eastAsia="仿宋" w:cs="仿宋"/>
          <w:color w:val="auto"/>
          <w:sz w:val="20"/>
          <w:szCs w:val="20"/>
          <w:highlight w:val="none"/>
        </w:rPr>
        <w:t>签字）：</w:t>
      </w:r>
    </w:p>
    <w:p>
      <w:pPr>
        <w:outlineLvl w:val="9"/>
        <w:rPr>
          <w:rFonts w:hint="eastAsia" w:ascii="仿宋" w:hAnsi="仿宋" w:eastAsia="仿宋" w:cs="仿宋"/>
          <w:color w:val="auto"/>
          <w:sz w:val="20"/>
          <w:szCs w:val="20"/>
          <w:highlight w:val="none"/>
          <w:lang w:val="en-US" w:eastAsia="zh-CN"/>
        </w:rPr>
      </w:pPr>
    </w:p>
    <w:p>
      <w:pPr>
        <w:outlineLvl w:val="9"/>
        <w:rPr>
          <w:rFonts w:hint="eastAsia" w:ascii="仿宋" w:hAnsi="仿宋" w:eastAsia="仿宋" w:cs="仿宋"/>
          <w:color w:val="auto"/>
          <w:sz w:val="20"/>
          <w:szCs w:val="20"/>
          <w:highlight w:val="none"/>
        </w:rPr>
      </w:pPr>
    </w:p>
    <w:p>
      <w:pPr>
        <w:outlineLvl w:val="9"/>
        <w:rPr>
          <w:rFonts w:hint="eastAsia" w:ascii="仿宋" w:hAnsi="仿宋" w:eastAsia="仿宋" w:cs="仿宋"/>
          <w:color w:val="auto"/>
          <w:sz w:val="20"/>
          <w:szCs w:val="20"/>
          <w:highlight w:val="none"/>
        </w:rPr>
      </w:pPr>
    </w:p>
    <w:p>
      <w:pPr>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联系电话：</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联系电话：</w:t>
      </w:r>
    </w:p>
    <w:p>
      <w:pPr>
        <w:pStyle w:val="6"/>
        <w:ind w:firstLine="800" w:firstLineChars="400"/>
        <w:jc w:val="both"/>
        <w:outlineLvl w:val="9"/>
        <w:rPr>
          <w:rFonts w:hint="eastAsia" w:ascii="仿宋" w:hAnsi="仿宋" w:eastAsia="仿宋" w:cs="仿宋"/>
          <w:color w:val="auto"/>
          <w:sz w:val="20"/>
          <w:szCs w:val="20"/>
          <w:highlight w:val="none"/>
        </w:rPr>
      </w:pPr>
    </w:p>
    <w:p>
      <w:pPr>
        <w:pStyle w:val="4"/>
        <w:keepNext w:val="0"/>
        <w:keepLines w:val="0"/>
        <w:pageBreakBefore w:val="0"/>
        <w:kinsoku/>
        <w:wordWrap/>
        <w:overflowPunct/>
        <w:topLinePunct w:val="0"/>
        <w:autoSpaceDE/>
        <w:autoSpaceDN/>
        <w:bidi w:val="0"/>
        <w:adjustRightInd/>
        <w:spacing w:line="360" w:lineRule="auto"/>
        <w:ind w:left="0" w:leftChars="0" w:firstLine="0" w:firstLineChars="0"/>
        <w:jc w:val="left"/>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时间：</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日               时间：</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 xml:space="preserve">日  </w:t>
      </w:r>
    </w:p>
    <w:p>
      <w:pPr>
        <w:rPr>
          <w:rFonts w:hint="eastAsia" w:ascii="仿宋" w:hAnsi="仿宋" w:eastAsia="仿宋" w:cs="仿宋"/>
          <w:color w:val="auto"/>
          <w:sz w:val="20"/>
          <w:szCs w:val="20"/>
          <w:highlight w:val="none"/>
        </w:rPr>
      </w:pPr>
    </w:p>
    <w:p>
      <w:pPr>
        <w:rPr>
          <w:color w:val="auto"/>
          <w:highlight w:val="none"/>
        </w:rPr>
      </w:pPr>
    </w:p>
    <w:p>
      <w:pPr>
        <w:pStyle w:val="30"/>
        <w:rPr>
          <w:color w:val="auto"/>
          <w:highlight w:val="none"/>
        </w:rPr>
      </w:pPr>
    </w:p>
    <w:p>
      <w:pPr>
        <w:pStyle w:val="30"/>
        <w:rPr>
          <w:rFonts w:hint="eastAsia"/>
          <w:color w:val="auto"/>
          <w:highlight w:val="none"/>
          <w:lang w:val="en-US" w:eastAsia="zh-Hans"/>
        </w:rPr>
      </w:pPr>
    </w:p>
    <w:p/>
    <w:sectPr>
      <w:headerReference r:id="rId3" w:type="default"/>
      <w:footerReference r:id="rId4" w:type="default"/>
      <w:pgSz w:w="11907" w:h="16840"/>
      <w:pgMar w:top="1118" w:right="1416" w:bottom="1247" w:left="1417" w:header="878" w:footer="1035" w:gutter="0"/>
      <w:pgBorders>
        <w:top w:val="none" w:sz="0" w:space="0"/>
        <w:left w:val="none" w:sz="0" w:space="0"/>
        <w:bottom w:val="none" w:sz="0" w:space="0"/>
        <w:right w:val="none" w:sz="0" w:space="0"/>
      </w:pgBorders>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907DB904-659D-41C3-BA8F-746EB129BFEB}"/>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embedRegular r:id="rId2" w:fontKey="{940E143A-D52C-4F54-A53B-5221639B19D3}"/>
  </w:font>
  <w:font w:name="仿宋_GB2312">
    <w:panose1 w:val="02010609030101010101"/>
    <w:charset w:val="86"/>
    <w:family w:val="auto"/>
    <w:pitch w:val="default"/>
    <w:sig w:usb0="00000001" w:usb1="080E0000" w:usb2="00000000" w:usb3="00000000" w:csb0="00040000" w:csb1="00000000"/>
    <w:embedRegular r:id="rId3" w:fontKey="{62E62622-CB17-4543-BCC7-4D54B322E29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7" w:lineRule="auto"/>
      <w:ind w:left="7819"/>
      <w:rPr>
        <w:rFonts w:ascii="宋体" w:hAnsi="宋体" w:eastAsia="宋体" w:cs="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90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90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18"/>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0373D"/>
    <w:rsid w:val="046A654B"/>
    <w:rsid w:val="05353A74"/>
    <w:rsid w:val="05A14F91"/>
    <w:rsid w:val="0A595E3B"/>
    <w:rsid w:val="0D5F7823"/>
    <w:rsid w:val="101F4CFC"/>
    <w:rsid w:val="112C5D04"/>
    <w:rsid w:val="126B550A"/>
    <w:rsid w:val="12E7492B"/>
    <w:rsid w:val="14D92DC6"/>
    <w:rsid w:val="1B3D5835"/>
    <w:rsid w:val="1C0E2F29"/>
    <w:rsid w:val="1C1279A6"/>
    <w:rsid w:val="1C545061"/>
    <w:rsid w:val="1C682B39"/>
    <w:rsid w:val="1C962D5B"/>
    <w:rsid w:val="1D683C6B"/>
    <w:rsid w:val="2303547D"/>
    <w:rsid w:val="23D902C0"/>
    <w:rsid w:val="266170CF"/>
    <w:rsid w:val="275768D4"/>
    <w:rsid w:val="2767173F"/>
    <w:rsid w:val="28DE17A7"/>
    <w:rsid w:val="29EB551C"/>
    <w:rsid w:val="3632572F"/>
    <w:rsid w:val="37A14EA0"/>
    <w:rsid w:val="39362FF5"/>
    <w:rsid w:val="39784434"/>
    <w:rsid w:val="3C0D7623"/>
    <w:rsid w:val="3D603523"/>
    <w:rsid w:val="41257D97"/>
    <w:rsid w:val="44501A81"/>
    <w:rsid w:val="4588675B"/>
    <w:rsid w:val="46B975BA"/>
    <w:rsid w:val="4BFC3A56"/>
    <w:rsid w:val="4E6723AA"/>
    <w:rsid w:val="4ECC56A3"/>
    <w:rsid w:val="5596730D"/>
    <w:rsid w:val="60716572"/>
    <w:rsid w:val="62B632A6"/>
    <w:rsid w:val="62E17335"/>
    <w:rsid w:val="64D33859"/>
    <w:rsid w:val="66245845"/>
    <w:rsid w:val="6631721D"/>
    <w:rsid w:val="67C917C1"/>
    <w:rsid w:val="6D6E39F5"/>
    <w:rsid w:val="6DC440D2"/>
    <w:rsid w:val="6E71421E"/>
    <w:rsid w:val="6EB0632F"/>
    <w:rsid w:val="6FCC0A95"/>
    <w:rsid w:val="727E3A39"/>
    <w:rsid w:val="738F7112"/>
    <w:rsid w:val="77960811"/>
    <w:rsid w:val="793B3A0B"/>
    <w:rsid w:val="7AB75127"/>
    <w:rsid w:val="7C471E6A"/>
    <w:rsid w:val="7D777FE1"/>
    <w:rsid w:val="7E1B394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9"/>
    <w:pPr>
      <w:spacing w:line="360" w:lineRule="auto"/>
      <w:jc w:val="center"/>
      <w:outlineLvl w:val="0"/>
    </w:pPr>
    <w:rPr>
      <w:rFonts w:ascii="方正小标宋_GBK" w:hAnsi="仿宋" w:eastAsia="方正小标宋_GBK"/>
      <w:sz w:val="44"/>
      <w:szCs w:val="44"/>
    </w:rPr>
  </w:style>
  <w:style w:type="paragraph" w:styleId="3">
    <w:name w:val="heading 2"/>
    <w:basedOn w:val="1"/>
    <w:next w:val="1"/>
    <w:qFormat/>
    <w:uiPriority w:val="0"/>
    <w:pPr>
      <w:spacing w:line="360" w:lineRule="auto"/>
      <w:jc w:val="center"/>
      <w:outlineLvl w:val="1"/>
    </w:pPr>
    <w:rPr>
      <w:rFonts w:ascii="宋体" w:hAnsi="宋体"/>
      <w:b/>
      <w:sz w:val="24"/>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00" w:lineRule="auto"/>
      <w:ind w:firstLine="420" w:firstLineChars="200"/>
    </w:pPr>
    <w:rPr>
      <w:rFonts w:ascii="Times New Roman"/>
      <w:kern w:val="2"/>
      <w:sz w:val="21"/>
      <w:szCs w:val="24"/>
    </w:rPr>
  </w:style>
  <w:style w:type="paragraph" w:styleId="5">
    <w:name w:val="Body Text"/>
    <w:basedOn w:val="1"/>
    <w:qFormat/>
    <w:uiPriority w:val="1"/>
    <w:rPr>
      <w:rFonts w:ascii="宋体" w:hAnsi="宋体" w:eastAsia="宋体" w:cs="宋体"/>
      <w:sz w:val="24"/>
      <w:szCs w:val="24"/>
      <w:lang w:val="en-US" w:eastAsia="zh-CN" w:bidi="ar-SA"/>
    </w:rPr>
  </w:style>
  <w:style w:type="paragraph" w:styleId="6">
    <w:name w:val="footer"/>
    <w:basedOn w:val="1"/>
    <w:qFormat/>
    <w:uiPriority w:val="0"/>
    <w:pPr>
      <w:tabs>
        <w:tab w:val="center" w:pos="4153"/>
        <w:tab w:val="right" w:pos="8306"/>
      </w:tabs>
    </w:pPr>
    <w:rPr>
      <w:sz w:val="18"/>
    </w:rPr>
  </w:style>
  <w:style w:type="paragraph" w:styleId="7">
    <w:name w:val="header"/>
    <w:basedOn w:val="1"/>
    <w:qFormat/>
    <w:uiPriority w:val="99"/>
    <w:pPr>
      <w:pBdr>
        <w:bottom w:val="single" w:color="auto" w:sz="6" w:space="1"/>
      </w:pBdr>
      <w:tabs>
        <w:tab w:val="center" w:pos="4153"/>
        <w:tab w:val="right" w:pos="8306"/>
      </w:tabs>
      <w:snapToGrid w:val="0"/>
      <w:jc w:val="center"/>
    </w:pPr>
    <w:rPr>
      <w:sz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22"/>
    <w:rPr>
      <w:b/>
      <w:bCs/>
    </w:rPr>
  </w:style>
  <w:style w:type="character" w:styleId="13">
    <w:name w:val="Hyperlink"/>
    <w:qFormat/>
    <w:uiPriority w:val="99"/>
    <w:rPr>
      <w:color w:val="0000FF"/>
      <w:u w:val="single"/>
    </w:rPr>
  </w:style>
  <w:style w:type="character" w:customStyle="1" w:styleId="14">
    <w:name w:val="font51"/>
    <w:basedOn w:val="11"/>
    <w:qFormat/>
    <w:uiPriority w:val="0"/>
    <w:rPr>
      <w:rFonts w:hint="eastAsia" w:ascii="宋体" w:hAnsi="宋体" w:eastAsia="宋体" w:cs="宋体"/>
      <w:b/>
      <w:bCs/>
      <w:color w:val="000000"/>
      <w:sz w:val="24"/>
      <w:szCs w:val="24"/>
      <w:u w:val="none"/>
    </w:rPr>
  </w:style>
  <w:style w:type="character" w:customStyle="1" w:styleId="15">
    <w:name w:val="font111"/>
    <w:basedOn w:val="11"/>
    <w:qFormat/>
    <w:uiPriority w:val="0"/>
    <w:rPr>
      <w:rFonts w:hint="eastAsia" w:ascii="宋体" w:hAnsi="宋体" w:eastAsia="宋体" w:cs="宋体"/>
      <w:b/>
      <w:bCs/>
      <w:color w:val="000000"/>
      <w:sz w:val="24"/>
      <w:szCs w:val="24"/>
      <w:u w:val="none"/>
      <w:vertAlign w:val="superscript"/>
    </w:rPr>
  </w:style>
  <w:style w:type="character" w:customStyle="1" w:styleId="16">
    <w:name w:val="font101"/>
    <w:basedOn w:val="11"/>
    <w:qFormat/>
    <w:uiPriority w:val="0"/>
    <w:rPr>
      <w:rFonts w:hint="eastAsia" w:ascii="宋体" w:hAnsi="宋体" w:eastAsia="宋体" w:cs="宋体"/>
      <w:color w:val="000000"/>
      <w:sz w:val="22"/>
      <w:szCs w:val="22"/>
      <w:u w:val="none"/>
    </w:rPr>
  </w:style>
  <w:style w:type="character" w:customStyle="1" w:styleId="17">
    <w:name w:val="font81"/>
    <w:basedOn w:val="11"/>
    <w:qFormat/>
    <w:uiPriority w:val="0"/>
    <w:rPr>
      <w:rFonts w:hint="eastAsia" w:ascii="宋体" w:hAnsi="宋体" w:eastAsia="宋体" w:cs="宋体"/>
      <w:color w:val="000000"/>
      <w:sz w:val="24"/>
      <w:szCs w:val="24"/>
      <w:u w:val="none"/>
    </w:rPr>
  </w:style>
  <w:style w:type="paragraph" w:customStyle="1" w:styleId="18">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9">
    <w:name w:val="Z丁玮4"/>
    <w:basedOn w:val="4"/>
    <w:qFormat/>
    <w:uiPriority w:val="0"/>
    <w:pPr>
      <w:spacing w:line="560" w:lineRule="exact"/>
    </w:pPr>
    <w:rPr>
      <w:rFonts w:ascii="Times New Roman" w:hAnsi="Times New Roman" w:eastAsia="仿宋_GB2312"/>
      <w:sz w:val="32"/>
    </w:rPr>
  </w:style>
  <w:style w:type="paragraph" w:customStyle="1" w:styleId="20">
    <w:name w:val="丁玮4"/>
    <w:basedOn w:val="4"/>
    <w:qFormat/>
    <w:uiPriority w:val="0"/>
    <w:pPr>
      <w:spacing w:line="560" w:lineRule="exact"/>
    </w:pPr>
    <w:rPr>
      <w:rFonts w:ascii="Times New Roman" w:hAnsi="Times New Roman" w:eastAsia="仿宋_GB2312"/>
      <w:sz w:val="32"/>
    </w:rPr>
  </w:style>
  <w:style w:type="paragraph" w:customStyle="1" w:styleId="21">
    <w:name w:val="样式 首行缩进:  2 字符"/>
    <w:basedOn w:val="1"/>
    <w:qFormat/>
    <w:uiPriority w:val="0"/>
    <w:pPr>
      <w:spacing w:line="400" w:lineRule="exact"/>
      <w:ind w:firstLine="200" w:firstLineChars="200"/>
    </w:pPr>
    <w:rPr>
      <w:rFonts w:cs="宋体"/>
      <w:sz w:val="24"/>
    </w:rPr>
  </w:style>
  <w:style w:type="paragraph" w:customStyle="1" w:styleId="22">
    <w:name w:val="Table Text"/>
    <w:basedOn w:val="1"/>
    <w:semiHidden/>
    <w:qFormat/>
    <w:uiPriority w:val="0"/>
    <w:rPr>
      <w:rFonts w:ascii="仿宋" w:hAnsi="仿宋" w:eastAsia="仿宋" w:cs="仿宋"/>
      <w:sz w:val="16"/>
      <w:szCs w:val="16"/>
      <w:lang w:val="en-US" w:eastAsia="en-US" w:bidi="ar-SA"/>
    </w:rPr>
  </w:style>
  <w:style w:type="table" w:customStyle="1" w:styleId="23">
    <w:name w:val="Table Normal"/>
    <w:semiHidden/>
    <w:unhideWhenUsed/>
    <w:qFormat/>
    <w:uiPriority w:val="0"/>
    <w:tblPr>
      <w:tblCellMar>
        <w:top w:w="0" w:type="dxa"/>
        <w:left w:w="0" w:type="dxa"/>
        <w:bottom w:w="0" w:type="dxa"/>
        <w:right w:w="0" w:type="dxa"/>
      </w:tblCellMar>
    </w:tblPr>
  </w:style>
  <w:style w:type="paragraph" w:customStyle="1" w:styleId="24">
    <w:name w:val="表头1"/>
    <w:basedOn w:val="1"/>
    <w:qFormat/>
    <w:uiPriority w:val="0"/>
    <w:pPr>
      <w:spacing w:after="156" w:line="360" w:lineRule="auto"/>
      <w:jc w:val="center"/>
    </w:pPr>
    <w:rPr>
      <w:rFonts w:ascii="宋体" w:hAnsi="宋体" w:cs="宋体"/>
      <w:b/>
      <w:bCs/>
      <w:sz w:val="24"/>
      <w:szCs w:val="20"/>
    </w:rPr>
  </w:style>
  <w:style w:type="character" w:customStyle="1" w:styleId="25">
    <w:name w:val="font41"/>
    <w:basedOn w:val="11"/>
    <w:qFormat/>
    <w:uiPriority w:val="0"/>
    <w:rPr>
      <w:rFonts w:hint="default" w:ascii="仿宋_GB2312" w:eastAsia="仿宋_GB2312" w:cs="仿宋_GB2312"/>
      <w:color w:val="000000"/>
      <w:sz w:val="22"/>
      <w:szCs w:val="22"/>
      <w:u w:val="none"/>
    </w:rPr>
  </w:style>
  <w:style w:type="character" w:customStyle="1" w:styleId="26">
    <w:name w:val="font21"/>
    <w:basedOn w:val="11"/>
    <w:qFormat/>
    <w:uiPriority w:val="0"/>
    <w:rPr>
      <w:rFonts w:hint="eastAsia" w:ascii="宋体" w:hAnsi="宋体" w:eastAsia="宋体" w:cs="宋体"/>
      <w:b/>
      <w:bCs/>
      <w:color w:val="000000"/>
      <w:sz w:val="24"/>
      <w:szCs w:val="24"/>
      <w:u w:val="none"/>
    </w:rPr>
  </w:style>
  <w:style w:type="character" w:customStyle="1" w:styleId="27">
    <w:name w:val="font71"/>
    <w:basedOn w:val="11"/>
    <w:qFormat/>
    <w:uiPriority w:val="0"/>
    <w:rPr>
      <w:rFonts w:hint="default" w:ascii="Calibri" w:hAnsi="Calibri" w:cs="Calibri"/>
      <w:color w:val="000000"/>
      <w:sz w:val="16"/>
      <w:szCs w:val="16"/>
      <w:u w:val="none"/>
    </w:rPr>
  </w:style>
  <w:style w:type="character" w:customStyle="1" w:styleId="28">
    <w:name w:val="font61"/>
    <w:basedOn w:val="11"/>
    <w:qFormat/>
    <w:uiPriority w:val="0"/>
    <w:rPr>
      <w:rFonts w:hint="eastAsia" w:ascii="宋体" w:hAnsi="宋体" w:eastAsia="宋体" w:cs="宋体"/>
      <w:color w:val="000000"/>
      <w:sz w:val="16"/>
      <w:szCs w:val="16"/>
      <w:u w:val="none"/>
    </w:rPr>
  </w:style>
  <w:style w:type="character" w:customStyle="1" w:styleId="29">
    <w:name w:val="font01"/>
    <w:basedOn w:val="11"/>
    <w:qFormat/>
    <w:uiPriority w:val="0"/>
    <w:rPr>
      <w:rFonts w:hint="eastAsia" w:ascii="宋体" w:hAnsi="宋体" w:eastAsia="宋体" w:cs="宋体"/>
      <w:color w:val="000000"/>
      <w:sz w:val="24"/>
      <w:szCs w:val="24"/>
      <w:u w:val="none"/>
    </w:rPr>
  </w:style>
  <w:style w:type="paragraph" w:customStyle="1" w:styleId="3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156</Pages>
  <Words>8451</Words>
  <Characters>8702</Characters>
  <Lines>0</Lines>
  <Paragraphs>0</Paragraphs>
  <TotalTime>1</TotalTime>
  <ScaleCrop>false</ScaleCrop>
  <LinksUpToDate>false</LinksUpToDate>
  <CharactersWithSpaces>9156</CharactersWithSpaces>
  <Application>WPS Office_11.1.0.11372_F1E327BC-269C-435d-A152-05C5408002CA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2025-06-05T13:09:00Z</dcterms:created>
  <dc:creator>Administrator</dc:creator>
  <cp:lastModifiedBy>Administrator</cp:lastModifiedBy>
  <dcterms:modified xsi:type="dcterms:W3CDTF">2026-07-17T02:58:44Z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2052-11.1.0.11372</vt:lpwstr>
  </property>
  <property fmtid="{D5CDD505-2E9C-101B-9397-08002B2CF9AE}" pid="3" name="KSOTemplateDocerSaveRecord">
    <vt:lpwstr>eyJoZGlkIjoiZjMwYzliMzkxNmFhMzBiNzRkYjQzMmI5NzBlMDI5NTEiLCJ1c2VySWQiOiI1Njk3NTU1MDMifQ==</vt:lpwstr>
  </property>
  <property fmtid="{D5CDD505-2E9C-101B-9397-08002B2CF9AE}" pid="4" name="ICV">
    <vt:lpwstr>5FC57C90206C4615987496B889CBFC2F_13</vt:lpwstr>
  </property>
</Properties>
</file>