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版本号：慧科ZX-CG01084BF20260709002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西安市2026年土地征收储备计划编制服务项目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慧科ZX-CG01084BF</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西安市2026年土地征收储备计划编制服务项目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慧科ZX-CG01084BF</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西安市2026年土地征收储备计划编制服务项目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深入贯彻落实市政府工作部署及年度计划总体目标，实现土地征收储备供应年度任务落地，系统性梳理各区县（开发区）年度任务清单，按月拆解阶段性目标，落实“季统筹、月调度”的工作机制。以土地供应为导向，合理确定征收储备规模、结构、布局和时序，实现土地整合、优化空间布局，形成全市范围矢量化数据库，实时跟进项目进展，进行动态优化调整，确保计划有序推进，特开展本项目的技术服务与研究工作。按照《自然资源部、财政部、中国人民银行国家金融监督管理总局关于印发〈土地储备管理办法〉的通知》（自然资规〔2025〕2号）、《自然资源部、国家林业和草原局关于进一步做好自然资源要素保障的通知》（自然资发〔2026〕38号）和《西安市人民政府办公厅关于印发规范土地征收拆迁安置储备供应工作实施办法（试行）的通知》（市政办发〔2023〕15号）相关要求，紧紧围绕全市重点片区发展格局，通过开展西安市2026年土地征收储备供应计划编制服务项目、全流程协同机制研究、矢量数据库建设以及调度督导机制研究等工作，为城市高质量发展提供坚实的用地保障与精准的技术支撑，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2、企业资质：具备有效的城乡规划编制乙级及以上资质证书（若为联合体，其中至少应有一家单位具有城乡规划编制乙级及以上资质证书）；</w:t>
      </w:r>
    </w:p>
    <w:p>
      <w:pPr>
        <w:pStyle w:val="null3"/>
      </w:pPr>
      <w:r>
        <w:rPr>
          <w:rFonts w:ascii="仿宋_GB2312" w:hAnsi="仿宋_GB2312" w:cs="仿宋_GB2312" w:eastAsia="仿宋_GB2312"/>
        </w:rPr>
        <w:t>3、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p>
      <w:pPr>
        <w:pStyle w:val="null3"/>
      </w:pPr>
      <w:r>
        <w:rPr>
          <w:rFonts w:ascii="仿宋_GB2312" w:hAnsi="仿宋_GB2312" w:cs="仿宋_GB2312" w:eastAsia="仿宋_GB2312"/>
        </w:rPr>
        <w:t>4、联合体投标：本项目接受联合体投标；注：联合体必须按规定的格式签订联合体协议，明确联合体牵头人和联合体参与方的主要权利和义务；联合体各方不得再以自己名义单独或加入其他联合体参加本项目投标；采用联合体投标的，由联合体牵头人负责处理联合体投标过程所有相关事宜。</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029-67097067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宋霜晨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15008435119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代理服务费收费标准：中标人在领取《中标通知书》之前，向采购代理机构一次付清招标代理服务费。代理服务费参照发改办价格〔2015〕299 号、国家计委关 于印发《招标代理服务收费管理暂行办法》的通知（计价格〔2002〕 1980 号）、《国家发展和改革委员会办公厅关招标代理服务收费有关问题的通知》（发改办价格〔2003〕857 号）规定向中标（成交）供应商收取银行名称：陕西慧科工程管理咨询有限公司 税号：9161 0131 MA6X 2CEF 3K 单位地址：陕西省西安市高新区锦业一路西安研祥城市广场C座3楼C－306号 开户银行：交通银行股份有限公司西安光华路支行 银行账户：6113 0113 5013 0018 4142 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编制工作中所使用的国土空间底图、现状调研数据、规划技术工具、行业资料、地理信息数据等全部技术、产品及服务（含部分环节使用场景），不会引发第三方专利权、著作权、商标权、地理数据版权等知识产权侵权类法律、经济纠纷；若因知识产权侵权产生投诉、诉讼、行政处罚、赔偿支出等全部责任与费用，均由供应商全额承担。本项目实施全过程形成的计划报告、台账清单、规划图件、数据库、汇报材料、各类附件等全部编制成果、衍生知识成果、地理空间数据的所有权、著作权、知识产权全部归采购人所有；供应商仅可用于本项目履约工作，不得私自留存、对外转让、商用、转借、公开传播项目任何涉密及非涉密成果资料。</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验收依据为合同文本、合同附件、招标文件、投标文件；2. 全套土地征收储备计划编制成果符合国家、陕西省土地征收、土地储备相关法律法规、行业技术规范，满足部省计划上报审查相关管理要求；3.项目编制成果经采购人出具的审查通过意见，即为项目履约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w:t>
      </w:r>
    </w:p>
    <w:p>
      <w:pPr>
        <w:pStyle w:val="null3"/>
      </w:pPr>
      <w:r>
        <w:rPr>
          <w:rFonts w:ascii="仿宋_GB2312" w:hAnsi="仿宋_GB2312" w:cs="仿宋_GB2312" w:eastAsia="仿宋_GB2312"/>
        </w:rPr>
        <w:t>联系电话：15008435119</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市政府工作部署及年度计划总体目标，实现土地征收储备供应年度任务落地，系统性梳理各区县（开发区）年度任务清单，按月拆解阶段性目标，落实“季统筹、月调度”的工作机制。以土地供应为导向，合理确定征收储备规模、结构、布局和时序，实现土地整合、优化空间布局，形成全市范围矢量化数据库，实时跟进项目进展，进行动态优化调整，确保计划有序推进，特开展本项目的技术服务与研究工作，按照《自然资源部、财政部、中国人民银行国家金融监督管理总局关于印发〈土地储备管理办法〉的通知》（自然资规〔2025〕2号）、《自然资源部、国家林业和草原局关于进一步做好自然资源要素保障的通知》（自然资发〔2026〕38号）和《西安市人民政府办公厅关于印发规范土地征收拆迁安置储备供应工作实施办法（试行）的通知》（市政办发〔2023〕15号）相关要求，紧紧围绕全市重点片区发展格局，通过开展西安市2026年土地征收储备供应计划编制服务项目、全流程协同机制研究、矢量数据库建设以及调度督导机制研究等工作，为城市高质量发展提供坚实的用地保障与精准的技术支撑，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西安市2026年土地征收储备计划编制服务项目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标的名称：西安市2026年土地征收储备计划编制服务项目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ind w:firstLine="396"/>
              <w:jc w:val="left"/>
            </w:pPr>
            <w:r>
              <w:rPr>
                <w:rFonts w:ascii="仿宋_GB2312" w:hAnsi="仿宋_GB2312" w:cs="仿宋_GB2312" w:eastAsia="仿宋_GB2312"/>
                <w:sz w:val="20"/>
              </w:rPr>
              <w:t>为深入贯彻落实市政府工作部署及年度计划总体目标，实现土地征收储备供应年度任务落地，系统性梳理各区县（开发区）年度任务清单，按月拆解阶段性目标，落实</w:t>
            </w:r>
            <w:r>
              <w:rPr>
                <w:rFonts w:ascii="仿宋_GB2312" w:hAnsi="仿宋_GB2312" w:cs="仿宋_GB2312" w:eastAsia="仿宋_GB2312"/>
                <w:sz w:val="20"/>
              </w:rPr>
              <w:t>“季统筹、月调度”的工作机制。以土地供应为导向，合理确定征收储备规模、结构、布局和时序，实现土地整合、优化空间布局，形成全市范围矢量化数据库，实时跟进项目进展，进行动态优化调整，确保计划有序推进，特开展本项目的技术服务与研究工作，按照《自然资源部、财政部、中国人民银行国家金融监督管理总局关于印发〈土地储备管理办法〉的通知》（自然资规〔2025〕2号）、《自然资源部、国家林业和草原局关于进一步做好自然资源要素保障的通知》（自然资发〔2026〕38号）和《西安市人民政府办公厅关于印发规范土地征收拆迁安置储备供应工作实施办法（试行）的通知》（市政办发〔2023〕15号）相关要求，紧紧围绕全市重点片区发展格局，通过开展西安市2026年土地征收储备供应计划编制服务项目、全流程协同机制研究、矢量数据库建设以及调度督导机制研究等工作，为城市高质量发展提供坚实的用地保障与精准的技术支撑。</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采购</w:t>
            </w:r>
            <w:r>
              <w:rPr>
                <w:rFonts w:ascii="仿宋_GB2312" w:hAnsi="仿宋_GB2312" w:cs="仿宋_GB2312" w:eastAsia="仿宋_GB2312"/>
                <w:sz w:val="20"/>
                <w:b/>
              </w:rPr>
              <w:t>内容</w:t>
            </w:r>
          </w:p>
          <w:p>
            <w:pPr>
              <w:pStyle w:val="null3"/>
              <w:ind w:firstLine="482"/>
              <w:jc w:val="left"/>
            </w:pPr>
            <w:r>
              <w:rPr>
                <w:rFonts w:ascii="仿宋_GB2312" w:hAnsi="仿宋_GB2312" w:cs="仿宋_GB2312" w:eastAsia="仿宋_GB2312"/>
                <w:sz w:val="20"/>
              </w:rPr>
              <w:t>（一）</w:t>
            </w:r>
            <w:r>
              <w:rPr>
                <w:rFonts w:ascii="仿宋_GB2312" w:hAnsi="仿宋_GB2312" w:cs="仿宋_GB2312" w:eastAsia="仿宋_GB2312"/>
                <w:sz w:val="20"/>
              </w:rPr>
              <w:t>工作</w:t>
            </w:r>
            <w:r>
              <w:rPr>
                <w:rFonts w:ascii="仿宋_GB2312" w:hAnsi="仿宋_GB2312" w:cs="仿宋_GB2312" w:eastAsia="仿宋_GB2312"/>
                <w:sz w:val="20"/>
              </w:rPr>
              <w:t>范围：</w:t>
            </w:r>
          </w:p>
          <w:p>
            <w:pPr>
              <w:pStyle w:val="null3"/>
              <w:ind w:firstLine="482"/>
              <w:jc w:val="left"/>
            </w:pPr>
            <w:r>
              <w:rPr>
                <w:rFonts w:ascii="仿宋_GB2312" w:hAnsi="仿宋_GB2312" w:cs="仿宋_GB2312" w:eastAsia="仿宋_GB2312"/>
                <w:sz w:val="20"/>
              </w:rPr>
              <w:t>西安市域</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工作</w:t>
            </w:r>
            <w:r>
              <w:rPr>
                <w:rFonts w:ascii="仿宋_GB2312" w:hAnsi="仿宋_GB2312" w:cs="仿宋_GB2312" w:eastAsia="仿宋_GB2312"/>
                <w:sz w:val="20"/>
              </w:rPr>
              <w:t>内容：</w:t>
            </w:r>
          </w:p>
          <w:p>
            <w:pPr>
              <w:pStyle w:val="null3"/>
              <w:ind w:firstLine="482"/>
              <w:jc w:val="left"/>
            </w:pPr>
            <w:r>
              <w:rPr>
                <w:rFonts w:ascii="仿宋_GB2312" w:hAnsi="仿宋_GB2312" w:cs="仿宋_GB2312" w:eastAsia="仿宋_GB2312"/>
                <w:sz w:val="20"/>
              </w:rPr>
              <w:t>1.计划编制现状评估</w:t>
            </w:r>
          </w:p>
          <w:p>
            <w:pPr>
              <w:pStyle w:val="null3"/>
              <w:ind w:firstLine="482"/>
              <w:jc w:val="left"/>
            </w:pPr>
            <w:r>
              <w:rPr>
                <w:rFonts w:ascii="仿宋_GB2312" w:hAnsi="仿宋_GB2312" w:cs="仿宋_GB2312" w:eastAsia="仿宋_GB2312"/>
                <w:sz w:val="20"/>
              </w:rPr>
              <w:t>服务商需聚焦盘活存量</w:t>
            </w:r>
            <w:r>
              <w:rPr>
                <w:rFonts w:ascii="仿宋_GB2312" w:hAnsi="仿宋_GB2312" w:cs="仿宋_GB2312" w:eastAsia="仿宋_GB2312"/>
                <w:sz w:val="20"/>
              </w:rPr>
              <w:t>“优储精供”与严控新增用地总量的总体要求，重点针对批而未供土地形成症结进行专项业务诊断。在摸清全市存量资源底数的基础上，严格落实“存量优先”原则，通过综合研判评价策略，对拟纳入2026年度计划的宗地进行综合评价，评价需结合区域存量用地现状，重点围绕规划符合度、基础设施完备度、拆迁难度及市场需求热度等核心要素筛选优质地块，探索通过补边补角等方式实现土地整合、优化布局与完善配套，为年度已落实土地供应计划的整备与动态调整提供精准的底数支撑与评价结论。</w:t>
            </w:r>
          </w:p>
          <w:p>
            <w:pPr>
              <w:pStyle w:val="null3"/>
              <w:ind w:firstLine="482"/>
              <w:jc w:val="left"/>
            </w:pPr>
            <w:r>
              <w:rPr>
                <w:rFonts w:ascii="仿宋_GB2312" w:hAnsi="仿宋_GB2312" w:cs="仿宋_GB2312" w:eastAsia="仿宋_GB2312"/>
                <w:sz w:val="20"/>
              </w:rPr>
              <w:t>2.征储供全流程协同机制管理体系</w:t>
            </w:r>
          </w:p>
          <w:p>
            <w:pPr>
              <w:pStyle w:val="null3"/>
              <w:ind w:firstLine="482"/>
              <w:jc w:val="left"/>
            </w:pPr>
            <w:r>
              <w:rPr>
                <w:rFonts w:ascii="仿宋_GB2312" w:hAnsi="仿宋_GB2312" w:cs="仿宋_GB2312" w:eastAsia="仿宋_GB2312"/>
                <w:sz w:val="20"/>
              </w:rPr>
              <w:t>服务商需基于</w:t>
            </w:r>
            <w:r>
              <w:rPr>
                <w:rFonts w:ascii="仿宋_GB2312" w:hAnsi="仿宋_GB2312" w:cs="仿宋_GB2312" w:eastAsia="仿宋_GB2312"/>
                <w:sz w:val="20"/>
              </w:rPr>
              <w:t>“市级统筹、自上而下、市区联动”的工作一盘棋逻辑，深度研究全市土地要素保障的行政衔接路径，建立健全市级统筹、区县和开发区落实的责任体系。以土地供应为导向，合理确定征收储备规模、结构、布局和时序，精准摸排重大基础设施、民生及产业项目用地需求。构建“征收—储备—供应—收益—再征收”的快速滚动开发机制，确保整备资金高效循环使用，实现资金闭环管理。结合相关编制成果及各区县、开发区的年度任务，最终形成2026年西安市土地征收储备供应任务研究报告，构建起全生命周期管理体系。</w:t>
            </w:r>
          </w:p>
          <w:p>
            <w:pPr>
              <w:pStyle w:val="null3"/>
              <w:ind w:firstLine="482"/>
              <w:jc w:val="left"/>
            </w:pPr>
            <w:r>
              <w:rPr>
                <w:rFonts w:ascii="仿宋_GB2312" w:hAnsi="仿宋_GB2312" w:cs="仿宋_GB2312" w:eastAsia="仿宋_GB2312"/>
                <w:sz w:val="20"/>
              </w:rPr>
              <w:t>3.全市征储供计划数据库建设与重点片区研究</w:t>
            </w:r>
          </w:p>
          <w:p>
            <w:pPr>
              <w:pStyle w:val="null3"/>
              <w:ind w:firstLine="482"/>
              <w:jc w:val="left"/>
            </w:pPr>
            <w:r>
              <w:rPr>
                <w:rFonts w:ascii="仿宋_GB2312" w:hAnsi="仿宋_GB2312" w:cs="仿宋_GB2312" w:eastAsia="仿宋_GB2312"/>
                <w:sz w:val="20"/>
              </w:rPr>
              <w:t>为科学支撑重点片区及产业片区发展，服务商需构建覆盖全市范围的矢量化管理体系，建立高质量的</w:t>
            </w:r>
            <w:r>
              <w:rPr>
                <w:rFonts w:ascii="仿宋_GB2312" w:hAnsi="仿宋_GB2312" w:cs="仿宋_GB2312" w:eastAsia="仿宋_GB2312"/>
                <w:sz w:val="20"/>
              </w:rPr>
              <w:t>2026年西安市土地征收储备供应计划数据库，实现空间边界无拓扑错误且属性完整。数据库需完整涵盖各区县、开发区提报的经营性、产业等各类用地，以及中省市重大单独选址基础设施项目的矢量边界与属性信息。在此基础上，服务商需聚焦全市核心发展的重点片区进行精细化落地研究，明确各地块的空间分布、项目进程、资金需求及入库节点。系统性梳理并衔接下达给各区县的刚性任务指标，形成2026年度征收储备供应计划任务清单及实施台账，确保每一宗计划地块精准对应城市空间发展战略与产业布局。</w:t>
            </w:r>
          </w:p>
          <w:p>
            <w:pPr>
              <w:pStyle w:val="null3"/>
              <w:ind w:firstLine="482"/>
              <w:jc w:val="left"/>
            </w:pPr>
            <w:r>
              <w:rPr>
                <w:rFonts w:ascii="仿宋_GB2312" w:hAnsi="仿宋_GB2312" w:cs="仿宋_GB2312" w:eastAsia="仿宋_GB2312"/>
                <w:sz w:val="20"/>
              </w:rPr>
              <w:t>4.调度督导与信息化监管机制研究</w:t>
            </w:r>
          </w:p>
          <w:p>
            <w:pPr>
              <w:pStyle w:val="null3"/>
              <w:ind w:firstLine="482"/>
              <w:jc w:val="left"/>
            </w:pPr>
            <w:r>
              <w:rPr>
                <w:rFonts w:ascii="仿宋_GB2312" w:hAnsi="仿宋_GB2312" w:cs="仿宋_GB2312" w:eastAsia="仿宋_GB2312"/>
                <w:sz w:val="20"/>
              </w:rPr>
              <w:t>服务商需将全市的土地要素研判成果全面转化为可操作、可执行的任务清单，协助采购人构建起全市协同的调度管理体系，并输出直观指导生产的系列空间成果。在此基础上，需协助采购人落实</w:t>
            </w:r>
            <w:r>
              <w:rPr>
                <w:rFonts w:ascii="仿宋_GB2312" w:hAnsi="仿宋_GB2312" w:cs="仿宋_GB2312" w:eastAsia="仿宋_GB2312"/>
                <w:sz w:val="20"/>
              </w:rPr>
              <w:t>“季统筹、月调度”工作机制，将年度目标科学拆解为阶段性任务，配合开展全链条督导通报，及时分析研判工作中的堵点难点。同时，服务商还需深度开展资金保障研究与监管防范机制，将年度资金需求与预期土地出让收入进行动态匹配，实现土地供应与资金保障、开发进度的动态平衡，严防新增地方政府隐性债务。</w:t>
            </w:r>
          </w:p>
          <w:p>
            <w:pPr>
              <w:pStyle w:val="null3"/>
              <w:ind w:firstLine="482"/>
              <w:jc w:val="left"/>
            </w:pPr>
            <w:r>
              <w:rPr>
                <w:rFonts w:ascii="仿宋_GB2312" w:hAnsi="仿宋_GB2312" w:cs="仿宋_GB2312" w:eastAsia="仿宋_GB2312"/>
                <w:sz w:val="20"/>
                <w:b/>
              </w:rPr>
              <w:t>三、技术服务要求</w:t>
            </w:r>
          </w:p>
          <w:p>
            <w:pPr>
              <w:pStyle w:val="null3"/>
              <w:ind w:firstLine="482"/>
              <w:jc w:val="left"/>
            </w:pPr>
            <w:r>
              <w:rPr>
                <w:rFonts w:ascii="仿宋_GB2312" w:hAnsi="仿宋_GB2312" w:cs="仿宋_GB2312" w:eastAsia="仿宋_GB2312"/>
                <w:sz w:val="20"/>
              </w:rPr>
              <w:t>(一)成果质量要求：</w:t>
            </w:r>
          </w:p>
          <w:p>
            <w:pPr>
              <w:pStyle w:val="null3"/>
              <w:ind w:firstLine="482"/>
              <w:jc w:val="left"/>
            </w:pPr>
            <w:r>
              <w:rPr>
                <w:rFonts w:ascii="仿宋_GB2312" w:hAnsi="仿宋_GB2312" w:cs="仿宋_GB2312" w:eastAsia="仿宋_GB2312"/>
                <w:sz w:val="20"/>
              </w:rPr>
              <w:t>严格依据国家相关行业标准和规范；陕西省、西安市相关技术规定；陕西省自然资源厅、西安市自然资源和规划局的相关要求开展技术服务并形成成果。</w:t>
            </w:r>
          </w:p>
          <w:p>
            <w:pPr>
              <w:pStyle w:val="null3"/>
              <w:ind w:firstLine="482"/>
              <w:jc w:val="left"/>
            </w:pPr>
            <w:r>
              <w:rPr>
                <w:rFonts w:ascii="仿宋_GB2312" w:hAnsi="仿宋_GB2312" w:cs="仿宋_GB2312" w:eastAsia="仿宋_GB2312"/>
                <w:sz w:val="20"/>
              </w:rPr>
              <w:t>(二)成果交付要求：</w:t>
            </w:r>
          </w:p>
          <w:p>
            <w:pPr>
              <w:pStyle w:val="null3"/>
              <w:ind w:firstLine="482"/>
              <w:jc w:val="left"/>
            </w:pPr>
            <w:r>
              <w:rPr>
                <w:rFonts w:ascii="仿宋_GB2312" w:hAnsi="仿宋_GB2312" w:cs="仿宋_GB2312" w:eastAsia="仿宋_GB2312"/>
                <w:sz w:val="20"/>
              </w:rPr>
              <w:t>服务商需在服务期限内交付全套由项目报告、表格、图集和数据库构成的技术成果。</w:t>
            </w:r>
          </w:p>
          <w:p>
            <w:pPr>
              <w:pStyle w:val="null3"/>
              <w:ind w:firstLine="482"/>
              <w:jc w:val="left"/>
            </w:pPr>
            <w:r>
              <w:rPr>
                <w:rFonts w:ascii="仿宋_GB2312" w:hAnsi="仿宋_GB2312" w:cs="仿宋_GB2312" w:eastAsia="仿宋_GB2312"/>
                <w:sz w:val="20"/>
              </w:rPr>
              <w:t>文字与图表成果：包括</w:t>
            </w:r>
            <w:r>
              <w:rPr>
                <w:rFonts w:ascii="仿宋_GB2312" w:hAnsi="仿宋_GB2312" w:cs="仿宋_GB2312" w:eastAsia="仿宋_GB2312"/>
                <w:sz w:val="20"/>
              </w:rPr>
              <w:t>2026年西安市土地征收储备供应任务</w:t>
            </w:r>
            <w:r>
              <w:rPr>
                <w:rFonts w:ascii="仿宋_GB2312" w:hAnsi="仿宋_GB2312" w:cs="仿宋_GB2312" w:eastAsia="仿宋_GB2312"/>
                <w:sz w:val="20"/>
              </w:rPr>
              <w:t>研究报告</w:t>
            </w:r>
            <w:r>
              <w:rPr>
                <w:rFonts w:ascii="仿宋_GB2312" w:hAnsi="仿宋_GB2312" w:cs="仿宋_GB2312" w:eastAsia="仿宋_GB2312"/>
                <w:sz w:val="20"/>
              </w:rPr>
              <w:t>、</w:t>
            </w:r>
            <w:r>
              <w:rPr>
                <w:rFonts w:ascii="仿宋_GB2312" w:hAnsi="仿宋_GB2312" w:cs="仿宋_GB2312" w:eastAsia="仿宋_GB2312"/>
                <w:sz w:val="20"/>
              </w:rPr>
              <w:t>2026年度征收储备供应计划任务清单及实施台账以及配套的规划图集。纸质版成果要求文本采用A4或A3幅面装订，图面清晰、双面印刷，加盖公章或技术成果章，一式</w:t>
            </w:r>
            <w:r>
              <w:rPr>
                <w:rFonts w:ascii="仿宋_GB2312" w:hAnsi="仿宋_GB2312" w:cs="仿宋_GB2312" w:eastAsia="仿宋_GB2312"/>
                <w:sz w:val="20"/>
              </w:rPr>
              <w:t>三</w:t>
            </w:r>
            <w:r>
              <w:rPr>
                <w:rFonts w:ascii="仿宋_GB2312" w:hAnsi="仿宋_GB2312" w:cs="仿宋_GB2312" w:eastAsia="仿宋_GB2312"/>
                <w:sz w:val="20"/>
              </w:rPr>
              <w:t>份。电子版成果要求文本采用</w:t>
            </w:r>
            <w:r>
              <w:rPr>
                <w:rFonts w:ascii="仿宋_GB2312" w:hAnsi="仿宋_GB2312" w:cs="仿宋_GB2312" w:eastAsia="仿宋_GB2312"/>
                <w:sz w:val="20"/>
              </w:rPr>
              <w:t>Word和PDF格式，刻录至光盘提交。</w:t>
            </w:r>
          </w:p>
          <w:p>
            <w:pPr>
              <w:pStyle w:val="null3"/>
              <w:ind w:firstLine="482"/>
              <w:jc w:val="left"/>
            </w:pPr>
            <w:r>
              <w:rPr>
                <w:rFonts w:ascii="仿宋_GB2312" w:hAnsi="仿宋_GB2312" w:cs="仿宋_GB2312" w:eastAsia="仿宋_GB2312"/>
                <w:sz w:val="20"/>
              </w:rPr>
              <w:t>数据成果：交付完整的</w:t>
            </w:r>
            <w:r>
              <w:rPr>
                <w:rFonts w:ascii="仿宋_GB2312" w:hAnsi="仿宋_GB2312" w:cs="仿宋_GB2312" w:eastAsia="仿宋_GB2312"/>
                <w:sz w:val="20"/>
              </w:rPr>
              <w:t>2026年西安市土地征收储备供应计划数据库全套矢量数据（Shp或Geodatabase格式）</w:t>
            </w:r>
            <w:r>
              <w:rPr>
                <w:rFonts w:ascii="仿宋_GB2312" w:hAnsi="仿宋_GB2312" w:cs="仿宋_GB2312" w:eastAsia="仿宋_GB2312"/>
                <w:sz w:val="20"/>
              </w:rPr>
              <w:t>。</w:t>
            </w:r>
          </w:p>
          <w:p>
            <w:pPr>
              <w:pStyle w:val="null3"/>
              <w:ind w:firstLine="482"/>
              <w:jc w:val="left"/>
            </w:pPr>
            <w:r>
              <w:rPr>
                <w:rFonts w:ascii="仿宋_GB2312" w:hAnsi="仿宋_GB2312" w:cs="仿宋_GB2312" w:eastAsia="仿宋_GB2312"/>
                <w:sz w:val="20"/>
                <w:b/>
              </w:rPr>
              <w:t>四、</w:t>
            </w:r>
            <w:r>
              <w:rPr>
                <w:rFonts w:ascii="仿宋_GB2312" w:hAnsi="仿宋_GB2312" w:cs="仿宋_GB2312" w:eastAsia="仿宋_GB2312"/>
                <w:sz w:val="20"/>
                <w:b/>
              </w:rPr>
              <w:t>服务</w:t>
            </w:r>
            <w:r>
              <w:rPr>
                <w:rFonts w:ascii="仿宋_GB2312" w:hAnsi="仿宋_GB2312" w:cs="仿宋_GB2312" w:eastAsia="仿宋_GB2312"/>
                <w:sz w:val="20"/>
                <w:b/>
              </w:rPr>
              <w:t>要求</w:t>
            </w:r>
          </w:p>
          <w:p>
            <w:pPr>
              <w:pStyle w:val="null3"/>
              <w:ind w:firstLine="482"/>
              <w:jc w:val="left"/>
            </w:pPr>
            <w:r>
              <w:rPr>
                <w:rFonts w:ascii="仿宋_GB2312" w:hAnsi="仿宋_GB2312" w:cs="仿宋_GB2312" w:eastAsia="仿宋_GB2312"/>
                <w:sz w:val="20"/>
              </w:rPr>
              <w:t>(一)服务商须精心组建项目团队，确定项目负责人，并对项目团队的政治素质和业务素质负责。</w:t>
            </w:r>
          </w:p>
          <w:p>
            <w:pPr>
              <w:pStyle w:val="null3"/>
              <w:ind w:firstLine="482"/>
              <w:jc w:val="left"/>
            </w:pPr>
            <w:r>
              <w:rPr>
                <w:rFonts w:ascii="仿宋_GB2312" w:hAnsi="仿宋_GB2312" w:cs="仿宋_GB2312" w:eastAsia="仿宋_GB2312"/>
                <w:sz w:val="20"/>
              </w:rPr>
              <w:t>(二)项目组成员须有较强的组织和协调能力，具有较高的理论素养和分析解决问题的能力。</w:t>
            </w:r>
          </w:p>
          <w:p>
            <w:pPr>
              <w:pStyle w:val="null3"/>
              <w:ind w:firstLine="482"/>
              <w:jc w:val="left"/>
            </w:pPr>
            <w:r>
              <w:rPr>
                <w:rFonts w:ascii="仿宋_GB2312" w:hAnsi="仿宋_GB2312" w:cs="仿宋_GB2312" w:eastAsia="仿宋_GB2312"/>
                <w:sz w:val="20"/>
              </w:rPr>
              <w:t>(三)项目负责人必须是该项目实施全过程的真正组织者和指导者，并担负项目成果审查工作。挂名或不担负成果审查工作的，不得作为项目负责人。</w:t>
            </w:r>
          </w:p>
          <w:p>
            <w:pPr>
              <w:pStyle w:val="null3"/>
              <w:ind w:firstLine="482"/>
              <w:jc w:val="left"/>
            </w:pPr>
            <w:r>
              <w:rPr>
                <w:rFonts w:ascii="仿宋_GB2312" w:hAnsi="仿宋_GB2312" w:cs="仿宋_GB2312" w:eastAsia="仿宋_GB2312"/>
                <w:sz w:val="20"/>
              </w:rPr>
              <w:t>(四)项目团队成员应当熟悉西安市土地征收储备供应相关流程与要求，项目实施应紧贴上位政策要求。</w:t>
            </w:r>
          </w:p>
          <w:p>
            <w:pPr>
              <w:pStyle w:val="null3"/>
              <w:ind w:firstLine="482"/>
              <w:jc w:val="left"/>
            </w:pPr>
            <w:r>
              <w:rPr>
                <w:rFonts w:ascii="仿宋_GB2312" w:hAnsi="仿宋_GB2312" w:cs="仿宋_GB2312" w:eastAsia="仿宋_GB2312"/>
                <w:sz w:val="20"/>
              </w:rPr>
              <w:t>(五)项目团队成员及其主要成员履约过程中不得随意更换，确需调整时，须书面提请采购人同意。</w:t>
            </w:r>
          </w:p>
          <w:p>
            <w:pPr>
              <w:pStyle w:val="null3"/>
              <w:ind w:firstLine="482"/>
              <w:jc w:val="left"/>
            </w:pPr>
            <w:r>
              <w:rPr>
                <w:rFonts w:ascii="仿宋_GB2312" w:hAnsi="仿宋_GB2312" w:cs="仿宋_GB2312" w:eastAsia="仿宋_GB2312"/>
                <w:sz w:val="20"/>
                <w:b/>
              </w:rPr>
              <w:t>五、</w:t>
            </w:r>
            <w:r>
              <w:rPr>
                <w:rFonts w:ascii="仿宋_GB2312" w:hAnsi="仿宋_GB2312" w:cs="仿宋_GB2312" w:eastAsia="仿宋_GB2312"/>
                <w:sz w:val="20"/>
                <w:b/>
              </w:rPr>
              <w:t>商务要求</w:t>
            </w:r>
          </w:p>
          <w:p>
            <w:pPr>
              <w:pStyle w:val="null3"/>
              <w:ind w:firstLine="482"/>
              <w:jc w:val="left"/>
            </w:pPr>
            <w:r>
              <w:rPr>
                <w:rFonts w:ascii="仿宋_GB2312" w:hAnsi="仿宋_GB2312" w:cs="仿宋_GB2312" w:eastAsia="仿宋_GB2312"/>
                <w:sz w:val="20"/>
              </w:rPr>
              <w:t>(一)服务期限：自合同签订之日起至2026年12月15日。</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)款项结算</w:t>
            </w:r>
          </w:p>
          <w:p>
            <w:pPr>
              <w:pStyle w:val="null3"/>
              <w:ind w:firstLine="482"/>
              <w:jc w:val="left"/>
            </w:pPr>
            <w:r>
              <w:rPr>
                <w:rFonts w:ascii="仿宋_GB2312" w:hAnsi="仿宋_GB2312" w:cs="仿宋_GB2312" w:eastAsia="仿宋_GB2312"/>
                <w:sz w:val="20"/>
              </w:rPr>
              <w:t>1</w:t>
            </w:r>
            <w:r>
              <w:rPr>
                <w:rFonts w:ascii="仿宋_GB2312" w:hAnsi="仿宋_GB2312" w:cs="仿宋_GB2312" w:eastAsia="仿宋_GB2312"/>
                <w:sz w:val="20"/>
              </w:rPr>
              <w:t>.合同总价一次性包死，不受市场价格变化和税率变化等因素的影响。</w:t>
            </w:r>
          </w:p>
          <w:p>
            <w:pPr>
              <w:pStyle w:val="null3"/>
              <w:ind w:firstLine="482"/>
              <w:jc w:val="left"/>
            </w:pPr>
            <w:r>
              <w:rPr>
                <w:rFonts w:ascii="仿宋_GB2312" w:hAnsi="仿宋_GB2312" w:cs="仿宋_GB2312" w:eastAsia="仿宋_GB2312"/>
                <w:sz w:val="20"/>
              </w:rPr>
              <w:t>2</w:t>
            </w:r>
            <w:r>
              <w:rPr>
                <w:rFonts w:ascii="仿宋_GB2312" w:hAnsi="仿宋_GB2312" w:cs="仿宋_GB2312" w:eastAsia="仿宋_GB2312"/>
                <w:sz w:val="20"/>
              </w:rPr>
              <w:t>.付款比例：</w:t>
            </w:r>
          </w:p>
          <w:p>
            <w:pPr>
              <w:pStyle w:val="null3"/>
              <w:ind w:firstLine="482"/>
              <w:jc w:val="left"/>
            </w:pPr>
            <w:r>
              <w:rPr>
                <w:rFonts w:ascii="仿宋_GB2312" w:hAnsi="仿宋_GB2312" w:cs="仿宋_GB2312" w:eastAsia="仿宋_GB2312"/>
                <w:sz w:val="20"/>
              </w:rPr>
              <w:t>2</w:t>
            </w:r>
            <w:r>
              <w:rPr>
                <w:rFonts w:ascii="仿宋_GB2312" w:hAnsi="仿宋_GB2312" w:cs="仿宋_GB2312" w:eastAsia="仿宋_GB2312"/>
                <w:sz w:val="20"/>
              </w:rPr>
              <w:t>.1 合同签订后</w:t>
            </w:r>
            <w:r>
              <w:rPr>
                <w:rFonts w:ascii="仿宋_GB2312" w:hAnsi="仿宋_GB2312" w:cs="仿宋_GB2312" w:eastAsia="仿宋_GB2312"/>
                <w:sz w:val="20"/>
              </w:rPr>
              <w:t>10</w:t>
            </w:r>
            <w:r>
              <w:rPr>
                <w:rFonts w:ascii="仿宋_GB2312" w:hAnsi="仿宋_GB2312" w:cs="仿宋_GB2312" w:eastAsia="仿宋_GB2312"/>
                <w:sz w:val="20"/>
              </w:rPr>
              <w:t>个工作日内，甲方向乙方支付合同总价款的</w:t>
            </w:r>
            <w:r>
              <w:rPr>
                <w:rFonts w:ascii="仿宋_GB2312" w:hAnsi="仿宋_GB2312" w:cs="仿宋_GB2312" w:eastAsia="仿宋_GB2312"/>
                <w:sz w:val="20"/>
              </w:rPr>
              <w:t>50</w:t>
            </w:r>
            <w:r>
              <w:rPr>
                <w:rFonts w:ascii="仿宋_GB2312" w:hAnsi="仿宋_GB2312" w:cs="仿宋_GB2312" w:eastAsia="仿宋_GB2312"/>
                <w:sz w:val="20"/>
              </w:rPr>
              <w:t>%。</w:t>
            </w:r>
          </w:p>
          <w:p>
            <w:pPr>
              <w:pStyle w:val="null3"/>
              <w:ind w:firstLine="482"/>
              <w:jc w:val="left"/>
            </w:pPr>
            <w:r>
              <w:rPr>
                <w:rFonts w:ascii="仿宋_GB2312" w:hAnsi="仿宋_GB2312" w:cs="仿宋_GB2312" w:eastAsia="仿宋_GB2312"/>
                <w:sz w:val="20"/>
              </w:rPr>
              <w:t xml:space="preserve">2.2 </w:t>
            </w:r>
            <w:r>
              <w:rPr>
                <w:rFonts w:ascii="仿宋_GB2312" w:hAnsi="仿宋_GB2312" w:cs="仿宋_GB2312" w:eastAsia="仿宋_GB2312"/>
                <w:sz w:val="20"/>
              </w:rPr>
              <w:t>成果经市自然资源和规划局验收后，</w:t>
            </w:r>
            <w:r>
              <w:rPr>
                <w:rFonts w:ascii="仿宋_GB2312" w:hAnsi="仿宋_GB2312" w:cs="仿宋_GB2312" w:eastAsia="仿宋_GB2312"/>
                <w:sz w:val="20"/>
              </w:rPr>
              <w:t>10个工作日内</w:t>
            </w:r>
            <w:r>
              <w:rPr>
                <w:rFonts w:ascii="仿宋_GB2312" w:hAnsi="仿宋_GB2312" w:cs="仿宋_GB2312" w:eastAsia="仿宋_GB2312"/>
                <w:sz w:val="20"/>
              </w:rPr>
              <w:t>支付剩余款项。</w:t>
            </w:r>
          </w:p>
          <w:p>
            <w:pPr>
              <w:pStyle w:val="null3"/>
              <w:ind w:firstLine="482"/>
              <w:jc w:val="left"/>
            </w:pPr>
            <w:r>
              <w:rPr>
                <w:rFonts w:ascii="仿宋_GB2312" w:hAnsi="仿宋_GB2312" w:cs="仿宋_GB2312" w:eastAsia="仿宋_GB2312"/>
                <w:sz w:val="20"/>
              </w:rPr>
              <w:t>3</w:t>
            </w:r>
            <w:r>
              <w:rPr>
                <w:rFonts w:ascii="仿宋_GB2312" w:hAnsi="仿宋_GB2312" w:cs="仿宋_GB2312" w:eastAsia="仿宋_GB2312"/>
                <w:sz w:val="20"/>
              </w:rPr>
              <w:t>. 支付比例以最终政府采购服务合同约定为准。</w:t>
            </w:r>
          </w:p>
          <w:p>
            <w:pPr>
              <w:pStyle w:val="null3"/>
              <w:ind w:firstLine="482"/>
              <w:jc w:val="left"/>
            </w:pPr>
            <w:r>
              <w:rPr>
                <w:rFonts w:ascii="仿宋_GB2312" w:hAnsi="仿宋_GB2312" w:cs="仿宋_GB2312" w:eastAsia="仿宋_GB2312"/>
                <w:sz w:val="20"/>
              </w:rPr>
              <w:t>由于本项目为政府委托项目，项目资金需根据政府统一安排，由此本合同内所定的各次付款时间应根据财政局拨付资金的时间相应顺延或调整。</w:t>
            </w:r>
          </w:p>
          <w:p>
            <w:pPr>
              <w:pStyle w:val="null3"/>
              <w:ind w:firstLine="482"/>
              <w:jc w:val="left"/>
            </w:pPr>
            <w:r>
              <w:rPr>
                <w:rFonts w:ascii="仿宋_GB2312" w:hAnsi="仿宋_GB2312" w:cs="仿宋_GB2312" w:eastAsia="仿宋_GB2312"/>
                <w:sz w:val="20"/>
              </w:rPr>
              <w:t>4</w:t>
            </w:r>
            <w:r>
              <w:rPr>
                <w:rFonts w:ascii="仿宋_GB2312" w:hAnsi="仿宋_GB2312" w:cs="仿宋_GB2312" w:eastAsia="仿宋_GB2312"/>
                <w:sz w:val="20"/>
              </w:rPr>
              <w:t>. 结算方式：银行转账。</w:t>
            </w:r>
          </w:p>
          <w:p>
            <w:pPr>
              <w:pStyle w:val="null3"/>
              <w:ind w:firstLine="482"/>
              <w:jc w:val="left"/>
            </w:pPr>
            <w:r>
              <w:rPr>
                <w:rFonts w:ascii="仿宋_GB2312" w:hAnsi="仿宋_GB2312" w:cs="仿宋_GB2312" w:eastAsia="仿宋_GB2312"/>
                <w:sz w:val="20"/>
              </w:rPr>
              <w:t>乙方应确保所指定账户为唯一收款账户，确保该账户的稳定性与准确性，乙方变更收款账户信息的，应当提前</w:t>
            </w:r>
            <w:r>
              <w:rPr>
                <w:rFonts w:ascii="仿宋_GB2312" w:hAnsi="仿宋_GB2312" w:cs="仿宋_GB2312" w:eastAsia="仿宋_GB2312"/>
                <w:sz w:val="20"/>
              </w:rPr>
              <w:t>10个工作日书面告知甲方。如因乙方提供账户信息不准确、不真实，或变动账户后不及时告知甲方，导致甲方付款错误或失败的，甲方不承担逾期付款责任，由乙方承担一切损失赔偿责任。</w:t>
            </w:r>
          </w:p>
          <w:p>
            <w:pPr>
              <w:pStyle w:val="null3"/>
              <w:ind w:firstLine="482"/>
              <w:jc w:val="left"/>
            </w:pPr>
            <w:r>
              <w:rPr>
                <w:rFonts w:ascii="仿宋_GB2312" w:hAnsi="仿宋_GB2312" w:cs="仿宋_GB2312" w:eastAsia="仿宋_GB2312"/>
                <w:sz w:val="20"/>
              </w:rPr>
              <w:t>5</w:t>
            </w:r>
            <w:r>
              <w:rPr>
                <w:rFonts w:ascii="仿宋_GB2312" w:hAnsi="仿宋_GB2312" w:cs="仿宋_GB2312" w:eastAsia="仿宋_GB2312"/>
                <w:sz w:val="20"/>
              </w:rPr>
              <w:t>、结算单位：由甲方负责结算，甲方付款前，乙方应当开具正式等额合法、合规且符合甲方要求的等额增值税发票，乙方不提供或提供不符合要求的，甲方有权拒绝支付，且不承担因此导致的逾期付款违约责任。</w:t>
            </w:r>
          </w:p>
          <w:p>
            <w:pPr>
              <w:pStyle w:val="null3"/>
              <w:ind w:firstLine="482"/>
              <w:jc w:val="left"/>
            </w:pPr>
            <w:r>
              <w:rPr>
                <w:rFonts w:ascii="仿宋_GB2312" w:hAnsi="仿宋_GB2312" w:cs="仿宋_GB2312" w:eastAsia="仿宋_GB2312"/>
                <w:sz w:val="20"/>
                <w:b/>
              </w:rPr>
              <w:t>六</w:t>
            </w:r>
            <w:r>
              <w:rPr>
                <w:rFonts w:ascii="仿宋_GB2312" w:hAnsi="仿宋_GB2312" w:cs="仿宋_GB2312" w:eastAsia="仿宋_GB2312"/>
                <w:sz w:val="20"/>
                <w:b/>
              </w:rPr>
              <w:t>、</w:t>
            </w:r>
            <w:r>
              <w:rPr>
                <w:rFonts w:ascii="仿宋_GB2312" w:hAnsi="仿宋_GB2312" w:cs="仿宋_GB2312" w:eastAsia="仿宋_GB2312"/>
                <w:sz w:val="20"/>
                <w:b/>
              </w:rPr>
              <w:t>其他</w:t>
            </w:r>
          </w:p>
          <w:p>
            <w:pPr>
              <w:pStyle w:val="null3"/>
              <w:ind w:firstLine="482"/>
              <w:jc w:val="left"/>
            </w:pPr>
            <w:r>
              <w:rPr>
                <w:rFonts w:ascii="仿宋_GB2312" w:hAnsi="仿宋_GB2312" w:cs="仿宋_GB2312" w:eastAsia="仿宋_GB2312"/>
                <w:sz w:val="20"/>
              </w:rPr>
              <w:t>(一)符合《中华人民共和国政府采购法》第二十二条、第二 十三条、第二十四条规定；</w:t>
            </w:r>
          </w:p>
          <w:p>
            <w:pPr>
              <w:pStyle w:val="null3"/>
              <w:ind w:firstLine="482"/>
              <w:jc w:val="left"/>
            </w:pPr>
            <w:r>
              <w:rPr>
                <w:rFonts w:ascii="仿宋_GB2312" w:hAnsi="仿宋_GB2312" w:cs="仿宋_GB2312" w:eastAsia="仿宋_GB2312"/>
                <w:sz w:val="20"/>
              </w:rPr>
              <w:t>(二)技术服务单位具有城乡规划编制乙级及以上资质(根据《自然资源部办公厅关于国土空间规划编制资质有关问题的函》(自然资办函〔2019〕2375号)和《陕西省自然资源厅关于加强全省国土空间规划编制成果质量管控的通知》(陕自然资规发〔2020〕16号)规定，本项目采购期间涉及资质到期未换证的服务商，可以参与并认定资质有效)。</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技术服务单位需配合完成采购人安排的与本项目有关的其他事项。</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进度要求</w:t>
            </w:r>
          </w:p>
          <w:p>
            <w:pPr>
              <w:pStyle w:val="null3"/>
              <w:ind w:firstLine="482"/>
              <w:jc w:val="left"/>
            </w:pPr>
            <w:r>
              <w:rPr>
                <w:rFonts w:ascii="仿宋_GB2312" w:hAnsi="仿宋_GB2312" w:cs="仿宋_GB2312" w:eastAsia="仿宋_GB2312"/>
                <w:sz w:val="20"/>
              </w:rPr>
              <w:t>1</w:t>
            </w:r>
            <w:r>
              <w:rPr>
                <w:rFonts w:ascii="仿宋_GB2312" w:hAnsi="仿宋_GB2312" w:cs="仿宋_GB2312" w:eastAsia="仿宋_GB2312"/>
                <w:sz w:val="20"/>
              </w:rPr>
              <w:t>.根据年度计划的推进情况，按季度形成初步成果。</w:t>
            </w:r>
          </w:p>
          <w:p>
            <w:pPr>
              <w:pStyle w:val="null3"/>
              <w:ind w:firstLine="482"/>
              <w:jc w:val="left"/>
            </w:pPr>
            <w:r>
              <w:rPr>
                <w:rFonts w:ascii="仿宋_GB2312" w:hAnsi="仿宋_GB2312" w:cs="仿宋_GB2312" w:eastAsia="仿宋_GB2312"/>
                <w:sz w:val="20"/>
              </w:rPr>
              <w:t>2</w:t>
            </w:r>
            <w:r>
              <w:rPr>
                <w:rFonts w:ascii="仿宋_GB2312" w:hAnsi="仿宋_GB2312" w:cs="仿宋_GB2312" w:eastAsia="仿宋_GB2312"/>
                <w:sz w:val="20"/>
              </w:rPr>
              <w:t>.合同签订6个月内形成最终成果(送审稿)。</w:t>
            </w:r>
          </w:p>
          <w:p>
            <w:pPr>
              <w:pStyle w:val="null3"/>
              <w:ind w:firstLine="482"/>
              <w:jc w:val="left"/>
            </w:pPr>
            <w:r>
              <w:rPr>
                <w:rFonts w:ascii="仿宋_GB2312" w:hAnsi="仿宋_GB2312" w:cs="仿宋_GB2312" w:eastAsia="仿宋_GB2312"/>
                <w:sz w:val="20"/>
              </w:rPr>
              <w:t>3</w:t>
            </w:r>
            <w:r>
              <w:rPr>
                <w:rFonts w:ascii="仿宋_GB2312" w:hAnsi="仿宋_GB2312" w:cs="仿宋_GB2312" w:eastAsia="仿宋_GB2312"/>
                <w:sz w:val="20"/>
              </w:rPr>
              <w:t>.技术服务单位应定期(周、月)向采购人提供项目工作进度。</w:t>
            </w:r>
          </w:p>
          <w:p>
            <w:pPr>
              <w:pStyle w:val="null3"/>
              <w:ind w:firstLine="482"/>
              <w:jc w:val="left"/>
            </w:pPr>
            <w:r>
              <w:rPr>
                <w:rFonts w:ascii="仿宋_GB2312" w:hAnsi="仿宋_GB2312" w:cs="仿宋_GB2312" w:eastAsia="仿宋_GB2312"/>
                <w:sz w:val="20"/>
              </w:rPr>
              <w:t>4</w:t>
            </w:r>
            <w:r>
              <w:rPr>
                <w:rFonts w:ascii="仿宋_GB2312" w:hAnsi="仿宋_GB2312" w:cs="仿宋_GB2312" w:eastAsia="仿宋_GB2312"/>
                <w:sz w:val="20"/>
              </w:rPr>
              <w:t>.采购人根据实际需要，对项目进展情况不定期听取汇报。</w:t>
            </w:r>
          </w:p>
          <w:p>
            <w:pPr>
              <w:pStyle w:val="null3"/>
              <w:ind w:firstLine="482"/>
              <w:jc w:val="left"/>
            </w:pPr>
            <w:r>
              <w:rPr>
                <w:rFonts w:ascii="仿宋_GB2312" w:hAnsi="仿宋_GB2312" w:cs="仿宋_GB2312" w:eastAsia="仿宋_GB2312"/>
                <w:sz w:val="20"/>
              </w:rPr>
              <w:t>5</w:t>
            </w:r>
            <w:r>
              <w:rPr>
                <w:rFonts w:ascii="仿宋_GB2312" w:hAnsi="仿宋_GB2312" w:cs="仿宋_GB2312" w:eastAsia="仿宋_GB2312"/>
                <w:sz w:val="20"/>
              </w:rPr>
              <w:t>.受不可抗力(项目服务内容延后、提前；上位要求变化等)因素影响，采购人可适当调整进度要求。</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五</w:t>
            </w:r>
            <w:r>
              <w:rPr>
                <w:rFonts w:ascii="仿宋_GB2312" w:hAnsi="仿宋_GB2312" w:cs="仿宋_GB2312" w:eastAsia="仿宋_GB2312"/>
                <w:sz w:val="20"/>
              </w:rPr>
              <w:t>)质量验收标准或规范</w:t>
            </w:r>
          </w:p>
          <w:p>
            <w:pPr>
              <w:pStyle w:val="null3"/>
            </w:pPr>
            <w:r>
              <w:rPr>
                <w:rFonts w:ascii="仿宋_GB2312" w:hAnsi="仿宋_GB2312" w:cs="仿宋_GB2312" w:eastAsia="仿宋_GB2312"/>
                <w:sz w:val="20"/>
              </w:rPr>
              <w:t>成果质量符合</w:t>
            </w:r>
            <w:r>
              <w:rPr>
                <w:rFonts w:ascii="仿宋_GB2312" w:hAnsi="仿宋_GB2312" w:cs="仿宋_GB2312" w:eastAsia="仿宋_GB2312"/>
                <w:sz w:val="20"/>
              </w:rPr>
              <w:t>部省</w:t>
            </w:r>
            <w:r>
              <w:rPr>
                <w:rFonts w:ascii="仿宋_GB2312" w:hAnsi="仿宋_GB2312" w:cs="仿宋_GB2312" w:eastAsia="仿宋_GB2312"/>
                <w:sz w:val="20"/>
              </w:rPr>
              <w:t>相关要求，并通过采购人组织的专家论证或评估会。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符合自然资源部、陕西省自然资源厅土地储备计划、土地征收管理相关政策、技术规程及部省上报审查要求，衔接西安市国土空间总体规划、年度建设用地管控指标；全套编制资料完整规范、图数台账逻辑一致。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进度款，成果经市自然资源和规划局验收后，达到付款条件起10个工作日内，支付合同总金额的50.0%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履行过程中发生的争议，由甲、乙双方友好协商解决；协商无法达成一致的，依法向甲方（采购人）所在地人民法院提起诉讼。（二）本争议解决条款为独立有效条款，本合同发生无效、变更、解除、终止等情形时，均不影响本条款的法律效力。</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2、无需提供纸质响应文件， 成交供应商在领取中标通知书时提供纸质响应文件三份（一正两副），纸质版文件须是电子化交易平台系统生成的响应文件。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1、营业执照等主体资格证明文件：具有独立承担民事责任能力的法人、其他组织或自然人，提供合法有效的统一社会信用代码营业执照（事业单位提供事业单位法人证书，自然人应提供身份证）；并进行电子签章。 2、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 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 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 5、能力书面声明：具有履行合同所必需的设备和专业技术能力的书面声明； 6、无重大违法记录：近3年内在经营活动中没有重大违法记录的书面声明；</w:t>
            </w:r>
          </w:p>
        </w:tc>
        <w:tc>
          <w:tcPr>
            <w:tcW w:type="dxa" w:w="1661"/>
          </w:tcPr>
          <w:p>
            <w:pPr>
              <w:pStyle w:val="null3"/>
            </w:pPr>
            <w:r>
              <w:rPr>
                <w:rFonts w:ascii="仿宋_GB2312" w:hAnsi="仿宋_GB2312" w:cs="仿宋_GB2312" w:eastAsia="仿宋_GB2312"/>
              </w:rPr>
              <w:t>供应商应提供的相关资格证明材料.docx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具备有效的城乡规划编制乙级及以上资质证书（若为联合体，其中至少应有一家单位具有城乡规划编制乙级及以上资质证书）；</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接受联合体投标；注：联合体必须按规定的格式签订联合体协议，明确联合体牵头人和联合体参与方的主要权利和义务；联合体各方不得再以自己名义单独或加入其他联合体参加本项目投标；采用联合体投标的，由联合体牵头人负责处理联合体投标过程所有相关事宜。</w:t>
            </w:r>
          </w:p>
        </w:tc>
        <w:tc>
          <w:tcPr>
            <w:tcW w:type="dxa" w:w="1661"/>
          </w:tcPr>
          <w:p>
            <w:pPr>
              <w:pStyle w:val="null3"/>
            </w:pPr>
            <w:r>
              <w:rPr>
                <w:rFonts w:ascii="仿宋_GB2312" w:hAnsi="仿宋_GB2312" w:cs="仿宋_GB2312" w:eastAsia="仿宋_GB2312"/>
              </w:rPr>
              <w:t>供应商应提供的相关资格证明材料.docx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供应商应提供的相关资格证明材料.docx 投标函 供应商廉洁自律承诺书.docx 供应商认为有必要补充说明的事项.docx 中小企业声明函 残疾人福利性单位声明函 标的清单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供应商应提供的相关资格证明材料.docx 投标函 供应商廉洁自律承诺书.docx 供应商认为有必要补充说明的事项.docx 中小企业声明函 残疾人福利性单位声明函 标的清单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供应商应提供的相关资格证明材料.docx 投标函 供应商廉洁自律承诺书.docx 供应商认为有必要补充说明的事项.docx 中小企业声明函 残疾人福利性单位声明函 标的清单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供应商应提供的相关资格证明材料.docx 投标函 供应商廉洁自律承诺书.docx 供应商认为有必要补充说明的事项.docx 中小企业声明函 残疾人福利性单位声明函 标的清单 投标文件封面 商务应答表.docx 服务内容及服务邀请应答表.docx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供应商应提供的相关资格证明材料.docx 投标函 供应商廉洁自律承诺书.docx 供应商认为有必要补充说明的事项.docx 中小企业声明函 残疾人福利性单位声明函 标的清单 投标文件封面 商务应答表.docx 服务内容及服务邀请应答表.docx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投标人针对本项目提供项目理解方案。内容至少包括：①对相关政策解读和基本情况分析②对项目背景的研判③专业资料的搜集与内容梳理④实地调研与考察方案⑤对发展现状认识等。 以上要求的内容均有描述且符合本项目实际需求的得10分。每缺一项内容扣2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投标人根据本项目提供总体工作方案。内容至少包括：①开展现状评估方案②总体工作思路③总体工作计划④具体工作目标及内容。 以上要求的内容均有描述且符合本项目实际需求的得10分。每缺一项内容扣2.5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投标人针对本项目提供相关的进度计划及保障措施方案。内容至少包括：①项目实施进度目标分析②提供合理的工作计划及时间节点③项目进度保障措施。 以上要求的内容均有描述且符合本项目实际需求的得3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项目负责人具有国家注册城市（或城乡）规划师资格且具有高级工程师职得10分，未提供或提供不齐全不得分。 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除项目负责人外，项目团队人员具备本项目所需相关专业（城市（城乡）规划、经济等）高级职称的每个计4分，中级职称的每个计2分，其他不得分，满分20分。 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成果交付措施</w:t>
            </w:r>
          </w:p>
        </w:tc>
        <w:tc>
          <w:tcPr>
            <w:tcW w:type="dxa" w:w="2492"/>
          </w:tcPr>
          <w:p>
            <w:pPr>
              <w:pStyle w:val="null3"/>
            </w:pPr>
            <w:r>
              <w:rPr>
                <w:rFonts w:ascii="仿宋_GB2312" w:hAnsi="仿宋_GB2312" w:cs="仿宋_GB2312" w:eastAsia="仿宋_GB2312"/>
              </w:rPr>
              <w:t>投标人提供针对本项目提供成果交付措施。内容至少包括：①成果文件编制的重点问题分析②成果文件的审批流程③成果文件编制的法律法规和技术标准④成果文件编制时间控制。 以上要求的内容均有描述且符合本项目实际需求的得10分。每缺一项内容扣2.5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投标人针对本项目提供安全保密工作承诺及方案。内容至少包括：①保密制度及承诺②保密措施③廉洁从业的承诺。 以上要求的内容均有描述且符合本项目实际需求的得3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内容至少包括：①本次项目衔接工作方案②承诺负责本项目所有审查或报批环节的协调汇报等工作③积极配合采购人服务要求④未能完全履行承诺时愿意接受相关处罚的承诺。 以上要求的内容均有描述且符合本项目实际需求的得4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投标人提供2023年6月1日至今类似项目业绩合同（以合同签订时间为准）；每提供一项业绩得4分，最高得20分。 以加盖投标人公章的合同复印件或扫描件为准，应至少包含合同关键页，合同上必须明确体现签订时间。</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1.经资格审查、符合性审查合格的投标文件，其投标总报价为有效报价，参与价格评审。 2.投标总报价得分：满足招标文件要求且最低的投标总报价为评标基准价，其价格分为满分。 价格分按照下列公式计算：投标总报价得分=（评标基准价/投标总报价）×10%×100。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