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A7EC9">
      <w:pPr>
        <w:numPr>
          <w:ilvl w:val="0"/>
          <w:numId w:val="0"/>
        </w:numPr>
        <w:jc w:val="center"/>
        <w:outlineLvl w:val="0"/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</w:rPr>
      </w:pPr>
      <w:bookmarkStart w:id="0" w:name="_Toc9230"/>
      <w:r>
        <w:rPr>
          <w:rFonts w:hint="eastAsia" w:ascii="仿宋" w:hAnsi="仿宋" w:eastAsia="仿宋" w:cs="仿宋"/>
          <w:b/>
          <w:bCs/>
          <w:color w:val="auto"/>
          <w:kern w:val="2"/>
          <w:sz w:val="36"/>
          <w:szCs w:val="36"/>
          <w:lang w:val="en-US" w:eastAsia="zh-CN" w:bidi="ar-SA"/>
        </w:rPr>
        <w:t>采购需求</w:t>
      </w:r>
      <w:bookmarkEnd w:id="0"/>
    </w:p>
    <w:p w14:paraId="077E3D4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一、项目背景</w:t>
      </w:r>
    </w:p>
    <w:p w14:paraId="2A0244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随着新一代信息通信技术的迅猛发展，全省无线电台（站）数量持续增长，业务类型日益多元，电磁环境日趋复杂。传统“同质化”“粗放式”的管理模式，已难以适应新形势下频谱资源精细化配置、高效化利用及常态化秩序管控的迫切需求，无线电治理提质增效面临新的挑战。</w:t>
      </w:r>
    </w:p>
    <w:p w14:paraId="5F4476A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为全面提升我省无线电台（站）精细化管理效能，依据《中华人民共和国无线电管理条例》《陕西省无线电管理条例》及相关政策要求，亟须立足省情实际，构建科学、规范、高效的台站分级分类管理体系。通过深化台站分级分类管理研究，建立覆盖全面、标准清晰、权责明确的管理目录，推动我省无线电台（站）管理向“精细化”“差异化”转型，切实维护空中电波秩序，保障各类无线电业务安全有序运行，为全省经济社会高质量发展提供坚实的频谱资源支撑。</w:t>
      </w:r>
    </w:p>
    <w:p w14:paraId="7429E7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二、项目内容</w:t>
      </w:r>
    </w:p>
    <w:p w14:paraId="0BBE041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本项目主要工作内容包括以下方面：</w:t>
      </w:r>
    </w:p>
    <w:p w14:paraId="1D5E4A1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1.全面摸排全省无线电台（站）的设台现状，梳理《陕西省重点无线电台（站）清单》，精准识别当前台站管理中存在的痛点与难点问题，为后续科学决策提供坚实数据支撑。</w:t>
      </w:r>
    </w:p>
    <w:p w14:paraId="1568ECE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2.遵循依法依规、科学合理、动态调整的原则，紧密结合我省实际，研究建立一套覆盖全面、标准清晰、权责明确的《陕西省无线电台（站）分级管理目录》。</w:t>
      </w:r>
    </w:p>
    <w:p w14:paraId="393AFC41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 编制《陕西省无线电台（站）分级管理研究报告》，针对不同等级与类别的台站，研究制定涵盖准入审批、事中事后监管、干扰协调保护等全生命周期的差异化管理措施，为我省优化管理流程及出台配套政策提供科学依据与决策支撑。同时，提供从理论研究到政策转化的全程技术支撑，协助起草相关配套政策文件，确保研究成果有效落地实施。</w:t>
      </w:r>
    </w:p>
    <w:p w14:paraId="1A02D46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三、项目服务期限</w:t>
      </w:r>
      <w:bookmarkStart w:id="1" w:name="_GoBack"/>
      <w:bookmarkEnd w:id="1"/>
    </w:p>
    <w:p w14:paraId="2887123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自合同签订之日起一年以内完成。</w:t>
      </w:r>
    </w:p>
    <w:p w14:paraId="5C7BBC9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四、成果交付要求</w:t>
      </w:r>
    </w:p>
    <w:p w14:paraId="339E007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成交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供应商须向采购人提交以下成果文件：</w:t>
      </w:r>
    </w:p>
    <w:p w14:paraId="35B2E7D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1、《陕西省无线电台（站）分级管理研究报告》纸质版及电子版各1份；</w:t>
      </w:r>
    </w:p>
    <w:p w14:paraId="7A1DE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2、《陕西省无线电台（站）分级管理目录》纸质版及电子版各1份；</w:t>
      </w:r>
    </w:p>
    <w:p w14:paraId="15761CE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3、《陕西省重点无线电台（站）清单》纸质版及电子版各1份。</w:t>
      </w:r>
    </w:p>
    <w:p w14:paraId="7C1D09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94A0F"/>
    <w:rsid w:val="171D656D"/>
    <w:rsid w:val="64F9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5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804</Words>
  <Characters>807</Characters>
  <Lines>0</Lines>
  <Paragraphs>0</Paragraphs>
  <TotalTime>0</TotalTime>
  <ScaleCrop>false</ScaleCrop>
  <LinksUpToDate>false</LinksUpToDate>
  <CharactersWithSpaces>808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2026-10-13T03:07:00Z</dcterms:created>
  <dc:creator>德仁招标</dc:creator>
  <cp:lastModifiedBy>德仁招标</cp:lastModifiedBy>
  <dcterms:modified xsi:type="dcterms:W3CDTF">2026-10-13T03:09:18Z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FAD3C15499F0474A850F0E2867ADA8F2_11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